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48e5" w14:textId="2b84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31 января 2017 года № 35 "Об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 и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апреля 2020 года № 244. Зарегистрирован в Министерстве юстиции Республики Казахстан 30 апреля 2020 года № 20532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января 2017 года № 35 "Об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за № 14765, опубликован 17 марта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 от 29 октября 2015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строительства, утвержденные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определяют порядок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и оказание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(далее – государственная услуга).";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Субсидирование ставки вознаграждения по выдаваемым кредитам банками второго уровня субъектам частного предпринимательства для целей жилищного строительства осуществляется в рамках реализации пункта 2.2 подраздела 5.1.3 Государственной программы жилищно-коммунального развития "Нұрлы жер"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1054 (далее – Программа).";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государственной услуги и предоставления субсидии";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Государственная услуга оказывается финансовым агентом согласно настоящим Правилам.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(далее – Стандарт государственной услуги).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определены пунктом 8 Стандарта государственной услуги.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для получения государственной услуги обращается с документами, предусмотренными пунктом 8 Стандарта государственной услуги, в канцелярию финансового агента.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Структурное подразделение (работник) финансового агента: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регистрацию документов, указанных в пункте 8 Стандарта государственной услуги, в день их поступления.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заемщиком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5 (пяти) рабочих дней рассматривает представленные документы заемщика на достоверность и соответствие требованиям настоящих Правил и принимает решение.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представления заемщиком неполного пакета документов структурное подразделение (работник) финансового агента в течение 3 (трех) рабочих дней с момента регистрации представленных документов, указанных в пункте 8 Стандарта государственной услуги, готовит мотивированный отказ в дальнейшем рассмотрении заявления.";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Финансовый агент оформляет и направляет заемщику выписку из протокола о принятом положительном решении либо мотивированный отказ по основаниям, предусмотренным пунктом 9 Стандарта государственной услуги в течении – 3 (трех) рабочих дней с даты принятия решения.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обеспечивает направление выписки из протокола БВУ.";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21-1, 21-2 и 21-3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"21-1. Финансовый агент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21-2. Жалобы подаются на имя руководителя финансового агента или уполномоченного органа по делам архитектуры, градостроительства и строительства (далее – уполномоченный орган) либо на блог руководителя уполномоченного органа (страница "Блог руководителя уполномоченного органа").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финансового агента или уполномоченного органа в рабочие дни.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финансового агента, уполномоченного органа,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заемщика указываются его наименование, почтовый адрес, исходящий номер и дата.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заемщика, поступившая в адрес финансового агента, уполномоченного органа подлежит рассмотрению в течение 5 (пяти) рабочих дней со дня ее регистрации. Мотивированный ответ о результатах рассмотрения жалобы направляется заемщику посредством почтовой связи либо выдается нарочно в канцелярии финансового агента или уполномоченного органа.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заемщик может обратиться с жалобой в уполномоченный орган по оценке и контролю за качеством оказания государственных услуг.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заемщика,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21-3. В случаях несогласия с результатами оказанной государственной услуги, заемщик обращается в суд в установленном законодательством Республики Казахстан порядке.";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к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ставки вознаграждения по выдаваемым кредитам банками второго уровня субъектам частного предпринимательства для целей жилищного строительства"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2570"/>
        <w:gridCol w:w="9095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агент (далее – Услугодатель)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услугодателя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- 8 рабочих дней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протокола заседания услугодателя о принятом положительном решении по субсидированию либо мотивированный отказ по основаниям, предусмотренным пунктом 9 Стандарта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пятницу, включительно, в соответствии с графиком работы с 9-00 до 19:00 часов, с перерывом на обед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09.00 до 17.30 часов с перерывом на обед с 13.00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мере поступления документов, без предварительной записи и ускоренного обслуживания.</w:t>
            </w:r>
          </w:p>
          <w:bookmarkEnd w:id="41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заявление-анкета на получение субсидии по форме согласно приложению 1-1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описание реализуемого проекта (формируется в произвольной форме с приложением разрешительной документации на строительство проекта, бизнес-плана);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письмо БВУ с положительным решением о возможности предоставления (рефинансирования) кредита для реализации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заключение комплексной вневедомственной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информация по объекту (презентации, рекламные материалы, планировка квартир, площадь и количество квартир), в том числе в электронном виде. </w:t>
            </w:r>
          </w:p>
          <w:bookmarkEnd w:id="42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представление недостоверных данных (сведений);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требованиям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43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– 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услугодателя: info@fund.kz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уполномоченного органа по делам архитектуры, градостроительства и строительства: www.kds.miid.gov.kz.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 – центр по вопросам оказания государственных услуг: 1414.</w:t>
            </w:r>
          </w:p>
          <w:bookmarkEnd w:id="4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Финансовому агенту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субсидии __________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Государственной программой жилищно-коммунального развития "Нұрлы жер", прошу инициировать вынесение вопроса о субсидировании кредита для реализации проекта с ______________________________________________ согласно нижеследующего: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Сведения об </w:t>
      </w:r>
      <w:r>
        <w:rPr>
          <w:rFonts w:ascii="Times New Roman"/>
          <w:b/>
          <w:i w:val="false"/>
          <w:color w:val="000000"/>
          <w:sz w:val="28"/>
        </w:rPr>
        <w:t>участнике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1"/>
        <w:gridCol w:w="1039"/>
      </w:tblGrid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СЧП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учредителе (-ях)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государственной регистрации/ перерегистрации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Курирующее ведомство, холдинг или материнская компания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. Руководство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7"/>
        <w:gridCol w:w="693"/>
      </w:tblGrid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 Собственники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(учредитель, участники, для товарищества с ограниченной ответственностью - соучредители, владеющие 1 % и более процентов акций).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5"/>
        <w:gridCol w:w="4255"/>
        <w:gridCol w:w="1380"/>
      </w:tblGrid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54"/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. Информация о текущей деятельности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881"/>
      </w:tblGrid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общему классификатору видов экономической деятельности)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(согласно общему классификатору видов экономической деятельности)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и услуг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оборот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 на последнюю отчетную дату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(краткое описание)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(область, город)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. Информация о банковских счетах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 обслуживающих банках): _____________________________________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История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займы, использовавшиеся в процессе работы СЧП, как погашенные, так и непогашенные в настоящее время.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812"/>
        <w:gridCol w:w="1321"/>
        <w:gridCol w:w="1830"/>
        <w:gridCol w:w="2338"/>
        <w:gridCol w:w="2339"/>
        <w:gridCol w:w="1831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вознаграждения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по ДБЗ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>. Информация о действующих кредитах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курс валюты: _______________/_______________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63"/>
        <w:gridCol w:w="2109"/>
        <w:gridCol w:w="2025"/>
        <w:gridCol w:w="663"/>
        <w:gridCol w:w="663"/>
        <w:gridCol w:w="2453"/>
        <w:gridCol w:w="1175"/>
        <w:gridCol w:w="1855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ДБЗ (№, дата)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долгу, на указанную дату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кредита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кредита (краткое описание)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Информация об участии в других государственных программах и применяемых в отношении СЧП мерах государственной поддержки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4594"/>
        <w:gridCol w:w="2530"/>
        <w:gridCol w:w="2530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ГП /МГП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</w:t>
      </w:r>
      <w:r>
        <w:rPr>
          <w:rFonts w:ascii="Times New Roman"/>
          <w:b/>
          <w:i w:val="false"/>
          <w:color w:val="000000"/>
          <w:sz w:val="28"/>
        </w:rPr>
        <w:t>. Гарантии и согласия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заявляет и гарантирует финансовому агенту следующее: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данные, информация и документация, переданные (предоставленные) или предоставляемые финансовому агенту совместно с настоящим заявлением, либо по запросу финансового агента, являются достоверными и полностью соответствуют действительности на нижеуказанную дату, в случае изменения указанных данных незамедлительно уведомить финансового агента.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Предоставлять и раскрывать по первому требованию финансового агента любую информацию, содержащие банковскую и коммерческую тайну, затребованные в рамках рассмотрения настоящего заявления.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СЧП предупрежден об ответственности за предоставление ложных, неполных и (или) недостоверных сведений, предусмотренной законодательством Республики Казахстан.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СЧП подтверждает, что уставная компетенция СЧП, позволяет подавать настоящее заявление лицу, которое подписывает настоящее заявление.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Согласен с тем, что в случае выявления недостоверности указанных данных и информации, настоящее заявление может быть отклонено на любом этапе, когда будут выявлены сведения, подтверждающие недостоверность указанных данных.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настоящим предоставляет финансовому агенту согласие с тем, что: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агент предоставляет указанные в настоящем заявлении сведения, информацию и предоставленные СЧП документы государственным органам (финансовым агентам), с целью проверки и рассмотрения.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сведения, содержащиеся в настоящем заявлении, а также все затребованные финансовым агентом документы предоставлены исключительно для субсидирования в рамках Программы.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Финансовый агент оставляет за собой возможность проверки любой сообщаемой СЧП о себе информации, а документы, предоставленные СЧП, и оригинал заявления будут храниться у финансового агента, даже если субсидирование не будет предоставлено.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Принятие финансовым агентом данного заявления к рассмотрению, а также возможные расходы СЧП (на оформление необходимых для получения субсидирования документов, и другие расходы) не является обязательством финансового агента предоставить субсидирование или возместить понесенные СЧП издержки.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Подтверждаю, что с порядком рассмотрения вопроса о субсидировании ознакомлен и согласен, в последующем претензий к финансовому агенту иметь не буду.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Приложения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аббревиатур: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институты развития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МГП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государственной поддержки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ДБЗ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244</w:t>
            </w:r>
          </w:p>
        </w:tc>
      </w:tr>
    </w:tbl>
    <w:bookmarkStart w:name="z10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приказов </w:t>
      </w:r>
    </w:p>
    <w:bookmarkEnd w:id="79"/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2017 года № 859 "Об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за № 16265, опубликован 6 февраля 2018 года в Эталонном контрольном банке нормативных правовых актов Республики Казахстан).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25 июля 2019 года № 550 "О внесении изменения в приказ Министра по инвестициям и развитию Республики Казахстан от 12 декабря 2017 года № 859 " Об утверждении стандарта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за № 19116, опубликован 6 августа 2019 года в Эталонном контрольном банке нормативных правовых актов Республики Казахстан).</w:t>
      </w:r>
    </w:p>
    <w:bookmarkEnd w:id="81"/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 октября 2019 года № 752 "Об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за № 19463, опубликован 14 октября 2019 года в Эталонном контрольном банке нормативных правовых актов Республики Казахстан).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