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4eb6" w14:textId="e8c4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июня 2020 года № 234. Зарегистрирован в Министерстве юстиции Республики Казахстан 29 июня 2020 года № 20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 (зарегистрирован в Реестре государственной регистрации нормативных правовых актов за № 16098, опубликован 9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пустимый объем – разность 30 (тридцать) процентов от объема инвестиций 2015 года и суммы уровней необходимого ежегодного возврата по инвестиционным программам модернизации, расширения, реконструкции и (или) обновления действующих инвестиционных соглашений на модернизацию, расширение, реконструкцию и (или) обновление, заключенных в предыдущих периодах (годах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энергетик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