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bd86" w14:textId="565b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7 июля 2020 года № 286. Зарегистрирован в Министерстве юстиции Республики Казахстан 8 июля 2020 года № 20939.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высшего и послевузовского образования Министерства образования и науки Республики Казахстан (Тойбаев А.Ж.)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Дауленова М.М.</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июля 2020 года № 286</w:t>
            </w:r>
          </w:p>
        </w:tc>
      </w:tr>
    </w:tbl>
    <w:bookmarkStart w:name="z15" w:id="9"/>
    <w:p>
      <w:pPr>
        <w:spacing w:after="0"/>
        <w:ind w:left="0"/>
        <w:jc w:val="left"/>
      </w:pPr>
      <w:r>
        <w:rPr>
          <w:rFonts w:ascii="Times New Roman"/>
          <w:b/>
          <w:i w:val="false"/>
          <w:color w:val="000000"/>
        </w:rPr>
        <w:t xml:space="preserve"> Правила оказания государственной услуги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19.12.2022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и (или) послевузовского образования"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ее предоставления.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19.12.2022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13"/>
    <w:bookmarkStart w:name="z20" w:id="14"/>
    <w:p>
      <w:pPr>
        <w:spacing w:after="0"/>
        <w:ind w:left="0"/>
        <w:jc w:val="both"/>
      </w:pPr>
      <w:r>
        <w:rPr>
          <w:rFonts w:ascii="Times New Roman"/>
          <w:b w:val="false"/>
          <w:i w:val="false"/>
          <w:color w:val="000000"/>
          <w:sz w:val="28"/>
        </w:rPr>
        <w:t>
      2) группы образовательных программ – совокупность образовательных программ, объединенных общностью профиля направления подготовки и обеспечивающих подготовку кадров в рамках определенной области образования;</w:t>
      </w:r>
    </w:p>
    <w:bookmarkEnd w:id="14"/>
    <w:bookmarkStart w:name="z21" w:id="15"/>
    <w:p>
      <w:pPr>
        <w:spacing w:after="0"/>
        <w:ind w:left="0"/>
        <w:jc w:val="both"/>
      </w:pPr>
      <w:r>
        <w:rPr>
          <w:rFonts w:ascii="Times New Roman"/>
          <w:b w:val="false"/>
          <w:i w:val="false"/>
          <w:color w:val="000000"/>
          <w:sz w:val="28"/>
        </w:rPr>
        <w:t>
      3) структурное подразделение услугодателя – организаций высшего и (или) послевузовского образования осуществляющие прием заявлении и выдачи результатов оказания государственной услуги.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19.12.2022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Государственная услуга "Присуждение образовательных грантов, а также оказание социальной поддержки обучающимся в организациях высшего образования и (или) послевузовского образования" (далее – государственная услуга) оказывается Министерством науки и высшего образования Республики Казахстан (далее – услугодатель).</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19.12.2022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оказания государственной услуги</w:t>
      </w:r>
    </w:p>
    <w:bookmarkEnd w:id="17"/>
    <w:bookmarkStart w:name="z24" w:id="18"/>
    <w:p>
      <w:pPr>
        <w:spacing w:after="0"/>
        <w:ind w:left="0"/>
        <w:jc w:val="both"/>
      </w:pPr>
      <w:r>
        <w:rPr>
          <w:rFonts w:ascii="Times New Roman"/>
          <w:b w:val="false"/>
          <w:i w:val="false"/>
          <w:color w:val="000000"/>
          <w:sz w:val="28"/>
        </w:rPr>
        <w:t>
      4. Для получения государственной услуги физические лица (далее – услугополучатели) представляют услугодателю (через приемную комиссию организаций высшего и (или) послевузовского образования) (далее – ОВПО) или через веб-портал "электронного правительства" (далее – портал) пакет документов, предусмотренный пунктом 8 Перечня основных требований к оказанию государственной услуги "Присуждение образовательных грантов, а также оказание социальной поддержки обучающимся в организациях высшего образования и (или) послевузовского образования " (далее – Перечень основных требований), согласно приложению к настоящим Правилам.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19.12.2022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19.12.2022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6. Сотрудник услугодателя – секретарь приемной комиссии ОВПО в период с 13 по 20 июля календарного года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bookmarkEnd w:id="20"/>
    <w:bookmarkStart w:name="z27" w:id="21"/>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1"/>
    <w:bookmarkStart w:name="z28" w:id="22"/>
    <w:p>
      <w:pPr>
        <w:spacing w:after="0"/>
        <w:ind w:left="0"/>
        <w:jc w:val="both"/>
      </w:pPr>
      <w:r>
        <w:rPr>
          <w:rFonts w:ascii="Times New Roman"/>
          <w:b w:val="false"/>
          <w:i w:val="false"/>
          <w:color w:val="000000"/>
          <w:sz w:val="28"/>
        </w:rPr>
        <w:t>
      8. Услугодатель с момента их поступления проверяет полноту представленных документов и (или) данных (сведений), содержащихся в них, в случае представления услугополучателем неполного пакета документов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22"/>
    <w:bookmarkStart w:name="z29" w:id="23"/>
    <w:p>
      <w:pPr>
        <w:spacing w:after="0"/>
        <w:ind w:left="0"/>
        <w:jc w:val="both"/>
      </w:pPr>
      <w:r>
        <w:rPr>
          <w:rFonts w:ascii="Times New Roman"/>
          <w:b w:val="false"/>
          <w:i w:val="false"/>
          <w:color w:val="000000"/>
          <w:sz w:val="28"/>
        </w:rPr>
        <w:t>
      9. После приема пакета документов сотрудник услугодателя – секретарь приемной комиссии ОВПО в течение 1 (одного) рабочего дня до 21 июля календарного года направляет сведения из базы данных приемной комиссий ОВПО в общую базу данных Республиканского государственного предприятия на праве хозяйственного ведения "Национальный центр тестирования" Министерства науки и высшего образования Республики Казахстан (далее – НЦТ).</w:t>
      </w:r>
    </w:p>
    <w:bookmarkEnd w:id="23"/>
    <w:bookmarkStart w:name="z117" w:id="24"/>
    <w:p>
      <w:pPr>
        <w:spacing w:after="0"/>
        <w:ind w:left="0"/>
        <w:jc w:val="both"/>
      </w:pPr>
      <w:r>
        <w:rPr>
          <w:rFonts w:ascii="Times New Roman"/>
          <w:b w:val="false"/>
          <w:i w:val="false"/>
          <w:color w:val="000000"/>
          <w:sz w:val="28"/>
        </w:rPr>
        <w:t>
      Услугополучателю выдается справка об участии в конкурсе на присуждении образовательных грантов.</w:t>
      </w:r>
    </w:p>
    <w:bookmarkEnd w:id="24"/>
    <w:bookmarkStart w:name="z118" w:id="25"/>
    <w:p>
      <w:pPr>
        <w:spacing w:after="0"/>
        <w:ind w:left="0"/>
        <w:jc w:val="both"/>
      </w:pPr>
      <w:r>
        <w:rPr>
          <w:rFonts w:ascii="Times New Roman"/>
          <w:b w:val="false"/>
          <w:i w:val="false"/>
          <w:color w:val="000000"/>
          <w:sz w:val="28"/>
        </w:rPr>
        <w:t>
      НЦТ в период с 22 по 27 июля календарного года осуществляет подготовку базы данных и необходимых выходных документов (сводные ведомости в разрезе групп образовательных программ) для рассмотрения на заседании республиканской конкурсной комиссии.</w:t>
      </w:r>
    </w:p>
    <w:bookmarkEnd w:id="25"/>
    <w:bookmarkStart w:name="z119" w:id="26"/>
    <w:p>
      <w:pPr>
        <w:spacing w:after="0"/>
        <w:ind w:left="0"/>
        <w:jc w:val="both"/>
      </w:pPr>
      <w:r>
        <w:rPr>
          <w:rFonts w:ascii="Times New Roman"/>
          <w:b w:val="false"/>
          <w:i w:val="false"/>
          <w:color w:val="000000"/>
          <w:sz w:val="28"/>
        </w:rPr>
        <w:t>
      На основании решения республиканской конкурсной комиссии услугодатель до 10 августа календарного года издает приказ о присуждении образовательных грантов. Копия приказа передается в НЦТ. На основании приказа услугодателя НЦТ в течение 3 (трех) рабочих дней осуществляет подготовку электронных свидетельств о присуждении образовательных грантов.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31.07.2024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10. Услугодатель осуществляет выдачу электронного свидетельства о присуждении образовательного гранта ОВПО не позднее 20 августа, а также приказ руководителя ОВПО о назначении стипендии до 1 сентября календарного года.</w:t>
      </w:r>
    </w:p>
    <w:bookmarkEnd w:id="27"/>
    <w:bookmarkStart w:name="z35" w:id="28"/>
    <w:p>
      <w:pPr>
        <w:spacing w:after="0"/>
        <w:ind w:left="0"/>
        <w:jc w:val="both"/>
      </w:pPr>
      <w:r>
        <w:rPr>
          <w:rFonts w:ascii="Times New Roman"/>
          <w:b w:val="false"/>
          <w:i w:val="false"/>
          <w:color w:val="000000"/>
          <w:sz w:val="28"/>
        </w:rPr>
        <w:t>
      На портале электронное свидетельство о присуждении образовательного гранта направляется в "личный кабинет" услугополучателя в форме электронного документа, подписанного ЭЦП руководителем услугодателя.</w:t>
      </w:r>
    </w:p>
    <w:bookmarkEnd w:id="28"/>
    <w:bookmarkStart w:name="z36" w:id="29"/>
    <w:p>
      <w:pPr>
        <w:spacing w:after="0"/>
        <w:ind w:left="0"/>
        <w:jc w:val="both"/>
      </w:pPr>
      <w:r>
        <w:rPr>
          <w:rFonts w:ascii="Times New Roman"/>
          <w:b w:val="false"/>
          <w:i w:val="false"/>
          <w:color w:val="000000"/>
          <w:sz w:val="28"/>
        </w:rPr>
        <w:t>
      Списки обладателей образовательных грантов публикуются в средствах массовой информации.</w:t>
      </w:r>
    </w:p>
    <w:bookmarkEnd w:id="29"/>
    <w:bookmarkStart w:name="z37" w:id="30"/>
    <w:p>
      <w:pPr>
        <w:spacing w:after="0"/>
        <w:ind w:left="0"/>
        <w:jc w:val="both"/>
      </w:pPr>
      <w:r>
        <w:rPr>
          <w:rFonts w:ascii="Times New Roman"/>
          <w:b w:val="false"/>
          <w:i w:val="false"/>
          <w:color w:val="000000"/>
          <w:sz w:val="28"/>
        </w:rPr>
        <w:t xml:space="preserve">
      11. Услугодатель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актуализирует информацию о порядке ее оказания и направляет в Единый контакт-центр согласно </w:t>
      </w:r>
      <w:r>
        <w:rPr>
          <w:rFonts w:ascii="Times New Roman"/>
          <w:b w:val="false"/>
          <w:i w:val="false"/>
          <w:color w:val="000000"/>
          <w:sz w:val="28"/>
        </w:rPr>
        <w:t>пункта 2</w:t>
      </w:r>
      <w:r>
        <w:rPr>
          <w:rFonts w:ascii="Times New Roman"/>
          <w:b w:val="false"/>
          <w:i w:val="false"/>
          <w:color w:val="000000"/>
          <w:sz w:val="28"/>
        </w:rPr>
        <w:t xml:space="preserve"> статьи 23 Закона.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31.07.2024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Глава 3. Порядок обжалования решений, действий (бездействия) центрального государственного органа, услугодателя и (или) его должностных лиц по вопросам оказания государственных услуг</w:t>
      </w:r>
    </w:p>
    <w:bookmarkEnd w:id="31"/>
    <w:bookmarkStart w:name="z39" w:id="32"/>
    <w:p>
      <w:pPr>
        <w:spacing w:after="0"/>
        <w:ind w:left="0"/>
        <w:jc w:val="both"/>
      </w:pPr>
      <w:r>
        <w:rPr>
          <w:rFonts w:ascii="Times New Roman"/>
          <w:b w:val="false"/>
          <w:i w:val="false"/>
          <w:color w:val="000000"/>
          <w:sz w:val="28"/>
        </w:rPr>
        <w:t>
      12.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xml:space="preserve">
      13.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3"/>
    <w:bookmarkStart w:name="z41" w:id="34"/>
    <w:p>
      <w:pPr>
        <w:spacing w:after="0"/>
        <w:ind w:left="0"/>
        <w:jc w:val="both"/>
      </w:pPr>
      <w:r>
        <w:rPr>
          <w:rFonts w:ascii="Times New Roman"/>
          <w:b w:val="false"/>
          <w:i w:val="false"/>
          <w:color w:val="000000"/>
          <w:sz w:val="28"/>
        </w:rPr>
        <w:t>
      14.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4"/>
    <w:bookmarkStart w:name="z42" w:id="35"/>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"Присуждение образовательных </w:t>
            </w:r>
            <w:r>
              <w:br/>
            </w:r>
            <w:r>
              <w:rPr>
                <w:rFonts w:ascii="Times New Roman"/>
                <w:b w:val="false"/>
                <w:i w:val="false"/>
                <w:color w:val="000000"/>
                <w:sz w:val="20"/>
              </w:rPr>
              <w:t xml:space="preserve">грантов, а также оказание </w:t>
            </w:r>
            <w:r>
              <w:br/>
            </w:r>
            <w:r>
              <w:rPr>
                <w:rFonts w:ascii="Times New Roman"/>
                <w:b w:val="false"/>
                <w:i w:val="false"/>
                <w:color w:val="000000"/>
                <w:sz w:val="20"/>
              </w:rPr>
              <w:t xml:space="preserve">социальной поддержки </w:t>
            </w:r>
            <w:r>
              <w:br/>
            </w:r>
            <w:r>
              <w:rPr>
                <w:rFonts w:ascii="Times New Roman"/>
                <w:b w:val="false"/>
                <w:i w:val="false"/>
                <w:color w:val="000000"/>
                <w:sz w:val="20"/>
              </w:rPr>
              <w:t xml:space="preserve">обучающимся в организациях </w:t>
            </w:r>
            <w:r>
              <w:br/>
            </w:r>
            <w:r>
              <w:rPr>
                <w:rFonts w:ascii="Times New Roman"/>
                <w:b w:val="false"/>
                <w:i w:val="false"/>
                <w:color w:val="000000"/>
                <w:sz w:val="20"/>
              </w:rPr>
              <w:t>высшего образования"</w:t>
            </w:r>
          </w:p>
        </w:tc>
      </w:tr>
    </w:tbl>
    <w:p>
      <w:pPr>
        <w:spacing w:after="0"/>
        <w:ind w:left="0"/>
        <w:jc w:val="both"/>
      </w:pPr>
      <w:r>
        <w:rPr>
          <w:rFonts w:ascii="Times New Roman"/>
          <w:b w:val="false"/>
          <w:i w:val="false"/>
          <w:color w:val="ff0000"/>
          <w:sz w:val="28"/>
        </w:rPr>
        <w:t xml:space="preserve">
      Сноска. Приложение с изменениями, внесенными приказами Министра науки и высшего образования РК от 19.12.2022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31.07.2024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"Присуждение образовательных грантов, а также оказание социальной поддержки обучающимся в организациях высшего образования и (или) послевузовского образования" (далее – Перечень основных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Министерством науки и высшего образования Республики Казахстан (через приемную комиссию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Сроки оказания государственной услуги с момента сдачи пакета документов услугодателю и на портал:</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электронного свидетельства о присуждении образовательного гранта до 20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издание приказа руководителя ОВПО о назначении стипендии до 1 сентября календарного года.</w:t>
            </w:r>
          </w:p>
          <w:p>
            <w:pPr>
              <w:spacing w:after="20"/>
              <w:ind w:left="20"/>
              <w:jc w:val="both"/>
            </w:pPr>
            <w:r>
              <w:rPr>
                <w:rFonts w:ascii="Times New Roman"/>
                <w:b w:val="false"/>
                <w:i w:val="false"/>
                <w:color w:val="000000"/>
                <w:sz w:val="20"/>
              </w:rPr>
              <w:t>
Заявление для участия в конкурсе, в том числе через портал, на присуждение образовательных грантов принимаются с 13 по 20 июля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Результатом оказания государственной услуги является электронное свидетельство о присуждении образовательного гранта, а также приказ руководителя ОВПО о назначении стипендии или мотивированный ответ об отказе в оказании государственной услуги.</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pPr>
              <w:spacing w:after="20"/>
              <w:ind w:left="20"/>
              <w:jc w:val="both"/>
            </w:pPr>
            <w:r>
              <w:rPr>
                <w:rFonts w:ascii="Times New Roman"/>
                <w:b w:val="false"/>
                <w:i w:val="false"/>
                <w:color w:val="000000"/>
                <w:sz w:val="20"/>
              </w:rPr>
              <w:t>
При обращении через портал в "личный кабинет" услугополучателя приходит уведомление о готовности электронного свидетельства о присуждении образовательного гранта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www.sci.gov.kz;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на конкурс по форме согласно приложению к настоящему Перечню основных требований;</w:t>
            </w:r>
          </w:p>
          <w:p>
            <w:pPr>
              <w:spacing w:after="20"/>
              <w:ind w:left="20"/>
              <w:jc w:val="both"/>
            </w:pPr>
            <w:r>
              <w:rPr>
                <w:rFonts w:ascii="Times New Roman"/>
                <w:b w:val="false"/>
                <w:i w:val="false"/>
                <w:color w:val="000000"/>
                <w:sz w:val="20"/>
              </w:rPr>
              <w:t>
2) документ об образовании (подлинник);</w:t>
            </w:r>
          </w:p>
          <w:p>
            <w:pPr>
              <w:spacing w:after="20"/>
              <w:ind w:left="20"/>
              <w:jc w:val="both"/>
            </w:pPr>
            <w:r>
              <w:rPr>
                <w:rFonts w:ascii="Times New Roman"/>
                <w:b w:val="false"/>
                <w:i w:val="false"/>
                <w:color w:val="000000"/>
                <w:sz w:val="20"/>
              </w:rPr>
              <w:t>
3) сертификат единого национального тестирования (за исключением граждан Республики Казахстан, выслуживших установленный срок срочной воинской службы по призыву);</w:t>
            </w:r>
          </w:p>
          <w:p>
            <w:pPr>
              <w:spacing w:after="20"/>
              <w:ind w:left="20"/>
              <w:jc w:val="both"/>
            </w:pPr>
            <w:r>
              <w:rPr>
                <w:rFonts w:ascii="Times New Roman"/>
                <w:b w:val="false"/>
                <w:i w:val="false"/>
                <w:color w:val="000000"/>
                <w:sz w:val="20"/>
              </w:rPr>
              <w:t>
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5) заключение врачебно-консультационной комиссии;</w:t>
            </w:r>
          </w:p>
          <w:p>
            <w:pPr>
              <w:spacing w:after="20"/>
              <w:ind w:left="20"/>
              <w:jc w:val="both"/>
            </w:pPr>
            <w:r>
              <w:rPr>
                <w:rFonts w:ascii="Times New Roman"/>
                <w:b w:val="false"/>
                <w:i w:val="false"/>
                <w:color w:val="000000"/>
                <w:sz w:val="20"/>
              </w:rPr>
              <w:t>
6) свидетельство о смерти либо уведомление о смерти обоих или единственного родителя, или иные документы, подтверждающие отсутствие родителей (решение суда о лишении либо ограничении родительских прав, признании безвестно отсутствующими, объявлении их умершими);</w:t>
            </w:r>
          </w:p>
          <w:p>
            <w:pPr>
              <w:spacing w:after="20"/>
              <w:ind w:left="20"/>
              <w:jc w:val="both"/>
            </w:pPr>
            <w:r>
              <w:rPr>
                <w:rFonts w:ascii="Times New Roman"/>
                <w:b w:val="false"/>
                <w:i w:val="false"/>
                <w:color w:val="000000"/>
                <w:sz w:val="20"/>
              </w:rPr>
              <w:t xml:space="preserve">
7) подтверждающий документ для лиц, приравненных по льготам к участникам Великой Отечественной войны (при наличии); </w:t>
            </w:r>
          </w:p>
          <w:p>
            <w:pPr>
              <w:spacing w:after="20"/>
              <w:ind w:left="20"/>
              <w:jc w:val="both"/>
            </w:pPr>
            <w:r>
              <w:rPr>
                <w:rFonts w:ascii="Times New Roman"/>
                <w:b w:val="false"/>
                <w:i w:val="false"/>
                <w:color w:val="000000"/>
                <w:sz w:val="20"/>
              </w:rPr>
              <w:t>
8) подтверждающий документ для лиц, казахской национальности, не являющихся гражданами Республики Казахстан (при наличии).</w:t>
            </w:r>
          </w:p>
          <w:p>
            <w:pPr>
              <w:spacing w:after="20"/>
              <w:ind w:left="20"/>
              <w:jc w:val="both"/>
            </w:pPr>
            <w:r>
              <w:rPr>
                <w:rFonts w:ascii="Times New Roman"/>
                <w:b w:val="false"/>
                <w:i w:val="false"/>
                <w:color w:val="000000"/>
                <w:sz w:val="20"/>
              </w:rPr>
              <w:t>
Документы, перечисленные в подпунктах 5), 7) и 8)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
Лица, окончившие подготовительные отделения ОВПО на основе государственного образовательного заказа с усиленной языковой подготовкой, представляют транскрипт об окончании, подписанный руководителем ОВПО.</w:t>
            </w:r>
          </w:p>
          <w:p>
            <w:pPr>
              <w:spacing w:after="20"/>
              <w:ind w:left="20"/>
              <w:jc w:val="both"/>
            </w:pPr>
            <w:r>
              <w:rPr>
                <w:rFonts w:ascii="Times New Roman"/>
                <w:b w:val="false"/>
                <w:i w:val="false"/>
                <w:color w:val="000000"/>
                <w:sz w:val="20"/>
              </w:rPr>
              <w:t>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соответствующей специальности не менее одного года, дополнительно подают один из следующих документов:</w:t>
            </w:r>
          </w:p>
          <w:p>
            <w:pPr>
              <w:spacing w:after="20"/>
              <w:ind w:left="20"/>
              <w:jc w:val="both"/>
            </w:pPr>
            <w:r>
              <w:rPr>
                <w:rFonts w:ascii="Times New Roman"/>
                <w:b w:val="false"/>
                <w:i w:val="false"/>
                <w:color w:val="000000"/>
                <w:sz w:val="20"/>
              </w:rPr>
              <w:t>
1) трудовую книжку;</w:t>
            </w:r>
          </w:p>
          <w:p>
            <w:pPr>
              <w:spacing w:after="20"/>
              <w:ind w:left="20"/>
              <w:jc w:val="both"/>
            </w:pPr>
            <w:r>
              <w:rPr>
                <w:rFonts w:ascii="Times New Roman"/>
                <w:b w:val="false"/>
                <w:i w:val="false"/>
                <w:color w:val="000000"/>
                <w:sz w:val="20"/>
              </w:rPr>
              <w:t>
2)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pPr>
              <w:spacing w:after="20"/>
              <w:ind w:left="20"/>
              <w:jc w:val="both"/>
            </w:pPr>
            <w:r>
              <w:rPr>
                <w:rFonts w:ascii="Times New Roman"/>
                <w:b w:val="false"/>
                <w:i w:val="false"/>
                <w:color w:val="000000"/>
                <w:sz w:val="20"/>
              </w:rPr>
              <w:t>
3) архивную справку, содержащую сведения о трудовой деятельности работника;</w:t>
            </w:r>
          </w:p>
          <w:p>
            <w:pPr>
              <w:spacing w:after="20"/>
              <w:ind w:left="20"/>
              <w:jc w:val="both"/>
            </w:pPr>
            <w:r>
              <w:rPr>
                <w:rFonts w:ascii="Times New Roman"/>
                <w:b w:val="false"/>
                <w:i w:val="false"/>
                <w:color w:val="000000"/>
                <w:sz w:val="20"/>
              </w:rPr>
              <w:t>
4)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w:t>
            </w:r>
          </w:p>
          <w:p>
            <w:pPr>
              <w:spacing w:after="20"/>
              <w:ind w:left="20"/>
              <w:jc w:val="both"/>
            </w:pPr>
            <w:r>
              <w:rPr>
                <w:rFonts w:ascii="Times New Roman"/>
                <w:b w:val="false"/>
                <w:i w:val="false"/>
                <w:color w:val="000000"/>
                <w:sz w:val="20"/>
              </w:rPr>
              <w:t>
5) трудовой договор с отметкой работодателя о дате и основании его прекращения;</w:t>
            </w:r>
          </w:p>
          <w:p>
            <w:pPr>
              <w:spacing w:after="20"/>
              <w:ind w:left="20"/>
              <w:jc w:val="both"/>
            </w:pPr>
            <w:r>
              <w:rPr>
                <w:rFonts w:ascii="Times New Roman"/>
                <w:b w:val="false"/>
                <w:i w:val="false"/>
                <w:color w:val="000000"/>
                <w:sz w:val="20"/>
              </w:rPr>
              <w:t>
6)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pPr>
              <w:spacing w:after="20"/>
              <w:ind w:left="20"/>
              <w:jc w:val="both"/>
            </w:pPr>
            <w:r>
              <w:rPr>
                <w:rFonts w:ascii="Times New Roman"/>
                <w:b w:val="false"/>
                <w:i w:val="false"/>
                <w:color w:val="000000"/>
                <w:sz w:val="20"/>
              </w:rPr>
              <w:t>
7) выписки из ведомости выдачи заработной платы работникам.</w:t>
            </w:r>
          </w:p>
          <w:p>
            <w:pPr>
              <w:spacing w:after="20"/>
              <w:ind w:left="20"/>
              <w:jc w:val="both"/>
            </w:pPr>
            <w:r>
              <w:rPr>
                <w:rFonts w:ascii="Times New Roman"/>
                <w:b w:val="false"/>
                <w:i w:val="false"/>
                <w:color w:val="000000"/>
                <w:sz w:val="20"/>
              </w:rPr>
              <w:t>
В заявлении поступающий для участия в конкурсе на присуждение образовательного гранта высшего образования указывает выбранную им группу образовательных программ высшего образования и ОВПО.</w:t>
            </w:r>
          </w:p>
          <w:p>
            <w:pPr>
              <w:spacing w:after="20"/>
              <w:ind w:left="20"/>
              <w:jc w:val="both"/>
            </w:pPr>
            <w:r>
              <w:rPr>
                <w:rFonts w:ascii="Times New Roman"/>
                <w:b w:val="false"/>
                <w:i w:val="false"/>
                <w:color w:val="000000"/>
                <w:sz w:val="20"/>
              </w:rPr>
              <w:t>
При совпадении профильных предметов поступающий может указать до четырех групп образовательных программ.</w:t>
            </w:r>
          </w:p>
          <w:p>
            <w:pPr>
              <w:spacing w:after="20"/>
              <w:ind w:left="20"/>
              <w:jc w:val="both"/>
            </w:pPr>
            <w:r>
              <w:rPr>
                <w:rFonts w:ascii="Times New Roman"/>
                <w:b w:val="false"/>
                <w:i w:val="false"/>
                <w:color w:val="000000"/>
                <w:sz w:val="20"/>
              </w:rPr>
              <w:t>
Подтверждением принятия документов является выдача расписки с указанием фамилии и инициалов лица, принявшего документов, а также штамп, входящий номер и дата.</w:t>
            </w:r>
          </w:p>
          <w:p>
            <w:pPr>
              <w:spacing w:after="20"/>
              <w:ind w:left="20"/>
              <w:jc w:val="both"/>
            </w:pPr>
            <w:r>
              <w:rPr>
                <w:rFonts w:ascii="Times New Roman"/>
                <w:b w:val="false"/>
                <w:i w:val="false"/>
                <w:color w:val="000000"/>
                <w:sz w:val="20"/>
              </w:rPr>
              <w:t>
Для получения социальной поддержки услугополучатель представляет в приемную комиссию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заключение врачебно-консультационной комиссии;</w:t>
            </w:r>
          </w:p>
          <w:p>
            <w:pPr>
              <w:spacing w:after="20"/>
              <w:ind w:left="20"/>
              <w:jc w:val="both"/>
            </w:pPr>
            <w:r>
              <w:rPr>
                <w:rFonts w:ascii="Times New Roman"/>
                <w:b w:val="false"/>
                <w:i w:val="false"/>
                <w:color w:val="000000"/>
                <w:sz w:val="20"/>
              </w:rPr>
              <w:t>
3) свидетельство о смерти либо уведомление о смерти обоих или единственного родителя, или иные документы, подтверждающие отсутствие родителей (решение суда о лишении либо ограничении родительских прав, признании безвестно отсутствующими, объявлении их умершими, признании недееспособными (ограниченно дееспособными);</w:t>
            </w:r>
          </w:p>
          <w:p>
            <w:pPr>
              <w:spacing w:after="20"/>
              <w:ind w:left="20"/>
              <w:jc w:val="both"/>
            </w:pPr>
            <w:r>
              <w:rPr>
                <w:rFonts w:ascii="Times New Roman"/>
                <w:b w:val="false"/>
                <w:i w:val="false"/>
                <w:color w:val="000000"/>
                <w:sz w:val="20"/>
              </w:rPr>
              <w:t xml:space="preserve">
4) подтверждающие документы лиц, приравненных по льготам к участникам Великой Отечественной войны; </w:t>
            </w:r>
          </w:p>
          <w:p>
            <w:pPr>
              <w:spacing w:after="20"/>
              <w:ind w:left="20"/>
              <w:jc w:val="both"/>
            </w:pPr>
            <w:r>
              <w:rPr>
                <w:rFonts w:ascii="Times New Roman"/>
                <w:b w:val="false"/>
                <w:i w:val="false"/>
                <w:color w:val="000000"/>
                <w:sz w:val="20"/>
              </w:rPr>
              <w:t>
5)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Документы, перечисленные в подпункте 4)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заявление на конкурс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электронный документ об образовании;</w:t>
            </w:r>
          </w:p>
          <w:p>
            <w:pPr>
              <w:spacing w:after="20"/>
              <w:ind w:left="20"/>
              <w:jc w:val="both"/>
            </w:pPr>
            <w:r>
              <w:rPr>
                <w:rFonts w:ascii="Times New Roman"/>
                <w:b w:val="false"/>
                <w:i w:val="false"/>
                <w:color w:val="000000"/>
                <w:sz w:val="20"/>
              </w:rPr>
              <w:t>
3) цифровое фото размером 3х4;</w:t>
            </w:r>
          </w:p>
          <w:p>
            <w:pPr>
              <w:spacing w:after="20"/>
              <w:ind w:left="20"/>
              <w:jc w:val="both"/>
            </w:pPr>
            <w:r>
              <w:rPr>
                <w:rFonts w:ascii="Times New Roman"/>
                <w:b w:val="false"/>
                <w:i w:val="false"/>
                <w:color w:val="000000"/>
                <w:sz w:val="20"/>
              </w:rPr>
              <w:t xml:space="preserve">
4) медицинская справка по форме 075/у в электронном формате,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5) электронное заключение врачебно-консультационной комиссии;</w:t>
            </w:r>
          </w:p>
          <w:p>
            <w:pPr>
              <w:spacing w:after="20"/>
              <w:ind w:left="20"/>
              <w:jc w:val="both"/>
            </w:pPr>
            <w:r>
              <w:rPr>
                <w:rFonts w:ascii="Times New Roman"/>
                <w:b w:val="false"/>
                <w:i w:val="false"/>
                <w:color w:val="000000"/>
                <w:sz w:val="20"/>
              </w:rPr>
              <w:t>
6) электронный документ, подтверждающий преимущества услугополучателя (свидетельство о смерти либо уведомление о смерти обоих или единственного родителя, или иные документы, подтверждающие отсутствие родителей, подтверждающие документы лиц, приравненных по льготам к участникам Великой Отечественной войны, справки об инвалидности).</w:t>
            </w:r>
          </w:p>
          <w:p>
            <w:pPr>
              <w:spacing w:after="20"/>
              <w:ind w:left="20"/>
              <w:jc w:val="both"/>
            </w:pPr>
            <w:r>
              <w:rPr>
                <w:rFonts w:ascii="Times New Roman"/>
                <w:b w:val="false"/>
                <w:i w:val="false"/>
                <w:color w:val="000000"/>
                <w:sz w:val="20"/>
              </w:rPr>
              <w:t>
Сведения о документе, удостоверяющем личность, по опеке и попечительству, сертификате единого национального тестирования (за исключением граждан Республики Казахстан, выслуживших установленный срок срочной воинской службы по призыву)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оказании государственной услуги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После подачи заявления услугополучателю вручается уведомление в "личном кабинете" о принятии документов для участия в конкурсе либо мотивированный ответ об отказе.</w:t>
            </w:r>
          </w:p>
          <w:p>
            <w:pPr>
              <w:spacing w:after="20"/>
              <w:ind w:left="20"/>
              <w:jc w:val="both"/>
            </w:pPr>
            <w:r>
              <w:rPr>
                <w:rFonts w:ascii="Times New Roman"/>
                <w:b w:val="false"/>
                <w:i w:val="false"/>
                <w:color w:val="000000"/>
                <w:sz w:val="20"/>
              </w:rPr>
              <w:t>
В случае присуждения образовательного гранта, услугополучатель получает электронное свидетельство о присуждении образовательного гранта в ОВПО на обучение, в котором выигран грант.</w:t>
            </w:r>
          </w:p>
          <w:p>
            <w:pPr>
              <w:spacing w:after="20"/>
              <w:ind w:left="20"/>
              <w:jc w:val="both"/>
            </w:pPr>
            <w:r>
              <w:rPr>
                <w:rFonts w:ascii="Times New Roman"/>
                <w:b w:val="false"/>
                <w:i w:val="false"/>
                <w:color w:val="000000"/>
                <w:sz w:val="20"/>
              </w:rPr>
              <w:t>
Сведения о распределении государственного образовательного заказа на подготовку специалистов с высшим образованием по группам образовательных программ публикуются в средствах массовой информации, а также на интернет-ресурсе услугодателя www.sci.gov.kz.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9"/>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и Единого контакт-центра: 8-800-080-7777, 1414.</w:t>
            </w:r>
          </w:p>
          <w:p>
            <w:pPr>
              <w:spacing w:after="20"/>
              <w:ind w:left="20"/>
              <w:jc w:val="both"/>
            </w:pPr>
            <w:r>
              <w:rPr>
                <w:rFonts w:ascii="Times New Roman"/>
                <w:b w:val="false"/>
                <w:i w:val="false"/>
                <w:color w:val="000000"/>
                <w:sz w:val="20"/>
              </w:rPr>
              <w:t>
Единого контакт-центра"1414",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"Присуждение образовательных</w:t>
            </w:r>
            <w:r>
              <w:br/>
            </w:r>
            <w:r>
              <w:rPr>
                <w:rFonts w:ascii="Times New Roman"/>
                <w:b w:val="false"/>
                <w:i w:val="false"/>
                <w:color w:val="000000"/>
                <w:sz w:val="20"/>
              </w:rPr>
              <w:t>грантов, а также оказание</w:t>
            </w:r>
            <w:r>
              <w:br/>
            </w:r>
            <w:r>
              <w:rPr>
                <w:rFonts w:ascii="Times New Roman"/>
                <w:b w:val="false"/>
                <w:i w:val="false"/>
                <w:color w:val="000000"/>
                <w:sz w:val="20"/>
              </w:rPr>
              <w:t>социальной поддержки</w:t>
            </w:r>
            <w:r>
              <w:br/>
            </w:r>
            <w:r>
              <w:rPr>
                <w:rFonts w:ascii="Times New Roman"/>
                <w:b w:val="false"/>
                <w:i w:val="false"/>
                <w:color w:val="000000"/>
                <w:sz w:val="20"/>
              </w:rPr>
              <w:t>обучающимся в организациях</w:t>
            </w:r>
            <w:r>
              <w:br/>
            </w:r>
            <w:r>
              <w:rPr>
                <w:rFonts w:ascii="Times New Roman"/>
                <w:b w:val="false"/>
                <w:i w:val="false"/>
                <w:color w:val="000000"/>
                <w:sz w:val="20"/>
              </w:rPr>
              <w:t>высшего образования и (или)</w:t>
            </w:r>
            <w:r>
              <w:br/>
            </w:r>
            <w:r>
              <w:rPr>
                <w:rFonts w:ascii="Times New Roman"/>
                <w:b w:val="false"/>
                <w:i w:val="false"/>
                <w:color w:val="000000"/>
                <w:sz w:val="20"/>
              </w:rPr>
              <w:t>послевузовского образования</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науки и высшего образования РК от 19.12.2022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4803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июля 2020 года № 286</w:t>
            </w:r>
          </w:p>
        </w:tc>
      </w:tr>
    </w:tbl>
    <w:bookmarkStart w:name="z106" w:id="41"/>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41"/>
    <w:bookmarkStart w:name="z107"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апреля 2015 года № 186 "Об утверждении стандартов государственных услуг, оказываемых в сфере высшего и послевузовского образования" (зарегистрированный в Реестре государственной регистрации нормативных правовых актов за № 11212, опубликованный 15 июня 2015 года в информационно-правовой системе "Әділет").</w:t>
      </w:r>
    </w:p>
    <w:bookmarkEnd w:id="42"/>
    <w:bookmarkStart w:name="z108"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ноября 2015 года № 654 "О внесении изменений и дополнений в приказ Министра образования и науки Республики Казахстан от 9 апреля 2015 года № 186 "Об утверждении стандартов государственных услуг, оказываемых в сфере высшего и послевузовского образования" (зарегистрированный в Реестре государственной регистрации нормативных правовых актов за № 12509, опубликованный 31 декабря 2015 года в информационно-правовой системе "Әділет").</w:t>
      </w:r>
    </w:p>
    <w:bookmarkEnd w:id="43"/>
    <w:bookmarkStart w:name="z109" w:id="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55 "О внесении изменения в приказ Министра образования и науки Республики Казахстан от 9 апреля 2015 года № 186 "Об утверждении стандартов государственных услуг, оказываемых в сфере высшего и послевузовского образования" (зарегистрированный в Реестре государственной регистрации нормативных правовых актов за № 13332, опубликованный 14 марта 2016 года в информационно-правовой системе "Әділет").</w:t>
      </w:r>
    </w:p>
    <w:bookmarkEnd w:id="44"/>
    <w:bookmarkStart w:name="z110"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3 ноября 2017 года № 561 "О внесении изменений и дополнения в приказ Министра образования и науки Республики Казахстан от 9 апреля 2015 года № 186 "Об утверждении стандартов государственных услуг, оказываемых в сфере высшего и послевузовского образования" (зарегистрированный в Реестре государственной регистрации нормативных правовых актов за № 16058, опубликованный 23 декабря 2017 года в эталонном контрольном банке НПА РК в электронном виде).</w:t>
      </w:r>
    </w:p>
    <w:bookmarkEnd w:id="45"/>
    <w:bookmarkStart w:name="z111"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января 2018 года № 11 "О внесении изменения в приказ Министра образования и науки Республики Казахстан от 9 апреля 2015 года № 186 "Об утверждении стандартов государственных услуг, оказываемых в сфере высшего и послевузовского образования" (зарегистрированный в Реестре государственной регистрации нормативных правовых актов за № 16350, опубликованный 26 февраля 2018 года в эталонном контрольном банке НПА РК в электронном виде).</w:t>
      </w:r>
    </w:p>
    <w:bookmarkEnd w:id="46"/>
    <w:bookmarkStart w:name="z112" w:id="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июня 2015 года № 358 "Об утверждении регламентов государственных услуг в сфере высшего и послевузовского образования" (зарегистрированный в Реестре государственной регистрации нормативных правовых актов за № 11555, опубликованный 14 июля 2015 года в информационно-правовой системе "Әділет").</w:t>
      </w:r>
    </w:p>
    <w:bookmarkEnd w:id="47"/>
    <w:bookmarkStart w:name="z113"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декабря 2015 года № 705 "О внесении изменений в приказ Министра образования и науки Республики Казахстан от 2 июня 2015 года № 358 "Об утверждении регламентов государственных услуг в сфере высшего и послевузовского образования" (зарегистрированный в Реестре государственной регистрации нормативных правовых актов за № 12929, опубликованный 2 февраля 2016 года в информационно-правовой системе "Әділет").</w:t>
      </w:r>
    </w:p>
    <w:bookmarkEnd w:id="48"/>
    <w:bookmarkStart w:name="z114"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19 февраля 2016 года № 158 "О внесении изменений в приказ Министра образования и науки Республики Казахстан от 2 июня 2015 года № 358 "Об утверждении регламентов государственных услуг в сфере высшего и послевузовского образования" (зарегистрированный в Реестре государственной регистрации нормативных правовых актов за № 13509, опубликованный 30 марта 2016 года в информационно-правовой системе "Әділет").</w:t>
      </w:r>
    </w:p>
    <w:bookmarkEnd w:id="49"/>
    <w:bookmarkStart w:name="z115" w:id="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апреля 2018 года № 127 "О внесении изменения в приказ Министра образования и науки Республики Казахстан от 2 июня 2015 года № 358 "Об утверждении регламентов государственных услуг в сфере высшего и послевузовского образования" (зарегистрированный в Реестре государственной регистрации нормативных правовых актов за № 16809, опубликованный 10 мая 2018 года в эталонном контрольном банке НПА РК в электронном виде).</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