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ccc9" w14:textId="958c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27 февраля 2015 года № 152 "Об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6 августа 2020 года № 273. Зарегистрирован в Министерстве юстиции Республики Казахстан 10 августа 2020 года № 21072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 опубликован в газете "Казахстанская правда" от 13 февраля 2016 года № 29 (28155))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3"/>
    <w:bookmarkStart w:name="z9" w:id="4"/>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мегаваттах (далее – МВт);</w:t>
      </w:r>
    </w:p>
    <w:bookmarkEnd w:id="4"/>
    <w:bookmarkStart w:name="z10" w:id="5"/>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w:t>
      </w:r>
    </w:p>
    <w:bookmarkEnd w:id="5"/>
    <w:bookmarkStart w:name="z11" w:id="6"/>
    <w:p>
      <w:pPr>
        <w:spacing w:after="0"/>
        <w:ind w:left="0"/>
        <w:jc w:val="both"/>
      </w:pPr>
      <w:r>
        <w:rPr>
          <w:rFonts w:ascii="Times New Roman"/>
          <w:b w:val="false"/>
          <w:i w:val="false"/>
          <w:color w:val="000000"/>
          <w:sz w:val="28"/>
        </w:rPr>
        <w:t>
      3)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6"/>
    <w:bookmarkStart w:name="z12" w:id="7"/>
    <w:p>
      <w:pPr>
        <w:spacing w:after="0"/>
        <w:ind w:left="0"/>
        <w:jc w:val="both"/>
      </w:pPr>
      <w:r>
        <w:rPr>
          <w:rFonts w:ascii="Times New Roman"/>
          <w:b w:val="false"/>
          <w:i w:val="false"/>
          <w:color w:val="000000"/>
          <w:sz w:val="28"/>
        </w:rPr>
        <w:t>
      4)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7"/>
    <w:bookmarkStart w:name="z13" w:id="8"/>
    <w:p>
      <w:pPr>
        <w:spacing w:after="0"/>
        <w:ind w:left="0"/>
        <w:jc w:val="both"/>
      </w:pPr>
      <w:r>
        <w:rPr>
          <w:rFonts w:ascii="Times New Roman"/>
          <w:b w:val="false"/>
          <w:i w:val="false"/>
          <w:color w:val="000000"/>
          <w:sz w:val="28"/>
        </w:rPr>
        <w:t>
      5) генерирующая установка – устройство, вырабатывающее электрическую энергию;</w:t>
      </w:r>
    </w:p>
    <w:bookmarkEnd w:id="8"/>
    <w:bookmarkStart w:name="z14" w:id="9"/>
    <w:p>
      <w:pPr>
        <w:spacing w:after="0"/>
        <w:ind w:left="0"/>
        <w:jc w:val="both"/>
      </w:pPr>
      <w:r>
        <w:rPr>
          <w:rFonts w:ascii="Times New Roman"/>
          <w:b w:val="false"/>
          <w:i w:val="false"/>
          <w:color w:val="000000"/>
          <w:sz w:val="28"/>
        </w:rPr>
        <w:t>
      6)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9"/>
    <w:bookmarkStart w:name="z15" w:id="10"/>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0"/>
    <w:bookmarkStart w:name="z16" w:id="11"/>
    <w:p>
      <w:pPr>
        <w:spacing w:after="0"/>
        <w:ind w:left="0"/>
        <w:jc w:val="both"/>
      </w:pPr>
      <w:r>
        <w:rPr>
          <w:rFonts w:ascii="Times New Roman"/>
          <w:b w:val="false"/>
          <w:i w:val="false"/>
          <w:color w:val="000000"/>
          <w:sz w:val="28"/>
        </w:rPr>
        <w:t xml:space="preserve">
      8)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от 9 июля 2003 года № 481), в МВт;</w:t>
      </w:r>
    </w:p>
    <w:bookmarkEnd w:id="11"/>
    <w:bookmarkStart w:name="z17" w:id="12"/>
    <w:p>
      <w:pPr>
        <w:spacing w:after="0"/>
        <w:ind w:left="0"/>
        <w:jc w:val="both"/>
      </w:pPr>
      <w:r>
        <w:rPr>
          <w:rFonts w:ascii="Times New Roman"/>
          <w:b w:val="false"/>
          <w:i w:val="false"/>
          <w:color w:val="000000"/>
          <w:sz w:val="28"/>
        </w:rPr>
        <w:t>
      9)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12"/>
    <w:bookmarkStart w:name="z18" w:id="13"/>
    <w:p>
      <w:pPr>
        <w:spacing w:after="0"/>
        <w:ind w:left="0"/>
        <w:jc w:val="both"/>
      </w:pPr>
      <w:r>
        <w:rPr>
          <w:rFonts w:ascii="Times New Roman"/>
          <w:b w:val="false"/>
          <w:i w:val="false"/>
          <w:color w:val="000000"/>
          <w:sz w:val="28"/>
        </w:rPr>
        <w:t>
      10)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или, в случае их отсутствия (не заключения), в одном из действующих двусторонних договоров по обеспечению электрической мощностью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13"/>
    <w:bookmarkStart w:name="z19" w:id="14"/>
    <w:p>
      <w:pPr>
        <w:spacing w:after="0"/>
        <w:ind w:left="0"/>
        <w:jc w:val="both"/>
      </w:pPr>
      <w:r>
        <w:rPr>
          <w:rFonts w:ascii="Times New Roman"/>
          <w:b w:val="false"/>
          <w:i w:val="false"/>
          <w:color w:val="000000"/>
          <w:sz w:val="28"/>
        </w:rPr>
        <w:t>
      11) суммарная электрическая мощность – сумма договорного объема услуги по поддержанию и суммарной вычитаемой электрической мощности, в МВт;</w:t>
      </w:r>
    </w:p>
    <w:bookmarkEnd w:id="14"/>
    <w:bookmarkStart w:name="z20" w:id="15"/>
    <w:p>
      <w:pPr>
        <w:spacing w:after="0"/>
        <w:ind w:left="0"/>
        <w:jc w:val="both"/>
      </w:pPr>
      <w:r>
        <w:rPr>
          <w:rFonts w:ascii="Times New Roman"/>
          <w:b w:val="false"/>
          <w:i w:val="false"/>
          <w:color w:val="000000"/>
          <w:sz w:val="28"/>
        </w:rPr>
        <w:t>
      12) плановый ремонт – плановый ремонт, включенный в согласованный с Системным оператором график ремонтов;</w:t>
      </w:r>
    </w:p>
    <w:bookmarkEnd w:id="15"/>
    <w:bookmarkStart w:name="z21" w:id="16"/>
    <w:p>
      <w:pPr>
        <w:spacing w:after="0"/>
        <w:ind w:left="0"/>
        <w:jc w:val="both"/>
      </w:pPr>
      <w:r>
        <w:rPr>
          <w:rFonts w:ascii="Times New Roman"/>
          <w:b w:val="false"/>
          <w:i w:val="false"/>
          <w:color w:val="000000"/>
          <w:sz w:val="28"/>
        </w:rPr>
        <w:t>
      13) система планирования – совокупность программно-технических средств, предназначенных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p>
    <w:bookmarkEnd w:id="16"/>
    <w:bookmarkStart w:name="z22" w:id="17"/>
    <w:p>
      <w:pPr>
        <w:spacing w:after="0"/>
        <w:ind w:left="0"/>
        <w:jc w:val="both"/>
      </w:pPr>
      <w:r>
        <w:rPr>
          <w:rFonts w:ascii="Times New Roman"/>
          <w:b w:val="false"/>
          <w:i w:val="false"/>
          <w:color w:val="000000"/>
          <w:sz w:val="28"/>
        </w:rPr>
        <w:t>
      14)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w:t>
      </w:r>
    </w:p>
    <w:bookmarkEnd w:id="17"/>
    <w:bookmarkStart w:name="z23" w:id="18"/>
    <w:p>
      <w:pPr>
        <w:spacing w:after="0"/>
        <w:ind w:left="0"/>
        <w:jc w:val="both"/>
      </w:pPr>
      <w:r>
        <w:rPr>
          <w:rFonts w:ascii="Times New Roman"/>
          <w:b w:val="false"/>
          <w:i w:val="false"/>
          <w:color w:val="000000"/>
          <w:sz w:val="28"/>
        </w:rPr>
        <w:t>
      15)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18"/>
    <w:bookmarkStart w:name="z24" w:id="19"/>
    <w:p>
      <w:pPr>
        <w:spacing w:after="0"/>
        <w:ind w:left="0"/>
        <w:jc w:val="both"/>
      </w:pPr>
      <w:r>
        <w:rPr>
          <w:rFonts w:ascii="Times New Roman"/>
          <w:b w:val="false"/>
          <w:i w:val="false"/>
          <w:color w:val="000000"/>
          <w:sz w:val="28"/>
        </w:rPr>
        <w:t>
      16) объем сокращения – разница соответствующих энергопроизводящей организации суммарной электрической мощности отпуска в сеть, увеличенной на значение договорного объема услуги по обеспечению электрической мощностью, и аттестованной электрической мощности, определенная по результатам проведения внеочередных аттестаций электрических станций энергопроизводящей организации, в МВт;</w:t>
      </w:r>
    </w:p>
    <w:bookmarkEnd w:id="19"/>
    <w:bookmarkStart w:name="z25" w:id="20"/>
    <w:p>
      <w:pPr>
        <w:spacing w:after="0"/>
        <w:ind w:left="0"/>
        <w:jc w:val="both"/>
      </w:pPr>
      <w:r>
        <w:rPr>
          <w:rFonts w:ascii="Times New Roman"/>
          <w:b w:val="false"/>
          <w:i w:val="false"/>
          <w:color w:val="000000"/>
          <w:sz w:val="28"/>
        </w:rPr>
        <w:t>
      17) номинальный плановый ремонтный период – отрезок времени, необходимый для проведения планового ремонта соответствующей генерирующей установки в типовом объеме, длительностью не более ста восьмидесяти календарных дней в рамках соответствующего календарного года;</w:t>
      </w:r>
    </w:p>
    <w:bookmarkEnd w:id="20"/>
    <w:bookmarkStart w:name="z26" w:id="21"/>
    <w:p>
      <w:pPr>
        <w:spacing w:after="0"/>
        <w:ind w:left="0"/>
        <w:jc w:val="both"/>
      </w:pPr>
      <w:r>
        <w:rPr>
          <w:rFonts w:ascii="Times New Roman"/>
          <w:b w:val="false"/>
          <w:i w:val="false"/>
          <w:color w:val="000000"/>
          <w:sz w:val="28"/>
        </w:rPr>
        <w:t>
      18)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21"/>
    <w:bookmarkStart w:name="z27" w:id="22"/>
    <w:p>
      <w:pPr>
        <w:spacing w:after="0"/>
        <w:ind w:left="0"/>
        <w:jc w:val="both"/>
      </w:pPr>
      <w:r>
        <w:rPr>
          <w:rFonts w:ascii="Times New Roman"/>
          <w:b w:val="false"/>
          <w:i w:val="false"/>
          <w:color w:val="000000"/>
          <w:sz w:val="28"/>
        </w:rPr>
        <w:t>
      19)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 же реализации на оптовом и (или) розничном рынках электрической энергии, и не заключившая договоры о покупке услуги по поддержанию готовности электрической мощности с единым закупщиком;</w:t>
      </w:r>
    </w:p>
    <w:bookmarkEnd w:id="22"/>
    <w:bookmarkStart w:name="z28" w:id="23"/>
    <w:p>
      <w:pPr>
        <w:spacing w:after="0"/>
        <w:ind w:left="0"/>
        <w:jc w:val="both"/>
      </w:pPr>
      <w:r>
        <w:rPr>
          <w:rFonts w:ascii="Times New Roman"/>
          <w:b w:val="false"/>
          <w:i w:val="false"/>
          <w:color w:val="000000"/>
          <w:sz w:val="28"/>
        </w:rPr>
        <w:t>
      20) нетто-мощность промышленного комплекса – электрическая мощность, представляющая из себя разность электрической мощности потребления промышленного комплекса и электрической мощности отпуска в сеть электрических станций, входящих в состав промышленного комплекса, с учетом покупки у расчетно-финансового центра электрической энергии, произведенной объектами по использованию возобновляемых источников энергии, в качестве условного потребителя электрической энергии от возобновляемых источников энергии (отрицательные значения данной разницы приравниваются к нулю);</w:t>
      </w:r>
    </w:p>
    <w:bookmarkEnd w:id="23"/>
    <w:bookmarkStart w:name="z29" w:id="24"/>
    <w:p>
      <w:pPr>
        <w:spacing w:after="0"/>
        <w:ind w:left="0"/>
        <w:jc w:val="both"/>
      </w:pPr>
      <w:r>
        <w:rPr>
          <w:rFonts w:ascii="Times New Roman"/>
          <w:b w:val="false"/>
          <w:i w:val="false"/>
          <w:color w:val="000000"/>
          <w:sz w:val="28"/>
        </w:rPr>
        <w:t>
      21)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24"/>
    <w:bookmarkStart w:name="z30" w:id="25"/>
    <w:p>
      <w:pPr>
        <w:spacing w:after="0"/>
        <w:ind w:left="0"/>
        <w:jc w:val="both"/>
      </w:pPr>
      <w:r>
        <w:rPr>
          <w:rFonts w:ascii="Times New Roman"/>
          <w:b w:val="false"/>
          <w:i w:val="false"/>
          <w:color w:val="000000"/>
          <w:sz w:val="28"/>
        </w:rPr>
        <w:t xml:space="preserve">
      22) не продаваемая на торгах электрическая мощность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1), 2), 3) и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и суммарной вычитаемой электрической мощности, уменьшенной на сумму значений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p>
    <w:bookmarkEnd w:id="25"/>
    <w:bookmarkStart w:name="z31" w:id="26"/>
    <w:p>
      <w:pPr>
        <w:spacing w:after="0"/>
        <w:ind w:left="0"/>
        <w:jc w:val="both"/>
      </w:pPr>
      <w:r>
        <w:rPr>
          <w:rFonts w:ascii="Times New Roman"/>
          <w:b w:val="false"/>
          <w:i w:val="false"/>
          <w:color w:val="000000"/>
          <w:sz w:val="28"/>
        </w:rPr>
        <w:t>
      23)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26"/>
    <w:bookmarkStart w:name="z32" w:id="27"/>
    <w:p>
      <w:pPr>
        <w:spacing w:after="0"/>
        <w:ind w:left="0"/>
        <w:jc w:val="both"/>
      </w:pPr>
      <w:r>
        <w:rPr>
          <w:rFonts w:ascii="Times New Roman"/>
          <w:b w:val="false"/>
          <w:i w:val="false"/>
          <w:color w:val="000000"/>
          <w:sz w:val="28"/>
        </w:rPr>
        <w:t xml:space="preserve">
      24)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по условиям обеспечения, заданным расходам воды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от 9 июля 2003 года № 481, в МВт;</w:t>
      </w:r>
    </w:p>
    <w:bookmarkEnd w:id="27"/>
    <w:bookmarkStart w:name="z33" w:id="28"/>
    <w:p>
      <w:pPr>
        <w:spacing w:after="0"/>
        <w:ind w:left="0"/>
        <w:jc w:val="both"/>
      </w:pPr>
      <w:r>
        <w:rPr>
          <w:rFonts w:ascii="Times New Roman"/>
          <w:b w:val="false"/>
          <w:i w:val="false"/>
          <w:color w:val="000000"/>
          <w:sz w:val="28"/>
        </w:rPr>
        <w:t>
      25)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8"/>
    <w:bookmarkStart w:name="z34" w:id="29"/>
    <w:p>
      <w:pPr>
        <w:spacing w:after="0"/>
        <w:ind w:left="0"/>
        <w:jc w:val="both"/>
      </w:pPr>
      <w:r>
        <w:rPr>
          <w:rFonts w:ascii="Times New Roman"/>
          <w:b w:val="false"/>
          <w:i w:val="false"/>
          <w:color w:val="000000"/>
          <w:sz w:val="28"/>
        </w:rPr>
        <w:t>
      26)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w:t>
      </w:r>
    </w:p>
    <w:bookmarkEnd w:id="29"/>
    <w:bookmarkStart w:name="z35" w:id="30"/>
    <w:p>
      <w:pPr>
        <w:spacing w:after="0"/>
        <w:ind w:left="0"/>
        <w:jc w:val="both"/>
      </w:pPr>
      <w:r>
        <w:rPr>
          <w:rFonts w:ascii="Times New Roman"/>
          <w:b w:val="false"/>
          <w:i w:val="false"/>
          <w:color w:val="000000"/>
          <w:sz w:val="28"/>
        </w:rPr>
        <w:t xml:space="preserve">
      27)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w:t>
      </w:r>
    </w:p>
    <w:bookmarkEnd w:id="30"/>
    <w:bookmarkStart w:name="z36" w:id="31"/>
    <w:p>
      <w:pPr>
        <w:spacing w:after="0"/>
        <w:ind w:left="0"/>
        <w:jc w:val="both"/>
      </w:pPr>
      <w:r>
        <w:rPr>
          <w:rFonts w:ascii="Times New Roman"/>
          <w:b w:val="false"/>
          <w:i w:val="false"/>
          <w:color w:val="000000"/>
          <w:sz w:val="28"/>
        </w:rPr>
        <w:t>
      28) уполномоченный орган – государственный орган, осуществляющий руководство в области электроэнергетики;</w:t>
      </w:r>
    </w:p>
    <w:bookmarkEnd w:id="31"/>
    <w:bookmarkStart w:name="z37" w:id="32"/>
    <w:p>
      <w:pPr>
        <w:spacing w:after="0"/>
        <w:ind w:left="0"/>
        <w:jc w:val="both"/>
      </w:pPr>
      <w:r>
        <w:rPr>
          <w:rFonts w:ascii="Times New Roman"/>
          <w:b w:val="false"/>
          <w:i w:val="false"/>
          <w:color w:val="000000"/>
          <w:sz w:val="28"/>
        </w:rPr>
        <w:t>
      29)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32"/>
    <w:bookmarkStart w:name="z38" w:id="33"/>
    <w:p>
      <w:pPr>
        <w:spacing w:after="0"/>
        <w:ind w:left="0"/>
        <w:jc w:val="both"/>
      </w:pPr>
      <w:r>
        <w:rPr>
          <w:rFonts w:ascii="Times New Roman"/>
          <w:b w:val="false"/>
          <w:i w:val="false"/>
          <w:color w:val="000000"/>
          <w:sz w:val="28"/>
        </w:rPr>
        <w:t>
      30)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33"/>
    <w:bookmarkStart w:name="z39" w:id="34"/>
    <w:p>
      <w:pPr>
        <w:spacing w:after="0"/>
        <w:ind w:left="0"/>
        <w:jc w:val="both"/>
      </w:pPr>
      <w:r>
        <w:rPr>
          <w:rFonts w:ascii="Times New Roman"/>
          <w:b w:val="false"/>
          <w:i w:val="false"/>
          <w:color w:val="000000"/>
          <w:sz w:val="28"/>
        </w:rPr>
        <w:t>
      31)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w:t>
      </w:r>
    </w:p>
    <w:bookmarkEnd w:id="34"/>
    <w:bookmarkStart w:name="z40" w:id="35"/>
    <w:p>
      <w:pPr>
        <w:spacing w:after="0"/>
        <w:ind w:left="0"/>
        <w:jc w:val="both"/>
      </w:pPr>
      <w:r>
        <w:rPr>
          <w:rFonts w:ascii="Times New Roman"/>
          <w:b w:val="false"/>
          <w:i w:val="false"/>
          <w:color w:val="000000"/>
          <w:sz w:val="28"/>
        </w:rPr>
        <w:t>
      32)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w:t>
      </w:r>
    </w:p>
    <w:bookmarkEnd w:id="35"/>
    <w:bookmarkStart w:name="z41" w:id="36"/>
    <w:p>
      <w:pPr>
        <w:spacing w:after="0"/>
        <w:ind w:left="0"/>
        <w:jc w:val="both"/>
      </w:pPr>
      <w:r>
        <w:rPr>
          <w:rFonts w:ascii="Times New Roman"/>
          <w:b w:val="false"/>
          <w:i w:val="false"/>
          <w:color w:val="000000"/>
          <w:sz w:val="28"/>
        </w:rPr>
        <w:t>
      33)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w:t>
      </w:r>
    </w:p>
    <w:bookmarkEnd w:id="36"/>
    <w:bookmarkStart w:name="z42" w:id="37"/>
    <w:p>
      <w:pPr>
        <w:spacing w:after="0"/>
        <w:ind w:left="0"/>
        <w:jc w:val="both"/>
      </w:pPr>
      <w:r>
        <w:rPr>
          <w:rFonts w:ascii="Times New Roman"/>
          <w:b w:val="false"/>
          <w:i w:val="false"/>
          <w:color w:val="000000"/>
          <w:sz w:val="28"/>
        </w:rPr>
        <w:t>
      34) услуга по обеспечению электрической мощностью – услуга, оказываемая энергопроизводящими организациями потребителям, входящим с ними в одну группу лиц, включенную в реестр групп лиц, по обеспечению электрической мощностью;</w:t>
      </w:r>
    </w:p>
    <w:bookmarkEnd w:id="37"/>
    <w:bookmarkStart w:name="z43" w:id="38"/>
    <w:p>
      <w:pPr>
        <w:spacing w:after="0"/>
        <w:ind w:left="0"/>
        <w:jc w:val="both"/>
      </w:pPr>
      <w:r>
        <w:rPr>
          <w:rFonts w:ascii="Times New Roman"/>
          <w:b w:val="false"/>
          <w:i w:val="false"/>
          <w:color w:val="000000"/>
          <w:sz w:val="28"/>
        </w:rPr>
        <w:t>
      35) договорной объем услуги по обеспечению электрической мощностью – сумма объемов услуги по обеспечению электрической мощностью, указанных для соответствующего календарного года в действующих двусторонних договорах по обеспечению электрической мощностью между энергопроизводящей организацией и потребителями, входящими с ней в одну группу лиц, включенную в реестр групп лиц, в МВт;</w:t>
      </w:r>
    </w:p>
    <w:bookmarkEnd w:id="38"/>
    <w:bookmarkStart w:name="z44" w:id="39"/>
    <w:p>
      <w:pPr>
        <w:spacing w:after="0"/>
        <w:ind w:left="0"/>
        <w:jc w:val="both"/>
      </w:pPr>
      <w:r>
        <w:rPr>
          <w:rFonts w:ascii="Times New Roman"/>
          <w:b w:val="false"/>
          <w:i w:val="false"/>
          <w:color w:val="000000"/>
          <w:sz w:val="28"/>
        </w:rPr>
        <w:t>
      36)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39"/>
    <w:bookmarkStart w:name="z45" w:id="40"/>
    <w:p>
      <w:pPr>
        <w:spacing w:after="0"/>
        <w:ind w:left="0"/>
        <w:jc w:val="both"/>
      </w:pPr>
      <w:r>
        <w:rPr>
          <w:rFonts w:ascii="Times New Roman"/>
          <w:b w:val="false"/>
          <w:i w:val="false"/>
          <w:color w:val="000000"/>
          <w:sz w:val="28"/>
        </w:rPr>
        <w:t>
      37)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0"/>
    <w:bookmarkStart w:name="z46" w:id="41"/>
    <w:p>
      <w:pPr>
        <w:spacing w:after="0"/>
        <w:ind w:left="0"/>
        <w:jc w:val="both"/>
      </w:pPr>
      <w:r>
        <w:rPr>
          <w:rFonts w:ascii="Times New Roman"/>
          <w:b w:val="false"/>
          <w:i w:val="false"/>
          <w:color w:val="000000"/>
          <w:sz w:val="28"/>
        </w:rPr>
        <w:t>
      38)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41"/>
    <w:bookmarkStart w:name="z47" w:id="42"/>
    <w:p>
      <w:pPr>
        <w:spacing w:after="0"/>
        <w:ind w:left="0"/>
        <w:jc w:val="both"/>
      </w:pPr>
      <w:r>
        <w:rPr>
          <w:rFonts w:ascii="Times New Roman"/>
          <w:b w:val="false"/>
          <w:i w:val="false"/>
          <w:color w:val="000000"/>
          <w:sz w:val="28"/>
        </w:rPr>
        <w:t>
      39) электрическая мощность собственных нужд электрической станции – электрическая мощность, представляющая из себя разность электрической мощности генерации и электрической мощности отпуска в сеть генерирующих установок электрической станции;</w:t>
      </w:r>
    </w:p>
    <w:bookmarkEnd w:id="42"/>
    <w:bookmarkStart w:name="z48" w:id="43"/>
    <w:p>
      <w:pPr>
        <w:spacing w:after="0"/>
        <w:ind w:left="0"/>
        <w:jc w:val="both"/>
      </w:pPr>
      <w:r>
        <w:rPr>
          <w:rFonts w:ascii="Times New Roman"/>
          <w:b w:val="false"/>
          <w:i w:val="false"/>
          <w:color w:val="000000"/>
          <w:sz w:val="28"/>
        </w:rPr>
        <w:t>
      40)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43"/>
    <w:bookmarkStart w:name="z49" w:id="44"/>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1" w:id="45"/>
    <w:p>
      <w:pPr>
        <w:spacing w:after="0"/>
        <w:ind w:left="0"/>
        <w:jc w:val="both"/>
      </w:pPr>
      <w:r>
        <w:rPr>
          <w:rFonts w:ascii="Times New Roman"/>
          <w:b w:val="false"/>
          <w:i w:val="false"/>
          <w:color w:val="000000"/>
          <w:sz w:val="28"/>
        </w:rPr>
        <w:t>
      "9. При поступлении от единого закупщика письма (на официальном бланке) о вводе, переносе либо снятии мероприятий по вводу ограничений в адрес потребителя рынка мощности Системный оператор, соответственно, вводит, переносит либо снимает мероприятия по вводу ограничений в адрес данного потребителя.";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3" w:id="46"/>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либо в случае не заключения потребителем рынка мощности договора на оказание услуги по обеспечению готовности электрической мощности к несению нагрузки с единым закупщиком, единый закупщик направляет потребителю рынка мощности и Системному оператору письма (на официальном бланке) о вводе либо о переносе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данных действий, а также объема вводимых ограничений (в процентном соотношении).</w:t>
      </w:r>
    </w:p>
    <w:bookmarkEnd w:id="46"/>
    <w:bookmarkStart w:name="z54" w:id="47"/>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потребителю рынка мощности и Системному оператору письма (на официальном бланке) о снятии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данного действия.</w:t>
      </w:r>
    </w:p>
    <w:bookmarkEnd w:id="47"/>
    <w:bookmarkStart w:name="z55" w:id="48"/>
    <w:p>
      <w:pPr>
        <w:spacing w:after="0"/>
        <w:ind w:left="0"/>
        <w:jc w:val="both"/>
      </w:pPr>
      <w:r>
        <w:rPr>
          <w:rFonts w:ascii="Times New Roman"/>
          <w:b w:val="false"/>
          <w:i w:val="false"/>
          <w:color w:val="000000"/>
          <w:sz w:val="28"/>
        </w:rPr>
        <w:t>
      Письма, указанные в части первой настоящего пункта, направляются единым закупщиком потребителю рынка электрической мощности и Системному оператору не позднее чем за 72 часа до времени осуществления Системным оператором действий, указанных в данных письмах.";</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57" w:id="49"/>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49"/>
    <w:bookmarkStart w:name="z58" w:id="50"/>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50"/>
    <w:bookmarkStart w:name="z59" w:id="51"/>
    <w:p>
      <w:pPr>
        <w:spacing w:after="0"/>
        <w:ind w:left="0"/>
        <w:jc w:val="both"/>
      </w:pPr>
      <w:r>
        <w:rPr>
          <w:rFonts w:ascii="Times New Roman"/>
          <w:b w:val="false"/>
          <w:i w:val="false"/>
          <w:color w:val="000000"/>
          <w:sz w:val="28"/>
        </w:rPr>
        <w:t>
      2) исполнение тестовых команд Системного оператора;</w:t>
      </w:r>
    </w:p>
    <w:bookmarkEnd w:id="51"/>
    <w:bookmarkStart w:name="z60" w:id="52"/>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52"/>
    <w:bookmarkStart w:name="z61" w:id="53"/>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53"/>
    <w:bookmarkStart w:name="z62" w:id="54"/>
    <w:p>
      <w:pPr>
        <w:spacing w:after="0"/>
        <w:ind w:left="0"/>
        <w:jc w:val="both"/>
      </w:pPr>
      <w:r>
        <w:rPr>
          <w:rFonts w:ascii="Times New Roman"/>
          <w:b w:val="false"/>
          <w:i w:val="false"/>
          <w:color w:val="000000"/>
          <w:sz w:val="28"/>
        </w:rPr>
        <w:t xml:space="preserve">
      5) ежедневное, до 11:00 часов текущих суток (по времени города Нур-Султана),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при не поступлении до 16:00 часов текущих суток (по времени города Нур-Султана) от Системного оператора уведомления о дате планируемой подачи тестовой команды, указанного в пункте 29 настоящих Правил,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данных электрических станций (при условии подачи соответствующей заявки Системному оператору на вывод оборудования из ремонта), а также дополнительная корректировка данной информации в случае предоставления Системному оператору копии распоряжения об изменении водного режима данных электрических станций,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от 9 июля 2003 года № 481;</w:t>
      </w:r>
    </w:p>
    <w:bookmarkEnd w:id="54"/>
    <w:bookmarkStart w:name="z63" w:id="55"/>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55"/>
    <w:bookmarkStart w:name="z64" w:id="56"/>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56"/>
    <w:bookmarkStart w:name="z65" w:id="57"/>
    <w:p>
      <w:pPr>
        <w:spacing w:after="0"/>
        <w:ind w:left="0"/>
        <w:jc w:val="both"/>
      </w:pPr>
      <w:r>
        <w:rPr>
          <w:rFonts w:ascii="Times New Roman"/>
          <w:b w:val="false"/>
          <w:i w:val="false"/>
          <w:color w:val="000000"/>
          <w:sz w:val="28"/>
        </w:rPr>
        <w:t xml:space="preserve">
      8) ежемесячное, до 28 числа, предоставление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и согласование данной информации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57"/>
    <w:bookmarkStart w:name="z66" w:id="58"/>
    <w:p>
      <w:pPr>
        <w:spacing w:after="0"/>
        <w:ind w:left="0"/>
        <w:jc w:val="both"/>
      </w:pPr>
      <w:r>
        <w:rPr>
          <w:rFonts w:ascii="Times New Roman"/>
          <w:b w:val="false"/>
          <w:i w:val="false"/>
          <w:color w:val="000000"/>
          <w:sz w:val="28"/>
        </w:rPr>
        <w:t>
      Предоставленные Системному оператору и согласованные с Системным оператором согласно подпункту 8) настоящего пункта значения возможной электрической мощности генерации энергопроизводящей организации не подлежат корректировке в течение расчетного периода (календарного месяца), на который они предоставлены, за исключением месяца начала (завершения) отопительного периода, в течение которого допускается одноразовая корректировка указанных значений, при этом, данная корректировка осуществляется на основании соответствующего письма энергопроизводящей организации (на имя Системного оператора) и соответствующего согласования Системного оператора, и применяется только для той части указанного месяца, которая начинается со дня начала (завершения) отопительного периода.</w:t>
      </w:r>
    </w:p>
    <w:bookmarkEnd w:id="58"/>
    <w:bookmarkStart w:name="z67" w:id="59"/>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в срок, указанный в подпункте 8) настоящего пункта, либо не согласования указанной информации (после ее предоставления Системному оператору) с Системным оператором в срок, указанный в подпункте 8) настоящего пункта, Системный оператор включает значения возможной электрической мощности генерации энергопроизводящей организации (для предстоящего календарного месяца)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59"/>
    <w:bookmarkStart w:name="z68" w:id="60"/>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рабочей электрической мощности генерации электрических станций, входящих в ее состав, на предстоящие сутки в срок, указанный в подпункте 5) настоящего пункта, либо не согласования данной информации Системным оператором (после ее предоставления Системному оператору), Системный оператор включает значения рабочей электрической мощности генерации электрических станций энергопроизводящей организации (на предстоящие сутки)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60"/>
    <w:bookmarkStart w:name="z69" w:id="61"/>
    <w:p>
      <w:pPr>
        <w:spacing w:after="0"/>
        <w:ind w:left="0"/>
        <w:jc w:val="both"/>
      </w:pPr>
      <w:r>
        <w:rPr>
          <w:rFonts w:ascii="Times New Roman"/>
          <w:b w:val="false"/>
          <w:i w:val="false"/>
          <w:color w:val="000000"/>
          <w:sz w:val="28"/>
        </w:rPr>
        <w:t>
      29. Тестовые команды Системный оператор подает не чаще, чем три раза в календарный месяц. При этом временной интервал между тестовыми командами составляет не менее 3 (трех) календарных дней.</w:t>
      </w:r>
    </w:p>
    <w:bookmarkEnd w:id="61"/>
    <w:bookmarkStart w:name="z70" w:id="62"/>
    <w:p>
      <w:pPr>
        <w:spacing w:after="0"/>
        <w:ind w:left="0"/>
        <w:jc w:val="both"/>
      </w:pPr>
      <w:r>
        <w:rPr>
          <w:rFonts w:ascii="Times New Roman"/>
          <w:b w:val="false"/>
          <w:i w:val="false"/>
          <w:color w:val="000000"/>
          <w:sz w:val="28"/>
        </w:rPr>
        <w:t>
      Не позднее, чем за 8 (восемь) часов до даты планируемой подачи тестовой команды, Системный оператор по оперативным каналам связи уведомляет соответствующую энергопроизводящую организацию о дате планируемой подачи тестовой команды с внесением соответствующих записей в оперативные журналы Системного оператора и данной энергопроизводящей организации.</w:t>
      </w:r>
    </w:p>
    <w:bookmarkEnd w:id="62"/>
    <w:bookmarkStart w:name="z71" w:id="63"/>
    <w:p>
      <w:pPr>
        <w:spacing w:after="0"/>
        <w:ind w:left="0"/>
        <w:jc w:val="both"/>
      </w:pPr>
      <w:r>
        <w:rPr>
          <w:rFonts w:ascii="Times New Roman"/>
          <w:b w:val="false"/>
          <w:i w:val="false"/>
          <w:color w:val="000000"/>
          <w:sz w:val="28"/>
        </w:rPr>
        <w:t>
      Тестовые команды и уведомления о тестовой команде фиксируются в оперативных журналах дежурного персонала Системного оператора и соответствующих энергопроизводящих организаций.</w:t>
      </w:r>
    </w:p>
    <w:bookmarkEnd w:id="63"/>
    <w:bookmarkStart w:name="z72" w:id="64"/>
    <w:p>
      <w:pPr>
        <w:spacing w:after="0"/>
        <w:ind w:left="0"/>
        <w:jc w:val="both"/>
      </w:pPr>
      <w:r>
        <w:rPr>
          <w:rFonts w:ascii="Times New Roman"/>
          <w:b w:val="false"/>
          <w:i w:val="false"/>
          <w:color w:val="000000"/>
          <w:sz w:val="28"/>
        </w:rPr>
        <w:t>
      Тестовые команды не подаются (отменяются) Системным оператором:</w:t>
      </w:r>
    </w:p>
    <w:bookmarkEnd w:id="64"/>
    <w:bookmarkStart w:name="z73" w:id="65"/>
    <w:p>
      <w:pPr>
        <w:spacing w:after="0"/>
        <w:ind w:left="0"/>
        <w:jc w:val="both"/>
      </w:pPr>
      <w:r>
        <w:rPr>
          <w:rFonts w:ascii="Times New Roman"/>
          <w:b w:val="false"/>
          <w:i w:val="false"/>
          <w:color w:val="000000"/>
          <w:sz w:val="28"/>
        </w:rPr>
        <w:t>
      1) если в день планируемой подачи тестовой команды электрическая станция (электрические станции), входящая (входящие) в состав соответствующей энергопроизводящей организации, проходит (проходят) аттестацию электрической мощности генерирующих установок;</w:t>
      </w:r>
    </w:p>
    <w:bookmarkEnd w:id="65"/>
    <w:bookmarkStart w:name="z74" w:id="66"/>
    <w:p>
      <w:pPr>
        <w:spacing w:after="0"/>
        <w:ind w:left="0"/>
        <w:jc w:val="both"/>
      </w:pPr>
      <w:r>
        <w:rPr>
          <w:rFonts w:ascii="Times New Roman"/>
          <w:b w:val="false"/>
          <w:i w:val="false"/>
          <w:color w:val="000000"/>
          <w:sz w:val="28"/>
        </w:rPr>
        <w:t xml:space="preserve">
      2) если день планируемой подачи тестовой команды приходится на период проведения природоохранных попусков воды через электрическую станцию (электрические станции), входящую (входящие) в состав соответствующей энергопроизводящей организации, либо на период ледостава, подтверждаемых распоряжением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от 9 июля 2003 года № 481;</w:t>
      </w:r>
    </w:p>
    <w:bookmarkEnd w:id="66"/>
    <w:bookmarkStart w:name="z75" w:id="67"/>
    <w:p>
      <w:pPr>
        <w:spacing w:after="0"/>
        <w:ind w:left="0"/>
        <w:jc w:val="both"/>
      </w:pPr>
      <w:r>
        <w:rPr>
          <w:rFonts w:ascii="Times New Roman"/>
          <w:b w:val="false"/>
          <w:i w:val="false"/>
          <w:color w:val="000000"/>
          <w:sz w:val="28"/>
        </w:rPr>
        <w:t xml:space="preserve">
      3) в дни зимних месяцев календарного года: декабря, января и февраля месяцев (только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а для также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 при условии своевременного (до времени подачи соответствующей тестовой команды) уведомления (по электронной почте) соответствующей энергопроизводящей организацией системного оператора о возникновении либо сохранении в день планируемой подачи тестовой команды аномального понижения температуры окружающего воздуха в районе (районах) нахождения электрической станции (электрических станций), входящей (входящих) в ее состав, с приложением электронной копии соответствующего штормового предупреждения от уполномоченного органа по гражданской защите и (или) уполномоченного органа в области охраны окружающей среды;</w:t>
      </w:r>
    </w:p>
    <w:bookmarkEnd w:id="67"/>
    <w:bookmarkStart w:name="z76" w:id="68"/>
    <w:p>
      <w:pPr>
        <w:spacing w:after="0"/>
        <w:ind w:left="0"/>
        <w:jc w:val="both"/>
      </w:pPr>
      <w:r>
        <w:rPr>
          <w:rFonts w:ascii="Times New Roman"/>
          <w:b w:val="false"/>
          <w:i w:val="false"/>
          <w:color w:val="000000"/>
          <w:sz w:val="28"/>
        </w:rPr>
        <w:t>
      4) в случае возникновения в день планируемой подачи тестовой команды опасности перегруза контролируемых Системным оператором линий электропередачи (сечений), при этом, если данный перегруз возник в течение исполнения уже поданной тестовой команды, Системный оператор отменяет данную тестовую команду, и назначает другую дату и время ее подачи. После получения распоряжения Системного оператора об отмене исполнения тестовой команды, энергопроизводящая организация в кратчайшие сроки обеспечивает восстановление предыдущих (до указанного перегруза) режимов работы электрических станций, входящих в ее состав.";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"33. В случае, если энергопроизводящая организация не осуществила по соответствующей команде Системного оператора действий, указанных в подпункте 1) или подпункте 2) пункта 32 настоящих Правил, либо если по результатам осуществления данных действий значение (округленное до десятых) средней скорости увеличения (уменьшения) электрической мощности какой-либо задействованной в их осуществлении электрической станции энергопроизводящей организации окажется меньше соответствующего ее типу минимального значения средней скорости увеличения (уменьшения) электрической мощности, указанного в Правилах проведения аттестации, либо в случае, если во время исполнения тестовой команды у одной или нескольких электрических станций, входящих в состав энергопроизводящей организации, имелись неисправности с автоматизированной системой коммерческого учета электрической энергии и (или) приборами телеметрии с автоматической трансляцией на диспетчерские пункты Системного оператора, тестовая команда Системного оператора считается невыполненной.";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"53. Изменение договорного объема услуги по обеспечению в сторону уменьшения не допускается, за исключением следующих случаев:</w:t>
      </w:r>
    </w:p>
    <w:bookmarkEnd w:id="70"/>
    <w:bookmarkStart w:name="z81" w:id="71"/>
    <w:p>
      <w:pPr>
        <w:spacing w:after="0"/>
        <w:ind w:left="0"/>
        <w:jc w:val="both"/>
      </w:pPr>
      <w:r>
        <w:rPr>
          <w:rFonts w:ascii="Times New Roman"/>
          <w:b w:val="false"/>
          <w:i w:val="false"/>
          <w:color w:val="000000"/>
          <w:sz w:val="28"/>
        </w:rPr>
        <w:t>
      1) перехода потребителя электрической энергии от одной энергоснабжающей организации (далее – первая ЭСО) к другой энергоснабжающей организации (другим энергоснабжающим организациям) (далее – другая (другие) ЭСО), осуществленного согласно законодательству Республики Казахстан в области электроэнергетики;</w:t>
      </w:r>
    </w:p>
    <w:bookmarkEnd w:id="71"/>
    <w:bookmarkStart w:name="z82" w:id="72"/>
    <w:p>
      <w:pPr>
        <w:spacing w:after="0"/>
        <w:ind w:left="0"/>
        <w:jc w:val="both"/>
      </w:pPr>
      <w:r>
        <w:rPr>
          <w:rFonts w:ascii="Times New Roman"/>
          <w:b w:val="false"/>
          <w:i w:val="false"/>
          <w:color w:val="000000"/>
          <w:sz w:val="28"/>
        </w:rPr>
        <w:t>
      2) включения субъекта розничного рынка электрической энергии, максимальная мощность потребления которого учтена в договорном объеме услуги по обеспечению энергоснабжающей организации, в перечень потребителей рынка мощности, размещенный на интернет-ресурсе Системного оператора, и заключение им договора на оказание услуги по обеспечению готовности электрической мощности к несению нагрузки с единым закупщиком;</w:t>
      </w:r>
    </w:p>
    <w:bookmarkEnd w:id="72"/>
    <w:bookmarkStart w:name="z83" w:id="73"/>
    <w:p>
      <w:pPr>
        <w:spacing w:after="0"/>
        <w:ind w:left="0"/>
        <w:jc w:val="both"/>
      </w:pPr>
      <w:r>
        <w:rPr>
          <w:rFonts w:ascii="Times New Roman"/>
          <w:b w:val="false"/>
          <w:i w:val="false"/>
          <w:color w:val="000000"/>
          <w:sz w:val="28"/>
        </w:rPr>
        <w:t>
      3) заключения между двумя потребителями рынка мощности соглашения о частичной или полной передаче договорного объема услуги по обеспечению;</w:t>
      </w:r>
    </w:p>
    <w:bookmarkEnd w:id="73"/>
    <w:bookmarkStart w:name="z84" w:id="74"/>
    <w:p>
      <w:pPr>
        <w:spacing w:after="0"/>
        <w:ind w:left="0"/>
        <w:jc w:val="both"/>
      </w:pPr>
      <w:r>
        <w:rPr>
          <w:rFonts w:ascii="Times New Roman"/>
          <w:b w:val="false"/>
          <w:i w:val="false"/>
          <w:color w:val="000000"/>
          <w:sz w:val="28"/>
        </w:rPr>
        <w:t xml:space="preserve">
      4) снижения электрической мощности потребления потребителя рынка мощности. </w:t>
      </w:r>
    </w:p>
    <w:bookmarkEnd w:id="74"/>
    <w:bookmarkStart w:name="z85" w:id="75"/>
    <w:p>
      <w:pPr>
        <w:spacing w:after="0"/>
        <w:ind w:left="0"/>
        <w:jc w:val="both"/>
      </w:pPr>
      <w:r>
        <w:rPr>
          <w:rFonts w:ascii="Times New Roman"/>
          <w:b w:val="false"/>
          <w:i w:val="false"/>
          <w:color w:val="000000"/>
          <w:sz w:val="28"/>
        </w:rPr>
        <w:t>
      54. При наступлении случая, указанного в подпункте 1) пункта 53 настоящих Правил, договорной объем услуги по обеспечению первой ЭСО уменьшается в пределах наименьшего из следующих двух значений электрической мощности потребителя электрической энергии: значения, учтенного в договорном объеме услуги по обеспечению первой ЭСО, и значения, равного той части увеличения договорного объема (договорных объемов) услуги по обеспечению другой (других) ЭСО, которая непосредственно связана с указанным переходом данного потребителя электрической энергии.</w:t>
      </w:r>
    </w:p>
    <w:bookmarkEnd w:id="75"/>
    <w:bookmarkStart w:name="z86" w:id="76"/>
    <w:p>
      <w:pPr>
        <w:spacing w:after="0"/>
        <w:ind w:left="0"/>
        <w:jc w:val="both"/>
      </w:pPr>
      <w:r>
        <w:rPr>
          <w:rFonts w:ascii="Times New Roman"/>
          <w:b w:val="false"/>
          <w:i w:val="false"/>
          <w:color w:val="000000"/>
          <w:sz w:val="28"/>
        </w:rPr>
        <w:t>
      При наступлении случая, указанного в подпункте 2) пункта 53 настоящих Правил, договорной объем услуги по обеспечению энергоснабжающей организации уменьшается в пределах наименьшего из следующих двух значений электрической мощности указанного потребителя рынка мощности: значения, учтенного в договорном объеме услуги по обеспечению энергоснабжающей организации, и значения договорного объема услуги по обеспечению данного потребителя рынка мощности.</w:t>
      </w:r>
    </w:p>
    <w:bookmarkEnd w:id="76"/>
    <w:bookmarkStart w:name="z87" w:id="77"/>
    <w:p>
      <w:pPr>
        <w:spacing w:after="0"/>
        <w:ind w:left="0"/>
        <w:jc w:val="both"/>
      </w:pPr>
      <w:r>
        <w:rPr>
          <w:rFonts w:ascii="Times New Roman"/>
          <w:b w:val="false"/>
          <w:i w:val="false"/>
          <w:color w:val="000000"/>
          <w:sz w:val="28"/>
        </w:rPr>
        <w:t xml:space="preserve">
      При наступлении случая, указанного в подпункте 3) пункта 53 настоящих Правил, договорные объемы услуги по обеспечению соответствующих (двух) потребителей рынка мощности изменяются на одно и то же значение (в абсолютном выражении). При этом, у передающего потребителя рынка мощности договорной объем услуги по обеспечению изменяется в меньшую сторону (уменьшается), у принимающего потребителя рынка мощности договорной объем услуги по обеспечению изменяется в большую сторону (увеличивается). </w:t>
      </w:r>
    </w:p>
    <w:bookmarkEnd w:id="77"/>
    <w:bookmarkStart w:name="z88" w:id="78"/>
    <w:p>
      <w:pPr>
        <w:spacing w:after="0"/>
        <w:ind w:left="0"/>
        <w:jc w:val="both"/>
      </w:pPr>
      <w:r>
        <w:rPr>
          <w:rFonts w:ascii="Times New Roman"/>
          <w:b w:val="false"/>
          <w:i w:val="false"/>
          <w:color w:val="000000"/>
          <w:sz w:val="28"/>
        </w:rPr>
        <w:t>
      При наступлении случая, указанного в подпункте 4) пункта 53 настоящих Правил, текущий договорной объем услуги по обеспечению потребителя рынка мощности уменьшается на величину, варьирующуюся в пределах от нуля до значения, определяемого по следующей формуле:</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468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86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∆сниж - предел величины уменьшения договорного объема услуги по обеспечению потребителя рынка мощности, МВт;</w:t>
      </w:r>
    </w:p>
    <w:bookmarkEnd w:id="80"/>
    <w:bookmarkStart w:name="z91" w:id="81"/>
    <w:p>
      <w:pPr>
        <w:spacing w:after="0"/>
        <w:ind w:left="0"/>
        <w:jc w:val="both"/>
      </w:pPr>
      <w:r>
        <w:rPr>
          <w:rFonts w:ascii="Times New Roman"/>
          <w:b w:val="false"/>
          <w:i w:val="false"/>
          <w:color w:val="000000"/>
          <w:sz w:val="28"/>
        </w:rPr>
        <w:t>
      ДО – договорной объем услуги по обеспечению, в МВт;</w:t>
      </w:r>
    </w:p>
    <w:bookmarkEnd w:id="81"/>
    <w:bookmarkStart w:name="z92" w:id="82"/>
    <w:p>
      <w:pPr>
        <w:spacing w:after="0"/>
        <w:ind w:left="0"/>
        <w:jc w:val="both"/>
      </w:pPr>
      <w:r>
        <w:rPr>
          <w:rFonts w:ascii="Times New Roman"/>
          <w:b w:val="false"/>
          <w:i w:val="false"/>
          <w:color w:val="000000"/>
          <w:sz w:val="28"/>
        </w:rPr>
        <w:t>
      ДОисх – максимальная в текущем календарного году электрическая мощность потребления, указанная в соответствующей прогнозной заявке на потребление, поданной потребителем рынка мощности в предыдущем календарном году согласно пункту 48 настоящих Правил, и включенная в соответствующий прогнозный спрос, в МВт;</w:t>
      </w:r>
    </w:p>
    <w:bookmarkEnd w:id="82"/>
    <w:bookmarkStart w:name="z93" w:id="83"/>
    <w:p>
      <w:pPr>
        <w:spacing w:after="0"/>
        <w:ind w:left="0"/>
        <w:jc w:val="both"/>
      </w:pPr>
      <w:r>
        <w:rPr>
          <w:rFonts w:ascii="Times New Roman"/>
          <w:b w:val="false"/>
          <w:i w:val="false"/>
          <w:color w:val="000000"/>
          <w:sz w:val="28"/>
        </w:rPr>
        <w:t>
      ДОприем – суммарное значение увеличения договорного объема услуги по обеспечению рассматриваемого потребителя рынка мощности, осуществленное с начала календарного года согласно частям первой и третьей настоящего пункта, в МВт;</w:t>
      </w:r>
    </w:p>
    <w:bookmarkEnd w:id="83"/>
    <w:bookmarkStart w:name="z94" w:id="84"/>
    <w:p>
      <w:pPr>
        <w:spacing w:after="0"/>
        <w:ind w:left="0"/>
        <w:jc w:val="both"/>
      </w:pPr>
      <w:r>
        <w:rPr>
          <w:rFonts w:ascii="Times New Roman"/>
          <w:b w:val="false"/>
          <w:i w:val="false"/>
          <w:color w:val="000000"/>
          <w:sz w:val="28"/>
        </w:rPr>
        <w:t>
      ДОпер – суммарное значение уменьшения договорного объема услуги по обеспечению рассматриваемого потребителя рынка мощности, осуществленное с начала календарного года согласно частям первой, второй и третьей настоящего пункта, в МВт.";</w:t>
      </w:r>
    </w:p>
    <w:bookmarkEnd w:id="84"/>
    <w:bookmarkStart w:name="z95" w:id="85"/>
    <w:p>
      <w:pPr>
        <w:spacing w:after="0"/>
        <w:ind w:left="0"/>
        <w:jc w:val="both"/>
      </w:pPr>
      <w:r>
        <w:rPr>
          <w:rFonts w:ascii="Times New Roman"/>
          <w:b w:val="false"/>
          <w:i w:val="false"/>
          <w:color w:val="000000"/>
          <w:sz w:val="28"/>
        </w:rPr>
        <w:t>
      дополнить пунктами 55-1 и 55-2 следующего содержания:</w:t>
      </w:r>
    </w:p>
    <w:bookmarkEnd w:id="85"/>
    <w:bookmarkStart w:name="z96" w:id="86"/>
    <w:p>
      <w:pPr>
        <w:spacing w:after="0"/>
        <w:ind w:left="0"/>
        <w:jc w:val="both"/>
      </w:pPr>
      <w:r>
        <w:rPr>
          <w:rFonts w:ascii="Times New Roman"/>
          <w:b w:val="false"/>
          <w:i w:val="false"/>
          <w:color w:val="000000"/>
          <w:sz w:val="28"/>
        </w:rPr>
        <w:t>
      "55-1. Изменение договорных объемов услуги по обеспечению, указанное в подпункте 3)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договорных объемов услуги по обеспечению (установленных на текущий календарный год) по форме, согласно приложению 6-1 к настоящим Правилам (далее – заявка на изменение).</w:t>
      </w:r>
    </w:p>
    <w:bookmarkEnd w:id="86"/>
    <w:bookmarkStart w:name="z97" w:id="87"/>
    <w:p>
      <w:pPr>
        <w:spacing w:after="0"/>
        <w:ind w:left="0"/>
        <w:jc w:val="both"/>
      </w:pPr>
      <w:r>
        <w:rPr>
          <w:rFonts w:ascii="Times New Roman"/>
          <w:b w:val="false"/>
          <w:i w:val="false"/>
          <w:color w:val="000000"/>
          <w:sz w:val="28"/>
        </w:rPr>
        <w:t>
      Заявка на изменение подается в течение календарного года, на который установлены соответствующие договорные объемы услуги по обеспечению, не позднее последнего числа расчетного периода (календарного месяца), начиная с которого планируется изменение данных договорных объемов услуги по обеспечению.</w:t>
      </w:r>
    </w:p>
    <w:bookmarkEnd w:id="87"/>
    <w:bookmarkStart w:name="z98" w:id="88"/>
    <w:p>
      <w:pPr>
        <w:spacing w:after="0"/>
        <w:ind w:left="0"/>
        <w:jc w:val="both"/>
      </w:pPr>
      <w:r>
        <w:rPr>
          <w:rFonts w:ascii="Times New Roman"/>
          <w:b w:val="false"/>
          <w:i w:val="false"/>
          <w:color w:val="000000"/>
          <w:sz w:val="28"/>
        </w:rPr>
        <w:t>
      В случае, если заявка на изменение подана согласно частям первой и второй настоящего пункта, единый закупщик вносит в соответствующие договоры на оказание услуги по обеспечению готовности электрической мощности к несению нагрузки изменения с учетом пункта 54 настоящих Правил, которые вступают в силу с первого числа расчетного периода (календарного месяца), в котором подана указанная заявка на изменение.</w:t>
      </w:r>
    </w:p>
    <w:bookmarkEnd w:id="88"/>
    <w:bookmarkStart w:name="z99" w:id="89"/>
    <w:p>
      <w:pPr>
        <w:spacing w:after="0"/>
        <w:ind w:left="0"/>
        <w:jc w:val="both"/>
      </w:pPr>
      <w:r>
        <w:rPr>
          <w:rFonts w:ascii="Times New Roman"/>
          <w:b w:val="false"/>
          <w:i w:val="false"/>
          <w:color w:val="000000"/>
          <w:sz w:val="28"/>
        </w:rPr>
        <w:t xml:space="preserve">
      55-2. Уменьшение договорного объема услуги по обеспечению, указанное в подпункте 4) </w:t>
      </w:r>
      <w:r>
        <w:rPr>
          <w:rFonts w:ascii="Times New Roman"/>
          <w:b w:val="false"/>
          <w:i w:val="false"/>
          <w:color w:val="000000"/>
          <w:sz w:val="28"/>
        </w:rPr>
        <w:t>пункта 53</w:t>
      </w:r>
      <w:r>
        <w:rPr>
          <w:rFonts w:ascii="Times New Roman"/>
          <w:b w:val="false"/>
          <w:i w:val="false"/>
          <w:color w:val="000000"/>
          <w:sz w:val="28"/>
        </w:rPr>
        <w:t xml:space="preserve"> настоящих Правил, осуществляется посредством подачи соответствующим потребителем рынка мощности единому закупщику заявки на уменьшение по форме, согласно приложению 6-2 к настоящим Правилам. </w:t>
      </w:r>
    </w:p>
    <w:bookmarkEnd w:id="89"/>
    <w:bookmarkStart w:name="z100" w:id="90"/>
    <w:p>
      <w:pPr>
        <w:spacing w:after="0"/>
        <w:ind w:left="0"/>
        <w:jc w:val="both"/>
      </w:pPr>
      <w:r>
        <w:rPr>
          <w:rFonts w:ascii="Times New Roman"/>
          <w:b w:val="false"/>
          <w:i w:val="false"/>
          <w:color w:val="000000"/>
          <w:sz w:val="28"/>
        </w:rPr>
        <w:t>
      Заявка на уменьшение подается в течение календарного года, на который установлен соответствующий договорной объем услуги по обеспечению, не позднее последнего числа расчетного периода (календарного месяца), начиная с которого планируется уменьшение данного договорного объема услуги по обеспечению.</w:t>
      </w:r>
    </w:p>
    <w:bookmarkEnd w:id="90"/>
    <w:bookmarkStart w:name="z101" w:id="91"/>
    <w:p>
      <w:pPr>
        <w:spacing w:after="0"/>
        <w:ind w:left="0"/>
        <w:jc w:val="both"/>
      </w:pPr>
      <w:r>
        <w:rPr>
          <w:rFonts w:ascii="Times New Roman"/>
          <w:b w:val="false"/>
          <w:i w:val="false"/>
          <w:color w:val="000000"/>
          <w:sz w:val="28"/>
        </w:rPr>
        <w:t xml:space="preserve">
      В случае, если заявка на уменьшение подана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w:t>
      </w:r>
      <w:r>
        <w:rPr>
          <w:rFonts w:ascii="Times New Roman"/>
          <w:b w:val="false"/>
          <w:i w:val="false"/>
          <w:color w:val="000000"/>
          <w:sz w:val="28"/>
        </w:rPr>
        <w:t>пункта 54</w:t>
      </w:r>
      <w:r>
        <w:rPr>
          <w:rFonts w:ascii="Times New Roman"/>
          <w:b w:val="false"/>
          <w:i w:val="false"/>
          <w:color w:val="000000"/>
          <w:sz w:val="28"/>
        </w:rPr>
        <w:t xml:space="preserve"> настоящих Правил, которые вступают в силу с первого числа расчетного периода (календарного месяца), в котором подана указанная заявка на уменьшение.";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03" w:id="92"/>
    <w:p>
      <w:pPr>
        <w:spacing w:after="0"/>
        <w:ind w:left="0"/>
        <w:jc w:val="both"/>
      </w:pPr>
      <w:r>
        <w:rPr>
          <w:rFonts w:ascii="Times New Roman"/>
          <w:b w:val="false"/>
          <w:i w:val="false"/>
          <w:color w:val="000000"/>
          <w:sz w:val="28"/>
        </w:rPr>
        <w:t>
      "56. Приобретение (покупка) электрической энергии на рынке электрической энергии (далее – покупка) потребителем рынка мощности осуществляется при наличии заключенного с единым закупщиком договора на оказание услуги по обеспечению готовности электрической мощности к несению нагрузки и отсутствия нарушения потребителем рынка мощности условий оплаты услуги по обеспечению готовности электрической мощности к несению нагрузки.</w:t>
      </w:r>
    </w:p>
    <w:bookmarkEnd w:id="92"/>
    <w:bookmarkStart w:name="z104" w:id="93"/>
    <w:p>
      <w:pPr>
        <w:spacing w:after="0"/>
        <w:ind w:left="0"/>
        <w:jc w:val="both"/>
      </w:pPr>
      <w:r>
        <w:rPr>
          <w:rFonts w:ascii="Times New Roman"/>
          <w:b w:val="false"/>
          <w:i w:val="false"/>
          <w:color w:val="000000"/>
          <w:sz w:val="28"/>
        </w:rPr>
        <w:t>
      При отсутствии у потребителя рынка мощности заключенного с единым закупщиком договора на оказание услуги по обеспечению готовности электрической мощности к несению нагрузки или при наличии задолженности за оказанные услуги по обеспечению готовности электрической мощности к несению нагрузки у потребителя рынка мощности, единый закупщик информирует Системного оператора о необходимости отклонения при формировании суточного графика производства-потребления электрической энергии заявок данного потребителя по производству-потреблению электрической энергии на каждый час предстоящих суток. На основании предоставленной информации Системный оператор при формировании суточного графика производства-потребления электрической энергии отклоняет заявки данного потребителя по производству-потреблению электрической энергии на каждый час предстоящих суток.";</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6" w:id="94"/>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94"/>
    <w:bookmarkStart w:name="z107" w:id="95"/>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за исключением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95"/>
    <w:bookmarkStart w:name="z108" w:id="96"/>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96"/>
    <w:bookmarkStart w:name="z109" w:id="97"/>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97"/>
    <w:bookmarkStart w:name="z110" w:id="98"/>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течение десяти рабочих дней со дня завершения соответствующего расчетного периода (календарного месяца) в виде соответствующего акта о фактических максимальных значениях электрической мощности потребления потребителей рынка мощности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98"/>
    <w:bookmarkStart w:name="z111" w:id="99"/>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за расчетный период (календарный месяц) значения объема потребления электрической энергии данного потребителя рынка мощности, в МВт*ч (согласно факт-балансу производства-потребления электрической энергии), деленного на 1 (один) час, и соответствующего расчетному периоду (календарному месяцу) регионального профиля нагрузки, согласованного Системным оператором.</w:t>
      </w:r>
    </w:p>
    <w:bookmarkEnd w:id="99"/>
    <w:bookmarkStart w:name="z112" w:id="100"/>
    <w:p>
      <w:pPr>
        <w:spacing w:after="0"/>
        <w:ind w:left="0"/>
        <w:jc w:val="both"/>
      </w:pPr>
      <w:r>
        <w:rPr>
          <w:rFonts w:ascii="Times New Roman"/>
          <w:b w:val="false"/>
          <w:i w:val="false"/>
          <w:color w:val="000000"/>
          <w:sz w:val="28"/>
        </w:rPr>
        <w:t xml:space="preserve">
      Региональный профиль нагрузки определяется региональной электросетевой компанией ежемесячно для прошедшего расчетного периода (календарного месяца), и в течение семи рабочих дней со дня завершения расчетного периода (календарного месяца) предоставляется Системному оператору на согласование регионального профиля нагрузки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Региональная электросетевая компания публикует согласованный с Системным оператором региональный профиль нагрузки на своем официальном интернет-ресурсе в течение 10 (десяти) рабочих дней со дня завершения соответствующего расчетного периода (календарного месяца) по форме, согласно приложению 7-1 к настоящим Правилам.";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14" w:id="101"/>
    <w:p>
      <w:pPr>
        <w:spacing w:after="0"/>
        <w:ind w:left="0"/>
        <w:jc w:val="both"/>
      </w:pPr>
      <w:r>
        <w:rPr>
          <w:rFonts w:ascii="Times New Roman"/>
          <w:b w:val="false"/>
          <w:i w:val="false"/>
          <w:color w:val="000000"/>
          <w:sz w:val="28"/>
        </w:rPr>
        <w:t>
      "87. Энергопроизводящие организации, включенные в реестр групп лиц,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101"/>
    <w:bookmarkStart w:name="z115" w:id="102"/>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102"/>
    <w:bookmarkStart w:name="z116" w:id="103"/>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103"/>
    <w:bookmarkStart w:name="z117" w:id="104"/>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104"/>
    <w:bookmarkStart w:name="z118" w:id="105"/>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 групп лиц.</w:t>
      </w:r>
    </w:p>
    <w:bookmarkEnd w:id="105"/>
    <w:bookmarkStart w:name="z119" w:id="106"/>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групп лиц,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заключенным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106"/>
    <w:bookmarkStart w:name="z120" w:id="107"/>
    <w:p>
      <w:pPr>
        <w:spacing w:after="0"/>
        <w:ind w:left="0"/>
        <w:jc w:val="both"/>
      </w:pPr>
      <w:r>
        <w:rPr>
          <w:rFonts w:ascii="Times New Roman"/>
          <w:b w:val="false"/>
          <w:i w:val="false"/>
          <w:color w:val="000000"/>
          <w:sz w:val="28"/>
        </w:rPr>
        <w:t>
      Указанное в подпункте 3) настоящего пункта максимальное в расчетном году значение электрической мощности собственного потребления энергопроизводящих организаций, включенных в реестр групп лиц,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bookmarkEnd w:id="107"/>
    <w:bookmarkStart w:name="z121" w:id="108"/>
    <w:p>
      <w:pPr>
        <w:spacing w:after="0"/>
        <w:ind w:left="0"/>
        <w:jc w:val="both"/>
      </w:pPr>
      <w:r>
        <w:rPr>
          <w:rFonts w:ascii="Times New Roman"/>
          <w:b w:val="false"/>
          <w:i w:val="false"/>
          <w:color w:val="000000"/>
          <w:sz w:val="28"/>
        </w:rPr>
        <w:t>
      Суммарная вычитаемая электрическая мощность и договорной объем услуги по обеспечению электрической мощностью энергопроизводящей организации суммарно подлежат изменению в пределах значения разности аттестованной электрической мощности и суммы суммарной электрической мощности и договорного объема услуги по обеспечению электрической мощностью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108"/>
    <w:bookmarkStart w:name="z122"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Определении коэффициентов</w:t>
      </w:r>
      <w:r>
        <w:rPr>
          <w:rFonts w:ascii="Times New Roman"/>
          <w:b w:val="false"/>
          <w:i w:val="false"/>
          <w:color w:val="000000"/>
          <w:sz w:val="28"/>
        </w:rPr>
        <w:t xml:space="preserve"> k1, k2, k3, k4, k5, k6, k7, k8 приложения 2 к указанным Правилам: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4" w:id="110"/>
    <w:p>
      <w:pPr>
        <w:spacing w:after="0"/>
        <w:ind w:left="0"/>
        <w:jc w:val="both"/>
      </w:pPr>
      <w:r>
        <w:rPr>
          <w:rFonts w:ascii="Times New Roman"/>
          <w:b w:val="false"/>
          <w:i w:val="false"/>
          <w:color w:val="000000"/>
          <w:sz w:val="28"/>
        </w:rPr>
        <w:t>
      "8. Коэффициент k8 определяется по формуле:</w:t>
      </w:r>
    </w:p>
    <w:bookmarkEnd w:id="110"/>
    <w:bookmarkStart w:name="z125"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28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2"/>
    <w:p>
      <w:pPr>
        <w:spacing w:after="0"/>
        <w:ind w:left="0"/>
        <w:jc w:val="both"/>
      </w:pPr>
      <w:r>
        <w:rPr>
          <w:rFonts w:ascii="Times New Roman"/>
          <w:b w:val="false"/>
          <w:i w:val="false"/>
          <w:color w:val="000000"/>
          <w:sz w:val="28"/>
        </w:rPr>
        <w:t>
      Тпревыш – фактическое за расчетный период (календарный месяц) количество дней (суток), в течение каждого (каждой) из которых как минимум в рамках одного часа было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более, чем на 1,0 % от указанного значения рабочей электрической мощности генерации (далее – Превышение);</w:t>
      </w:r>
    </w:p>
    <w:bookmarkEnd w:id="112"/>
    <w:bookmarkStart w:name="z127" w:id="113"/>
    <w:p>
      <w:pPr>
        <w:spacing w:after="0"/>
        <w:ind w:left="0"/>
        <w:jc w:val="both"/>
      </w:pPr>
      <w:r>
        <w:rPr>
          <w:rFonts w:ascii="Times New Roman"/>
          <w:b w:val="false"/>
          <w:i w:val="false"/>
          <w:color w:val="000000"/>
          <w:sz w:val="28"/>
        </w:rPr>
        <w:t>
      Тм – количество дней в расчетном периоде (календарном месяце).</w:t>
      </w:r>
    </w:p>
    <w:bookmarkEnd w:id="113"/>
    <w:bookmarkStart w:name="z128" w:id="114"/>
    <w:p>
      <w:pPr>
        <w:spacing w:after="0"/>
        <w:ind w:left="0"/>
        <w:jc w:val="both"/>
      </w:pPr>
      <w:r>
        <w:rPr>
          <w:rFonts w:ascii="Times New Roman"/>
          <w:b w:val="false"/>
          <w:i w:val="false"/>
          <w:color w:val="000000"/>
          <w:sz w:val="28"/>
        </w:rPr>
        <w:t xml:space="preserve">
      В случае,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w:t>
      </w:r>
      <w:r>
        <w:rPr>
          <w:rFonts w:ascii="Times New Roman"/>
          <w:b w:val="false"/>
          <w:i w:val="false"/>
          <w:color w:val="000000"/>
          <w:sz w:val="28"/>
        </w:rPr>
        <w:t>пункта 3</w:t>
      </w:r>
      <w:r>
        <w:rPr>
          <w:rFonts w:ascii="Times New Roman"/>
          <w:b w:val="false"/>
          <w:i w:val="false"/>
          <w:color w:val="000000"/>
          <w:sz w:val="28"/>
        </w:rPr>
        <w:t xml:space="preserve"> статьи 12 Закона, то данное превышение не берется в учет при определении Тпревыш.</w:t>
      </w:r>
    </w:p>
    <w:bookmarkEnd w:id="114"/>
    <w:bookmarkStart w:name="z129" w:id="115"/>
    <w:p>
      <w:pPr>
        <w:spacing w:after="0"/>
        <w:ind w:left="0"/>
        <w:jc w:val="both"/>
      </w:pPr>
      <w:r>
        <w:rPr>
          <w:rFonts w:ascii="Times New Roman"/>
          <w:b w:val="false"/>
          <w:i w:val="false"/>
          <w:color w:val="000000"/>
          <w:sz w:val="28"/>
        </w:rPr>
        <w:t>
      Значение коэффициента k8 до 1 января 2020 года приравнивается к единице.";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31" w:id="116"/>
    <w:p>
      <w:pPr>
        <w:spacing w:after="0"/>
        <w:ind w:left="0"/>
        <w:jc w:val="both"/>
      </w:pPr>
      <w:r>
        <w:rPr>
          <w:rFonts w:ascii="Times New Roman"/>
          <w:b w:val="false"/>
          <w:i w:val="false"/>
          <w:color w:val="000000"/>
          <w:sz w:val="28"/>
        </w:rPr>
        <w:t xml:space="preserve">
      дополнить приложениями 6-1 и 6-2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116"/>
    <w:bookmarkStart w:name="z132" w:id="117"/>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17"/>
    <w:bookmarkStart w:name="z133" w:id="1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8"/>
    <w:bookmarkStart w:name="z134" w:id="1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19"/>
    <w:bookmarkStart w:name="z135" w:id="1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20"/>
    <w:bookmarkStart w:name="z136" w:id="1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21"/>
    <w:bookmarkStart w:name="z137" w:id="1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2"/>
    <w:bookmarkStart w:name="z138" w:id="12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53</w:t>
      </w:r>
      <w:r>
        <w:rPr>
          <w:rFonts w:ascii="Times New Roman"/>
          <w:b w:val="false"/>
          <w:i w:val="false"/>
          <w:color w:val="000000"/>
          <w:sz w:val="28"/>
        </w:rPr>
        <w:t xml:space="preserve">, часть четвертая </w:t>
      </w:r>
      <w:r>
        <w:rPr>
          <w:rFonts w:ascii="Times New Roman"/>
          <w:b w:val="false"/>
          <w:i w:val="false"/>
          <w:color w:val="000000"/>
          <w:sz w:val="28"/>
        </w:rPr>
        <w:t>пункта 54</w:t>
      </w:r>
      <w:r>
        <w:rPr>
          <w:rFonts w:ascii="Times New Roman"/>
          <w:b w:val="false"/>
          <w:i w:val="false"/>
          <w:color w:val="000000"/>
          <w:sz w:val="28"/>
        </w:rPr>
        <w:t xml:space="preserve"> и пункт 55-2 Правил действуют до 1 января 2021 года.</w:t>
      </w:r>
    </w:p>
    <w:bookmarkEnd w:id="123"/>
    <w:bookmarkStart w:name="z139" w:id="124"/>
    <w:p>
      <w:pPr>
        <w:spacing w:after="0"/>
        <w:ind w:left="0"/>
        <w:jc w:val="both"/>
      </w:pPr>
      <w:r>
        <w:rPr>
          <w:rFonts w:ascii="Times New Roman"/>
          <w:b w:val="false"/>
          <w:i w:val="false"/>
          <w:color w:val="000000"/>
          <w:sz w:val="28"/>
        </w:rPr>
        <w:t xml:space="preserve">
      При этом, часть третья </w:t>
      </w:r>
      <w:r>
        <w:rPr>
          <w:rFonts w:ascii="Times New Roman"/>
          <w:b w:val="false"/>
          <w:i w:val="false"/>
          <w:color w:val="000000"/>
          <w:sz w:val="28"/>
        </w:rPr>
        <w:t>пункта 8</w:t>
      </w:r>
      <w:r>
        <w:rPr>
          <w:rFonts w:ascii="Times New Roman"/>
          <w:b w:val="false"/>
          <w:i w:val="false"/>
          <w:color w:val="000000"/>
          <w:sz w:val="28"/>
        </w:rPr>
        <w:t xml:space="preserve"> Определения коэффициентов k1, k2, k3, k4, k5, k6, k7, k8 приложения 2 к Правилам распространяется на отношения, возникшие с 23 ноября 2019 года.</w:t>
      </w:r>
    </w:p>
    <w:bookmarkEnd w:id="1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2020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25"/>
    <w:p>
      <w:pPr>
        <w:spacing w:after="0"/>
        <w:ind w:left="0"/>
        <w:jc w:val="left"/>
      </w:pPr>
      <w:r>
        <w:rPr>
          <w:rFonts w:ascii="Times New Roman"/>
          <w:b/>
          <w:i w:val="false"/>
          <w:color w:val="000000"/>
        </w:rPr>
        <w:t xml:space="preserve"> Акт о значениях коэффициентов k1, k2, k3, k4, k5, k6, k7, k8,  определенных по итогам __________________________________ 20____ года.* (указать расчетный период (календарный месяц)</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688"/>
        <w:gridCol w:w="1538"/>
        <w:gridCol w:w="1246"/>
        <w:gridCol w:w="1247"/>
        <w:gridCol w:w="1247"/>
        <w:gridCol w:w="1247"/>
        <w:gridCol w:w="1538"/>
        <w:gridCol w:w="1247"/>
        <w:gridCol w:w="1248"/>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энергопроизводящей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k8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(не входящие в группы лиц, включенные в реестр групп лиц)</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а также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не заключившие с единым закупщиком договор (договоры) на покупку услуги по поддержанию готовности электрической мощности, но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26"/>
    <w:p>
      <w:pPr>
        <w:spacing w:after="0"/>
        <w:ind w:left="0"/>
        <w:jc w:val="both"/>
      </w:pPr>
      <w:r>
        <w:rPr>
          <w:rFonts w:ascii="Times New Roman"/>
          <w:b w:val="false"/>
          <w:i w:val="false"/>
          <w:color w:val="000000"/>
          <w:sz w:val="28"/>
        </w:rPr>
        <w:t>
      Примечание:</w:t>
      </w:r>
    </w:p>
    <w:bookmarkEnd w:id="126"/>
    <w:bookmarkStart w:name="z146" w:id="127"/>
    <w:p>
      <w:pPr>
        <w:spacing w:after="0"/>
        <w:ind w:left="0"/>
        <w:jc w:val="both"/>
      </w:pPr>
      <w:r>
        <w:rPr>
          <w:rFonts w:ascii="Times New Roman"/>
          <w:b w:val="false"/>
          <w:i w:val="false"/>
          <w:color w:val="000000"/>
          <w:sz w:val="28"/>
        </w:rPr>
        <w:t>
      * - числовые значения параметров таблицы отражаются с точностью до сотых;</w:t>
      </w:r>
    </w:p>
    <w:bookmarkEnd w:id="127"/>
    <w:bookmarkStart w:name="z147" w:id="128"/>
    <w:p>
      <w:pPr>
        <w:spacing w:after="0"/>
        <w:ind w:left="0"/>
        <w:jc w:val="both"/>
      </w:pPr>
      <w:r>
        <w:rPr>
          <w:rFonts w:ascii="Times New Roman"/>
          <w:b w:val="false"/>
          <w:i w:val="false"/>
          <w:color w:val="000000"/>
          <w:sz w:val="28"/>
        </w:rPr>
        <w:t>
      ** - "н/р" означает "не рассчитывается": соответствующие ячейки не заполняются.</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2020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29"/>
    <w:p>
      <w:pPr>
        <w:spacing w:after="0"/>
        <w:ind w:left="0"/>
        <w:jc w:val="left"/>
      </w:pPr>
      <w:r>
        <w:rPr>
          <w:rFonts w:ascii="Times New Roman"/>
          <w:b/>
          <w:i w:val="false"/>
          <w:color w:val="000000"/>
        </w:rPr>
        <w:t xml:space="preserve">              Заявка на изменение договорных объемов услуги по обеспечению</w:t>
      </w:r>
    </w:p>
    <w:bookmarkEnd w:id="129"/>
    <w:bookmarkStart w:name="z152" w:id="13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 </w:t>
      </w:r>
      <w:r>
        <w:br/>
      </w:r>
      <w:r>
        <w:rPr>
          <w:rFonts w:ascii="Times New Roman"/>
          <w:b w:val="false"/>
          <w:i w:val="false"/>
          <w:color w:val="000000"/>
          <w:sz w:val="28"/>
        </w:rPr>
        <w:t xml:space="preserve">функционирования рынка электрической мощности, утвержденных приказом Министра </w:t>
      </w:r>
      <w:r>
        <w:br/>
      </w:r>
      <w:r>
        <w:rPr>
          <w:rFonts w:ascii="Times New Roman"/>
          <w:b w:val="false"/>
          <w:i w:val="false"/>
          <w:color w:val="000000"/>
          <w:sz w:val="28"/>
        </w:rPr>
        <w:t xml:space="preserve">энергетики Республики Казахстан от 27 февраля 2015 года № 152 (зарегистрирован в Реестре </w:t>
      </w:r>
      <w:r>
        <w:br/>
      </w:r>
      <w:r>
        <w:rPr>
          <w:rFonts w:ascii="Times New Roman"/>
          <w:b w:val="false"/>
          <w:i w:val="false"/>
          <w:color w:val="000000"/>
          <w:sz w:val="28"/>
        </w:rPr>
        <w:t xml:space="preserve">государственной регистрации нормативных правовых  актов за № 10612), прошу (просим) </w:t>
      </w:r>
      <w:r>
        <w:br/>
      </w:r>
      <w:r>
        <w:rPr>
          <w:rFonts w:ascii="Times New Roman"/>
          <w:b w:val="false"/>
          <w:i w:val="false"/>
          <w:color w:val="000000"/>
          <w:sz w:val="28"/>
        </w:rPr>
        <w:t xml:space="preserve">Вас уменьшить объем услуги по обеспечению готовности электрической мощности к </w:t>
      </w:r>
      <w:r>
        <w:br/>
      </w:r>
      <w:r>
        <w:rPr>
          <w:rFonts w:ascii="Times New Roman"/>
          <w:b w:val="false"/>
          <w:i w:val="false"/>
          <w:color w:val="000000"/>
          <w:sz w:val="28"/>
        </w:rPr>
        <w:t xml:space="preserve">несению нагрузки, установленный на  текущий 20___ год в договоре на оказание услуги по </w:t>
      </w:r>
      <w:r>
        <w:br/>
      </w:r>
      <w:r>
        <w:rPr>
          <w:rFonts w:ascii="Times New Roman"/>
          <w:b w:val="false"/>
          <w:i w:val="false"/>
          <w:color w:val="000000"/>
          <w:sz w:val="28"/>
        </w:rPr>
        <w:t xml:space="preserve">обеспечению готовности  электрической мощности к несению нагрузки, заключенном с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передающего потребителя рынка мощности) </w:t>
      </w:r>
      <w:r>
        <w:br/>
      </w:r>
      <w:r>
        <w:rPr>
          <w:rFonts w:ascii="Times New Roman"/>
          <w:b w:val="false"/>
          <w:i w:val="false"/>
          <w:color w:val="000000"/>
          <w:sz w:val="28"/>
        </w:rPr>
        <w:t xml:space="preserve">от ___________ 20___ года № _____, составляющий ____ МВт*, на ____ МВт**, и увеличить </w:t>
      </w:r>
      <w:r>
        <w:br/>
      </w:r>
      <w:r>
        <w:rPr>
          <w:rFonts w:ascii="Times New Roman"/>
          <w:b w:val="false"/>
          <w:i w:val="false"/>
          <w:color w:val="000000"/>
          <w:sz w:val="28"/>
        </w:rPr>
        <w:t xml:space="preserve">объем услуги по обеспечению готовности электрической мощности к несению нагрузки, </w:t>
      </w:r>
      <w:r>
        <w:br/>
      </w:r>
      <w:r>
        <w:rPr>
          <w:rFonts w:ascii="Times New Roman"/>
          <w:b w:val="false"/>
          <w:i w:val="false"/>
          <w:color w:val="000000"/>
          <w:sz w:val="28"/>
        </w:rPr>
        <w:t xml:space="preserve">установленный на текущий 20__ год в договоре на оказание услуги по обеспечению </w:t>
      </w:r>
      <w:r>
        <w:br/>
      </w:r>
      <w:r>
        <w:rPr>
          <w:rFonts w:ascii="Times New Roman"/>
          <w:b w:val="false"/>
          <w:i w:val="false"/>
          <w:color w:val="000000"/>
          <w:sz w:val="28"/>
        </w:rPr>
        <w:t xml:space="preserve">готовности электрической мощности к несению нагрузки, заключенном с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принимающего потребителя рынка мощности), </w:t>
      </w:r>
      <w:r>
        <w:br/>
      </w:r>
      <w:r>
        <w:rPr>
          <w:rFonts w:ascii="Times New Roman"/>
          <w:b w:val="false"/>
          <w:i w:val="false"/>
          <w:color w:val="000000"/>
          <w:sz w:val="28"/>
        </w:rPr>
        <w:t>от ___________ 20___ года № _____, составляющий ____ МВт*, на ____ МВт**,</w:t>
      </w:r>
      <w:r>
        <w:br/>
      </w:r>
      <w:r>
        <w:rPr>
          <w:rFonts w:ascii="Times New Roman"/>
          <w:b w:val="false"/>
          <w:i w:val="false"/>
          <w:color w:val="000000"/>
          <w:sz w:val="28"/>
        </w:rPr>
        <w:t xml:space="preserve"> начиная с текущего расчетного периода (календарного месяца) текущего года, в связи с </w:t>
      </w:r>
      <w:r>
        <w:br/>
      </w:r>
      <w:r>
        <w:rPr>
          <w:rFonts w:ascii="Times New Roman"/>
          <w:b w:val="false"/>
          <w:i w:val="false"/>
          <w:color w:val="000000"/>
          <w:sz w:val="28"/>
        </w:rPr>
        <w:t>заключением соглашения о частичной или полной передаче договорного объема услуги по обеспечению.</w:t>
      </w:r>
    </w:p>
    <w:bookmarkEnd w:id="130"/>
    <w:bookmarkStart w:name="z153" w:id="131"/>
    <w:p>
      <w:pPr>
        <w:spacing w:after="0"/>
        <w:ind w:left="0"/>
        <w:jc w:val="both"/>
      </w:pPr>
      <w:r>
        <w:rPr>
          <w:rFonts w:ascii="Times New Roman"/>
          <w:b w:val="false"/>
          <w:i w:val="false"/>
          <w:color w:val="000000"/>
          <w:sz w:val="28"/>
        </w:rPr>
        <w:t>
      Контактные телефон и электронный адрес: 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(указать наименование передающего потребителя рынка мощности</w:t>
      </w:r>
    </w:p>
    <w:bookmarkEnd w:id="131"/>
    <w:bookmarkStart w:name="z154" w:id="132"/>
    <w:p>
      <w:pPr>
        <w:spacing w:after="0"/>
        <w:ind w:left="0"/>
        <w:jc w:val="both"/>
      </w:pPr>
      <w:r>
        <w:rPr>
          <w:rFonts w:ascii="Times New Roman"/>
          <w:b w:val="false"/>
          <w:i w:val="false"/>
          <w:color w:val="000000"/>
          <w:sz w:val="28"/>
        </w:rPr>
        <w:t>
      Контактные телефон и электронный адрес: 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(указать наименование принимающего потребителя рынка мощности)</w:t>
      </w:r>
    </w:p>
    <w:bookmarkEnd w:id="132"/>
    <w:bookmarkStart w:name="z155" w:id="133"/>
    <w:p>
      <w:pPr>
        <w:spacing w:after="0"/>
        <w:ind w:left="0"/>
        <w:jc w:val="both"/>
      </w:pPr>
      <w:r>
        <w:rPr>
          <w:rFonts w:ascii="Times New Roman"/>
          <w:b w:val="false"/>
          <w:i w:val="false"/>
          <w:color w:val="000000"/>
          <w:sz w:val="28"/>
        </w:rPr>
        <w:t xml:space="preserve">
      Прилагается копия соглашения о частичной или полной передаче договорного объема </w:t>
      </w:r>
      <w:r>
        <w:br/>
      </w:r>
      <w:r>
        <w:rPr>
          <w:rFonts w:ascii="Times New Roman"/>
          <w:b w:val="false"/>
          <w:i w:val="false"/>
          <w:color w:val="000000"/>
          <w:sz w:val="28"/>
        </w:rPr>
        <w:t xml:space="preserve">услуги по обеспечению </w:t>
      </w:r>
      <w:r>
        <w:br/>
      </w:r>
      <w:r>
        <w:rPr>
          <w:rFonts w:ascii="Times New Roman"/>
          <w:b w:val="false"/>
          <w:i w:val="false"/>
          <w:color w:val="000000"/>
          <w:sz w:val="28"/>
        </w:rPr>
        <w:t xml:space="preserve">от __________________ 20___ года *** № _______, </w:t>
      </w:r>
      <w:r>
        <w:br/>
      </w:r>
      <w:r>
        <w:rPr>
          <w:rFonts w:ascii="Times New Roman"/>
          <w:b w:val="false"/>
          <w:i w:val="false"/>
          <w:color w:val="000000"/>
          <w:sz w:val="28"/>
        </w:rPr>
        <w:t>между 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наименование передающего потребителя рынка мощности) </w:t>
      </w:r>
      <w:r>
        <w:br/>
      </w:r>
      <w:r>
        <w:rPr>
          <w:rFonts w:ascii="Times New Roman"/>
          <w:b w:val="false"/>
          <w:i w:val="false"/>
          <w:color w:val="000000"/>
          <w:sz w:val="28"/>
        </w:rPr>
        <w:t>и _____________________________________________________________________________</w:t>
      </w:r>
      <w:r>
        <w:br/>
      </w:r>
      <w:r>
        <w:rPr>
          <w:rFonts w:ascii="Times New Roman"/>
          <w:b w:val="false"/>
          <w:i w:val="false"/>
          <w:color w:val="000000"/>
          <w:sz w:val="28"/>
        </w:rPr>
        <w:t xml:space="preserve">             (указать наименование принимающего потребителя рынка мощности).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565"/>
        <w:gridCol w:w="7400"/>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передающего потребителя рынка мощности)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его наличии) уполномоченного лица передающего потребителя рынка мощности)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принимающего потребителя рынка мощности)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его наличии) уполномоченного лица принимающего потребителя рынка мощности)</w:t>
            </w:r>
          </w:p>
        </w:tc>
      </w:tr>
    </w:tbl>
    <w:bookmarkStart w:name="z156" w:id="134"/>
    <w:p>
      <w:pPr>
        <w:spacing w:after="0"/>
        <w:ind w:left="0"/>
        <w:jc w:val="both"/>
      </w:pPr>
      <w:r>
        <w:rPr>
          <w:rFonts w:ascii="Times New Roman"/>
          <w:b w:val="false"/>
          <w:i w:val="false"/>
          <w:color w:val="000000"/>
          <w:sz w:val="28"/>
        </w:rPr>
        <w:t>
      Примечание:</w:t>
      </w:r>
    </w:p>
    <w:bookmarkEnd w:id="134"/>
    <w:bookmarkStart w:name="z157" w:id="135"/>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изменение с точностью до десятых;</w:t>
      </w:r>
    </w:p>
    <w:bookmarkEnd w:id="135"/>
    <w:bookmarkStart w:name="z158" w:id="136"/>
    <w:p>
      <w:pPr>
        <w:spacing w:after="0"/>
        <w:ind w:left="0"/>
        <w:jc w:val="both"/>
      </w:pPr>
      <w:r>
        <w:rPr>
          <w:rFonts w:ascii="Times New Roman"/>
          <w:b w:val="false"/>
          <w:i w:val="false"/>
          <w:color w:val="000000"/>
          <w:sz w:val="28"/>
        </w:rPr>
        <w:t>
      ** - количество МВт указывается одно и то же.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2020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37"/>
    <w:p>
      <w:pPr>
        <w:spacing w:after="0"/>
        <w:ind w:left="0"/>
        <w:jc w:val="left"/>
      </w:pPr>
      <w:r>
        <w:rPr>
          <w:rFonts w:ascii="Times New Roman"/>
          <w:b/>
          <w:i w:val="false"/>
          <w:color w:val="000000"/>
        </w:rPr>
        <w:t xml:space="preserve"> Заявка на уменьшение*</w:t>
      </w:r>
    </w:p>
    <w:bookmarkEnd w:id="137"/>
    <w:bookmarkStart w:name="z163" w:id="138"/>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(просим) Вас уменьшить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w:t>
      </w:r>
    </w:p>
    <w:bookmarkEnd w:id="138"/>
    <w:bookmarkStart w:name="z164"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65" w:id="140"/>
    <w:p>
      <w:pPr>
        <w:spacing w:after="0"/>
        <w:ind w:left="0"/>
        <w:jc w:val="both"/>
      </w:pPr>
      <w:r>
        <w:rPr>
          <w:rFonts w:ascii="Times New Roman"/>
          <w:b w:val="false"/>
          <w:i w:val="false"/>
          <w:color w:val="000000"/>
          <w:sz w:val="28"/>
        </w:rPr>
        <w:t>
                   (указать наименование потребителя рынка мощности)</w:t>
      </w:r>
    </w:p>
    <w:bookmarkEnd w:id="140"/>
    <w:bookmarkStart w:name="z166" w:id="141"/>
    <w:p>
      <w:pPr>
        <w:spacing w:after="0"/>
        <w:ind w:left="0"/>
        <w:jc w:val="both"/>
      </w:pPr>
      <w:r>
        <w:rPr>
          <w:rFonts w:ascii="Times New Roman"/>
          <w:b w:val="false"/>
          <w:i w:val="false"/>
          <w:color w:val="000000"/>
          <w:sz w:val="28"/>
        </w:rPr>
        <w:t>
      от ___________ 20___ года № _____, составляющий ____ МВт*, на ____ МВт**,  в связи со снижением значения электрической мощности потребления***.</w:t>
      </w:r>
    </w:p>
    <w:bookmarkEnd w:id="141"/>
    <w:bookmarkStart w:name="z167" w:id="142"/>
    <w:p>
      <w:pPr>
        <w:spacing w:after="0"/>
        <w:ind w:left="0"/>
        <w:jc w:val="both"/>
      </w:pPr>
      <w:r>
        <w:rPr>
          <w:rFonts w:ascii="Times New Roman"/>
          <w:b w:val="false"/>
          <w:i w:val="false"/>
          <w:color w:val="000000"/>
          <w:sz w:val="28"/>
        </w:rPr>
        <w:t>
      Контактные телефон и электронный адрес: _________________________________</w:t>
      </w:r>
    </w:p>
    <w:bookmarkEnd w:id="142"/>
    <w:bookmarkStart w:name="z168" w:id="143"/>
    <w:p>
      <w:pPr>
        <w:spacing w:after="0"/>
        <w:ind w:left="0"/>
        <w:jc w:val="both"/>
      </w:pPr>
      <w:r>
        <w:rPr>
          <w:rFonts w:ascii="Times New Roman"/>
          <w:b w:val="false"/>
          <w:i w:val="false"/>
          <w:color w:val="000000"/>
          <w:sz w:val="28"/>
        </w:rPr>
        <w:t>
      ______________________________________________________________________</w:t>
      </w:r>
    </w:p>
    <w:bookmarkEnd w:id="143"/>
    <w:bookmarkStart w:name="z169" w:id="144"/>
    <w:p>
      <w:pPr>
        <w:spacing w:after="0"/>
        <w:ind w:left="0"/>
        <w:jc w:val="both"/>
      </w:pPr>
      <w:r>
        <w:rPr>
          <w:rFonts w:ascii="Times New Roman"/>
          <w:b w:val="false"/>
          <w:i w:val="false"/>
          <w:color w:val="000000"/>
          <w:sz w:val="28"/>
        </w:rPr>
        <w:t>
                   (указать наименование потребителя рынка мощности)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599"/>
        <w:gridCol w:w="7476"/>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потребителя рынка мощности)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его наличии) уполномоченного лица потребителя рынка мощности)</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45"/>
    <w:p>
      <w:pPr>
        <w:spacing w:after="0"/>
        <w:ind w:left="0"/>
        <w:jc w:val="both"/>
      </w:pPr>
      <w:r>
        <w:rPr>
          <w:rFonts w:ascii="Times New Roman"/>
          <w:b w:val="false"/>
          <w:i w:val="false"/>
          <w:color w:val="000000"/>
          <w:sz w:val="28"/>
        </w:rPr>
        <w:t>
      Примечание:</w:t>
      </w:r>
    </w:p>
    <w:bookmarkEnd w:id="145"/>
    <w:bookmarkStart w:name="z171" w:id="146"/>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146"/>
    <w:bookmarkStart w:name="z172" w:id="147"/>
    <w:p>
      <w:pPr>
        <w:spacing w:after="0"/>
        <w:ind w:left="0"/>
        <w:jc w:val="both"/>
      </w:pPr>
      <w:r>
        <w:rPr>
          <w:rFonts w:ascii="Times New Roman"/>
          <w:b w:val="false"/>
          <w:i w:val="false"/>
          <w:color w:val="000000"/>
          <w:sz w:val="28"/>
        </w:rPr>
        <w:t xml:space="preserve">
      ** - определяется согласно </w:t>
      </w:r>
      <w:r>
        <w:rPr>
          <w:rFonts w:ascii="Times New Roman"/>
          <w:b w:val="false"/>
          <w:i w:val="false"/>
          <w:color w:val="000000"/>
          <w:sz w:val="28"/>
        </w:rPr>
        <w:t>пункту 54</w:t>
      </w:r>
      <w:r>
        <w:rPr>
          <w:rFonts w:ascii="Times New Roman"/>
          <w:b w:val="false"/>
          <w:i w:val="false"/>
          <w:color w:val="000000"/>
          <w:sz w:val="28"/>
        </w:rPr>
        <w:t xml:space="preserve"> настоящих Правил;</w:t>
      </w:r>
    </w:p>
    <w:bookmarkEnd w:id="147"/>
    <w:bookmarkStart w:name="z173" w:id="148"/>
    <w:p>
      <w:pPr>
        <w:spacing w:after="0"/>
        <w:ind w:left="0"/>
        <w:jc w:val="both"/>
      </w:pPr>
      <w:r>
        <w:rPr>
          <w:rFonts w:ascii="Times New Roman"/>
          <w:b w:val="false"/>
          <w:i w:val="false"/>
          <w:color w:val="000000"/>
          <w:sz w:val="28"/>
        </w:rPr>
        <w:t>
      *** - описать причины снижения (в разрезе потребителей и их объемов снижения).</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