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928ea" w14:textId="41928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Межотраслевых типовых нормативов численности работников служб охраны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 сентября 2020 года № 349. Зарегистрирован в Министерстве юстиции Республики Казахстан 3 сентября 2020 года № 21164.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41-3)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Межотраслевые типовые 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численности работников служб охраны труда.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первого вице-министра труда и социальной защиты населения Республики Казахстан Сарбасова А.А.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защиты населения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2020 года № 349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Межотраслевые типовые нормативы численности работников служб охраны труда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Межотраслевые типовые нормативы - в редакции приказа Министра труда и социальной защиты населения РК от 31.03.2022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 численность работников организации, единиц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численности, единиц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151-200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201-250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251-300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301-350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351-400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401-450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451-500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1001-1500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1501-2000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2001-2500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2501-3000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3001-3500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3501-4000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4001-4500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4501-5000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 и свыше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численности с не целым значением определяют численность не менее указанного предельного значения.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0,5 означает возложение обязанности по обеспечению безопасности и охраны труда на другого специалиста либо закрепление отдельного одного специалиста с учетом специфики деятельности. Значение 1,5, 2,5, 3,5, 4,5, 5,5, 6,5, 7,5, 8,5, и 9,5 означает возможность у работодателя самостоятельно определять потребность, округляя с избытком до целого с учетом специфики деятельности.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численности работников службы охраны труда (Ч), осуществляется по формуле: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901700" cy="69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Ч – численность работников, чел.;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Фn – полезный фонд рабочего времени одного работника за год, час. Определяется как произведение количества рабочих дней в году на его среднюю продолжительность.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Tн – годовая трудоемкость нормируемых работ, чел.-час.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Годовая трудоемкость нормируемых работ (Tн) определяется с учетом объема каждого вида выполняемых работ по формуле: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1498600" cy="69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Hврi - нормы времени на выполнение конкретного нормируемого вида работы, чел.-час;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 - объем конкретного вида работы, выполняемой за год, i = 1, 2, ..., n- виды выполняемых работ.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 времени на выполнение работы (Нвр) определяется по формуле: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2070100" cy="68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Нвр - норма времени на выполнение конкретного вида работы (функций), чел.-час;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Тон - норматив времени на выполнение нормируемой работы, установленный по нормативу, чел.-час;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- коэффициент, учитывающий затраты времени на организационно-техническое обслуживание рабочего места, отдых (включая вынужденные паузы при выполнении работы, гимнастические упражнения) и личные потребности, а также подготовительно-заключительные работы, в процентном соотношении от оперативного времени. По результатам анализа хронометражных наблюдений рабочего времени работников К принимается равным 10% от объема оперативного времени.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