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1ea8" w14:textId="8281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и приостановлении действия отдельных норм некоторых нормативных правовых актов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21 сентября 2020 года № 82. Зарегистрировано в Министерстве юстиции Республики Казахстан 22 сентября 2020 года № 21237.</w:t>
      </w:r>
    </w:p>
    <w:p>
      <w:pPr>
        <w:spacing w:after="0"/>
        <w:ind w:left="0"/>
        <w:jc w:val="both"/>
      </w:pPr>
      <w:bookmarkStart w:name="z4" w:id="0"/>
      <w:r>
        <w:rPr>
          <w:rFonts w:ascii="Times New Roman"/>
          <w:b w:val="false"/>
          <w:i w:val="false"/>
          <w:color w:val="000000"/>
          <w:sz w:val="28"/>
        </w:rPr>
        <w:t xml:space="preserve">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приостановить с 1 октября 2020 года до 30 июня 2021 года включительно действие следующей нормы:</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лимитах открытой валютной позиции, утвержденных указанным постановлением:</w:t>
      </w:r>
    </w:p>
    <w:bookmarkEnd w:id="3"/>
    <w:bookmarkStart w:name="z8" w:id="4"/>
    <w:p>
      <w:pPr>
        <w:spacing w:after="0"/>
        <w:ind w:left="0"/>
        <w:jc w:val="both"/>
      </w:pPr>
      <w:r>
        <w:rPr>
          <w:rFonts w:ascii="Times New Roman"/>
          <w:b w:val="false"/>
          <w:i w:val="false"/>
          <w:color w:val="000000"/>
          <w:sz w:val="28"/>
        </w:rPr>
        <w:t xml:space="preserve">
      части первой </w:t>
      </w:r>
      <w:r>
        <w:rPr>
          <w:rFonts w:ascii="Times New Roman"/>
          <w:b w:val="false"/>
          <w:i w:val="false"/>
          <w:color w:val="000000"/>
          <w:sz w:val="28"/>
        </w:rPr>
        <w:t>пункта 3</w:t>
      </w:r>
      <w:r>
        <w:rPr>
          <w:rFonts w:ascii="Times New Roman"/>
          <w:b w:val="false"/>
          <w:i w:val="false"/>
          <w:color w:val="000000"/>
          <w:sz w:val="28"/>
        </w:rPr>
        <w:t>, установив, что в период приостановления данная часть действует в следующей редакции:</w:t>
      </w:r>
    </w:p>
    <w:bookmarkEnd w:id="4"/>
    <w:bookmarkStart w:name="z9" w:id="5"/>
    <w:p>
      <w:pPr>
        <w:spacing w:after="0"/>
        <w:ind w:left="0"/>
        <w:jc w:val="both"/>
      </w:pPr>
      <w:r>
        <w:rPr>
          <w:rFonts w:ascii="Times New Roman"/>
          <w:b w:val="false"/>
          <w:i w:val="false"/>
          <w:color w:val="000000"/>
          <w:sz w:val="28"/>
        </w:rPr>
        <w:t>
      "3. Правилами устанавливаются следующие лимиты открытой валютной позиции:</w:t>
      </w:r>
    </w:p>
    <w:bookmarkEnd w:id="5"/>
    <w:bookmarkStart w:name="z10" w:id="6"/>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(далее - другие рейтинговые агентства),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 за исключением длинной валютной позиции по иностранным валютам стран, имеющих суверенный рейтинг не ниже "А" агентства Standard &amp; Poor's или рейтинг аналогичного уровня других рейтинговых агентств, и валюте "евро";</w:t>
      </w:r>
    </w:p>
    <w:bookmarkEnd w:id="6"/>
    <w:bookmarkStart w:name="z11" w:id="7"/>
    <w:p>
      <w:pPr>
        <w:spacing w:after="0"/>
        <w:ind w:left="0"/>
        <w:jc w:val="both"/>
      </w:pPr>
      <w:r>
        <w:rPr>
          <w:rFonts w:ascii="Times New Roman"/>
          <w:b w:val="false"/>
          <w:i w:val="false"/>
          <w:color w:val="000000"/>
          <w:sz w:val="28"/>
        </w:rPr>
        <w:t>
      лимит длинной валютной позиции по иностранным валютам стран, имеющих суверенный рейтинг не ниже "А" агентства Standard &amp; Poor's или рейтинг аналогичного уровня других рейтинговых агентств, и валюте "евро", в размере, не превышающем 7,5 (семь целых пять десятых) процента величины собственного капитала банка;</w:t>
      </w:r>
    </w:p>
    <w:bookmarkEnd w:id="7"/>
    <w:bookmarkStart w:name="z12" w:id="8"/>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bookmarkEnd w:id="8"/>
    <w:bookmarkStart w:name="z13" w:id="9"/>
    <w:p>
      <w:pPr>
        <w:spacing w:after="0"/>
        <w:ind w:left="0"/>
        <w:jc w:val="both"/>
      </w:pPr>
      <w:r>
        <w:rPr>
          <w:rFonts w:ascii="Times New Roman"/>
          <w:b w:val="false"/>
          <w:i w:val="false"/>
          <w:color w:val="000000"/>
          <w:sz w:val="28"/>
        </w:rPr>
        <w:t>
      3) лимит валютной нетто-позиции в размере, не превышающем 12,5 (двенадцать целых пять десятых) процентов величины собственного капитала банка.".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Агентства РК по регулированию и развитию финансового рынка от 30.10.2020 </w:t>
      </w:r>
      <w:r>
        <w:rPr>
          <w:rFonts w:ascii="Times New Roman"/>
          <w:b w:val="false"/>
          <w:i w:val="false"/>
          <w:color w:val="000000"/>
          <w:sz w:val="28"/>
        </w:rPr>
        <w:t>№ 106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Правления Агентства РК по регулированию и развитию финансового рынка от 30.10.2020 </w:t>
      </w:r>
      <w:r>
        <w:rPr>
          <w:rFonts w:ascii="Times New Roman"/>
          <w:b w:val="false"/>
          <w:i w:val="false"/>
          <w:color w:val="000000"/>
          <w:sz w:val="28"/>
        </w:rPr>
        <w:t>№ 106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 w:id="10"/>
    <w:p>
      <w:pPr>
        <w:spacing w:after="0"/>
        <w:ind w:left="0"/>
        <w:jc w:val="both"/>
      </w:pPr>
      <w:r>
        <w:rPr>
          <w:rFonts w:ascii="Times New Roman"/>
          <w:b w:val="false"/>
          <w:i w:val="false"/>
          <w:color w:val="000000"/>
          <w:sz w:val="28"/>
        </w:rPr>
        <w:t>
      4.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10"/>
    <w:bookmarkStart w:name="z58" w:id="11"/>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1"/>
    <w:bookmarkStart w:name="z59" w:id="1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2"/>
    <w:bookmarkStart w:name="z60"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3"/>
    <w:bookmarkStart w:name="z61" w:id="14"/>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4"/>
    <w:bookmarkStart w:name="z62" w:id="15"/>
    <w:p>
      <w:pPr>
        <w:spacing w:after="0"/>
        <w:ind w:left="0"/>
        <w:jc w:val="both"/>
      </w:pP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 xml:space="preserve">Республики Казахстан по регулированию и </w:t>
            </w:r>
            <w:r>
              <w:br/>
            </w: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64"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 xml:space="preserve">Правления Агентства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21 сентября 2020 года № 82</w:t>
            </w:r>
          </w:p>
        </w:tc>
      </w:tr>
    </w:tbl>
    <w:bookmarkStart w:name="z66" w:id="17"/>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дополнения</w:t>
      </w:r>
    </w:p>
    <w:bookmarkEnd w:id="17"/>
    <w:bookmarkStart w:name="z67" w:id="1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308 "Об установлении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 (зарегистрировано в Реестре государственной регистрации нормативных правовых актов под № 14788, опубликовано 28 февраля 2017 года в Эталонном контрольном банке нормативных правовых актов Республики Казахстан) следующее дополнение:</w:t>
      </w:r>
    </w:p>
    <w:bookmarkEnd w:id="18"/>
    <w:bookmarkStart w:name="z68"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Пруденциальных нормативах</w:t>
      </w:r>
      <w:r>
        <w:rPr>
          <w:rFonts w:ascii="Times New Roman"/>
          <w:b w:val="false"/>
          <w:i w:val="false"/>
          <w:color w:val="000000"/>
          <w:sz w:val="28"/>
        </w:rPr>
        <w:t xml:space="preserve">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нормах и лимитах, утвержденных указанным постановлением:</w:t>
      </w:r>
    </w:p>
    <w:bookmarkEnd w:id="19"/>
    <w:bookmarkStart w:name="z69" w:id="20"/>
    <w:p>
      <w:pPr>
        <w:spacing w:after="0"/>
        <w:ind w:left="0"/>
        <w:jc w:val="both"/>
      </w:pPr>
      <w:r>
        <w:rPr>
          <w:rFonts w:ascii="Times New Roman"/>
          <w:b w:val="false"/>
          <w:i w:val="false"/>
          <w:color w:val="000000"/>
          <w:sz w:val="28"/>
        </w:rPr>
        <w:t>
      дополнить пунктом 34-1 следующего содержания:</w:t>
      </w:r>
    </w:p>
    <w:bookmarkEnd w:id="20"/>
    <w:bookmarkStart w:name="z70" w:id="21"/>
    <w:p>
      <w:pPr>
        <w:spacing w:after="0"/>
        <w:ind w:left="0"/>
        <w:jc w:val="both"/>
      </w:pPr>
      <w:r>
        <w:rPr>
          <w:rFonts w:ascii="Times New Roman"/>
          <w:b w:val="false"/>
          <w:i w:val="false"/>
          <w:color w:val="000000"/>
          <w:sz w:val="28"/>
        </w:rPr>
        <w:t xml:space="preserve">
      "34-1. В случае превышения ограничений, установленных Пруденциальными нормативами, в связи с увеличением требований Организации к заемщику в результате реорганизации дочерних организаций акционерного общества "Национальный управляющий холдинг "Байтерек" путем их присоединения к Единому оператору жилищного строительства, норматив максимального размера риска на одного заемщика считается выполненным. </w:t>
      </w:r>
    </w:p>
    <w:bookmarkEnd w:id="21"/>
    <w:bookmarkStart w:name="z71" w:id="22"/>
    <w:p>
      <w:pPr>
        <w:spacing w:after="0"/>
        <w:ind w:left="0"/>
        <w:jc w:val="both"/>
      </w:pPr>
      <w:r>
        <w:rPr>
          <w:rFonts w:ascii="Times New Roman"/>
          <w:b w:val="false"/>
          <w:i w:val="false"/>
          <w:color w:val="000000"/>
          <w:sz w:val="28"/>
        </w:rPr>
        <w:t>
      В указанном случае Организация немедленно информирует уполномоченный орган о факте превышения ограничений и принимает обязательство по устранению превышения в сроки, согласованные с уполномоченным органом. Если данное превышение не будет устранено в согласованные с уполномоченным органом сроки,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bookmarkEnd w:id="22"/>
    <w:bookmarkStart w:name="z72"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опубликовано 25 октября 2017 года в Эталонном контрольном банке нормативных правовых актов Республики Казахстан) следующие изменение и дополнение:</w:t>
      </w:r>
    </w:p>
    <w:bookmarkEnd w:id="23"/>
    <w:bookmarkStart w:name="z73"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5" w:id="25"/>
    <w:p>
      <w:pPr>
        <w:spacing w:after="0"/>
        <w:ind w:left="0"/>
        <w:jc w:val="both"/>
      </w:pPr>
      <w:r>
        <w:rPr>
          <w:rFonts w:ascii="Times New Roman"/>
          <w:b w:val="false"/>
          <w:i w:val="false"/>
          <w:color w:val="000000"/>
          <w:sz w:val="28"/>
        </w:rPr>
        <w:t>
      "4. Минимальный размер собственного капитала банка устанавливается в следующем порядке:</w:t>
      </w:r>
    </w:p>
    <w:bookmarkEnd w:id="25"/>
    <w:bookmarkStart w:name="z76" w:id="26"/>
    <w:p>
      <w:pPr>
        <w:spacing w:after="0"/>
        <w:ind w:left="0"/>
        <w:jc w:val="both"/>
      </w:pPr>
      <w:r>
        <w:rPr>
          <w:rFonts w:ascii="Times New Roman"/>
          <w:b w:val="false"/>
          <w:i w:val="false"/>
          <w:color w:val="000000"/>
          <w:sz w:val="28"/>
        </w:rPr>
        <w:t>
      для жилищного строительного сберегательного банка в размере 4 000 000 000 (четырех миллиардов) тенге;</w:t>
      </w:r>
    </w:p>
    <w:bookmarkEnd w:id="26"/>
    <w:bookmarkStart w:name="z77" w:id="27"/>
    <w:p>
      <w:pPr>
        <w:spacing w:after="0"/>
        <w:ind w:left="0"/>
        <w:jc w:val="both"/>
      </w:pPr>
      <w:r>
        <w:rPr>
          <w:rFonts w:ascii="Times New Roman"/>
          <w:b w:val="false"/>
          <w:i w:val="false"/>
          <w:color w:val="000000"/>
          <w:sz w:val="28"/>
        </w:rPr>
        <w:t>
      для других банков в размере 10 000 000 000 (десяти миллиардов) тенге.";</w:t>
      </w:r>
    </w:p>
    <w:bookmarkEnd w:id="27"/>
    <w:bookmarkStart w:name="z7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и лимитах открытой валютной позиции, утвержденных настоящим постановлением:</w:t>
      </w:r>
    </w:p>
    <w:bookmarkEnd w:id="28"/>
    <w:bookmarkStart w:name="z79" w:id="29"/>
    <w:p>
      <w:pPr>
        <w:spacing w:after="0"/>
        <w:ind w:left="0"/>
        <w:jc w:val="both"/>
      </w:pPr>
      <w:r>
        <w:rPr>
          <w:rFonts w:ascii="Times New Roman"/>
          <w:b w:val="false"/>
          <w:i w:val="false"/>
          <w:color w:val="000000"/>
          <w:sz w:val="28"/>
        </w:rPr>
        <w:t>
      дополнить пунктом 2-1 следующего содержания:</w:t>
      </w:r>
    </w:p>
    <w:bookmarkEnd w:id="29"/>
    <w:bookmarkStart w:name="z80" w:id="30"/>
    <w:p>
      <w:pPr>
        <w:spacing w:after="0"/>
        <w:ind w:left="0"/>
        <w:jc w:val="both"/>
      </w:pPr>
      <w:r>
        <w:rPr>
          <w:rFonts w:ascii="Times New Roman"/>
          <w:b w:val="false"/>
          <w:i w:val="false"/>
          <w:color w:val="000000"/>
          <w:sz w:val="28"/>
        </w:rPr>
        <w:t>
      "2-1. Банки совершают операции с форвардными контрактами при их заключении в целях управления валютным риском банка и при соответствии контрагента по форвардному контракту одному из следующих условий:</w:t>
      </w:r>
    </w:p>
    <w:bookmarkEnd w:id="30"/>
    <w:bookmarkStart w:name="z81" w:id="31"/>
    <w:p>
      <w:pPr>
        <w:spacing w:after="0"/>
        <w:ind w:left="0"/>
        <w:jc w:val="both"/>
      </w:pPr>
      <w:r>
        <w:rPr>
          <w:rFonts w:ascii="Times New Roman"/>
          <w:b w:val="false"/>
          <w:i w:val="false"/>
          <w:color w:val="000000"/>
          <w:sz w:val="28"/>
        </w:rPr>
        <w:t>
      является финансовой организацией-резидентом Республики Казахстан, осуществляющей свою деятельность в соответствии с лицензией, выданной уполномоченным органом;</w:t>
      </w:r>
    </w:p>
    <w:bookmarkEnd w:id="31"/>
    <w:bookmarkStart w:name="z82" w:id="32"/>
    <w:p>
      <w:pPr>
        <w:spacing w:after="0"/>
        <w:ind w:left="0"/>
        <w:jc w:val="both"/>
      </w:pPr>
      <w:r>
        <w:rPr>
          <w:rFonts w:ascii="Times New Roman"/>
          <w:b w:val="false"/>
          <w:i w:val="false"/>
          <w:color w:val="000000"/>
          <w:sz w:val="28"/>
        </w:rPr>
        <w:t>
      является юридическим лицом-нерезидентом Республики Казахстан, имеющим в стране своего места нахождения статус банка, страховой организации, инвестиционной компании, инвестиционного холдинга, инвестиционного банка, брокерской компании, управляющей компании, компании по доверительному управлению, компании, имеющей членство на бирже по торговле финансовыми инструментами или производными финансовыми инструментами, и зарегистрированным на территории государств – членов Организации экономического сотрудничества и развития;</w:t>
      </w:r>
    </w:p>
    <w:bookmarkEnd w:id="32"/>
    <w:bookmarkStart w:name="z83" w:id="33"/>
    <w:p>
      <w:pPr>
        <w:spacing w:after="0"/>
        <w:ind w:left="0"/>
        <w:jc w:val="both"/>
      </w:pPr>
      <w:r>
        <w:rPr>
          <w:rFonts w:ascii="Times New Roman"/>
          <w:b w:val="false"/>
          <w:i w:val="false"/>
          <w:color w:val="000000"/>
          <w:sz w:val="28"/>
        </w:rPr>
        <w:t xml:space="preserve">
      является юридическим лицом-нерезидентом Республики Казахстан, имеющим кредитный рейтинг не ниже "ВВ" рейтингового агентства Standard &amp; Poor's или рейтинг аналогичного уровня одного из других рейтинговых агентств и не зарегистрированной в офшорных зонах,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зарегистрированным в Реестре государственной регистрации нормативных правовых актов под № 20095;</w:t>
      </w:r>
    </w:p>
    <w:bookmarkEnd w:id="33"/>
    <w:bookmarkStart w:name="z84" w:id="34"/>
    <w:p>
      <w:pPr>
        <w:spacing w:after="0"/>
        <w:ind w:left="0"/>
        <w:jc w:val="both"/>
      </w:pPr>
      <w:r>
        <w:rPr>
          <w:rFonts w:ascii="Times New Roman"/>
          <w:b w:val="false"/>
          <w:i w:val="false"/>
          <w:color w:val="000000"/>
          <w:sz w:val="28"/>
        </w:rPr>
        <w:t>
      является юридическим лицом-резидентом Республики Казахстан, заключившим форвардный контракт для собственной финансово-хозяйственной деятельности (подтверждается проведенным банком анализом платежеспособности контрагента, целевого назначения форвардного контракта, оборотами по счетам контрагента и (или) иными документами, подтверждающими цель заключения форвардного контракта);</w:t>
      </w:r>
    </w:p>
    <w:bookmarkEnd w:id="34"/>
    <w:bookmarkStart w:name="z85" w:id="35"/>
    <w:p>
      <w:pPr>
        <w:spacing w:after="0"/>
        <w:ind w:left="0"/>
        <w:jc w:val="both"/>
      </w:pPr>
      <w:r>
        <w:rPr>
          <w:rFonts w:ascii="Times New Roman"/>
          <w:b w:val="false"/>
          <w:i w:val="false"/>
          <w:color w:val="000000"/>
          <w:sz w:val="28"/>
        </w:rPr>
        <w:t>
      является юридическим лицом-резидентом Республики Казахстан, более 50 (пятидесяти) процентов голосующих акций или долей участия в уставном капитале которого принадлежит государству.</w:t>
      </w:r>
    </w:p>
    <w:bookmarkEnd w:id="35"/>
    <w:bookmarkStart w:name="z86" w:id="36"/>
    <w:p>
      <w:pPr>
        <w:spacing w:after="0"/>
        <w:ind w:left="0"/>
        <w:jc w:val="both"/>
      </w:pPr>
      <w:r>
        <w:rPr>
          <w:rFonts w:ascii="Times New Roman"/>
          <w:b w:val="false"/>
          <w:i w:val="false"/>
          <w:color w:val="000000"/>
          <w:sz w:val="28"/>
        </w:rPr>
        <w:t>
      Для целей Правил форвардный контракт признается заключенным в целях управления валютным риском на основе следующих факторов (но не ограничиваясь ими):</w:t>
      </w:r>
    </w:p>
    <w:bookmarkEnd w:id="36"/>
    <w:bookmarkStart w:name="z87" w:id="37"/>
    <w:p>
      <w:pPr>
        <w:spacing w:after="0"/>
        <w:ind w:left="0"/>
        <w:jc w:val="both"/>
      </w:pPr>
      <w:r>
        <w:rPr>
          <w:rFonts w:ascii="Times New Roman"/>
          <w:b w:val="false"/>
          <w:i w:val="false"/>
          <w:color w:val="000000"/>
          <w:sz w:val="28"/>
        </w:rPr>
        <w:t xml:space="preserve">
      сделка является инструментом, направленным на защиту активов или обязательств банка от неблагоприятного движения валютных курсов; </w:t>
      </w:r>
    </w:p>
    <w:bookmarkEnd w:id="37"/>
    <w:bookmarkStart w:name="z88" w:id="38"/>
    <w:p>
      <w:pPr>
        <w:spacing w:after="0"/>
        <w:ind w:left="0"/>
        <w:jc w:val="both"/>
      </w:pPr>
      <w:r>
        <w:rPr>
          <w:rFonts w:ascii="Times New Roman"/>
          <w:b w:val="false"/>
          <w:i w:val="false"/>
          <w:color w:val="000000"/>
          <w:sz w:val="28"/>
        </w:rPr>
        <w:t>
      по сделке существуют основания для ее исполнения;</w:t>
      </w:r>
    </w:p>
    <w:bookmarkEnd w:id="38"/>
    <w:bookmarkStart w:name="z89" w:id="39"/>
    <w:p>
      <w:pPr>
        <w:spacing w:after="0"/>
        <w:ind w:left="0"/>
        <w:jc w:val="both"/>
      </w:pPr>
      <w:r>
        <w:rPr>
          <w:rFonts w:ascii="Times New Roman"/>
          <w:b w:val="false"/>
          <w:i w:val="false"/>
          <w:color w:val="000000"/>
          <w:sz w:val="28"/>
        </w:rPr>
        <w:t>
      сделка не вызывает объективные вопросы к ее содержанию, экономической целесообразности либо оформлению.".</w:t>
      </w:r>
    </w:p>
    <w:bookmarkEnd w:id="39"/>
    <w:bookmarkStart w:name="z90" w:id="40"/>
    <w:p>
      <w:pPr>
        <w:spacing w:after="0"/>
        <w:ind w:left="0"/>
        <w:jc w:val="both"/>
      </w:pPr>
      <w:r>
        <w:rPr>
          <w:rFonts w:ascii="Times New Roman"/>
          <w:b w:val="false"/>
          <w:i w:val="false"/>
          <w:color w:val="000000"/>
          <w:sz w:val="28"/>
        </w:rPr>
        <w:t>
      3. Внести в </w:t>
      </w:r>
      <w:r>
        <w:rPr>
          <w:rFonts w:ascii="Times New Roman"/>
          <w:b w:val="false"/>
          <w:i w:val="false"/>
          <w:color w:val="000000"/>
          <w:sz w:val="28"/>
        </w:rPr>
        <w:t>постановление</w:t>
      </w:r>
      <w:r>
        <w:rPr>
          <w:rFonts w:ascii="Times New Roman"/>
          <w:b w:val="false"/>
          <w:i w:val="false"/>
          <w:color w:val="000000"/>
          <w:sz w:val="28"/>
        </w:rPr>
        <w:t> Правления Национального Банка Республики Казахстан от 29 октября 2018 года № 248 "Об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рассмотрения уведомления об итогах погашения негосударственных облигаций,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уведомления об итогах погашения негосударственных облигаций" (зарегистрировано в Реестре государственной регистрации нормативных правовых актов под № 17884, опубликовано 14 декабря 2018 года в Эталонном контрольном банке нормативных правовых актов Республики Казахстан) следующее изменение:</w:t>
      </w:r>
    </w:p>
    <w:bookmarkEnd w:id="40"/>
    <w:bookmarkStart w:name="z91" w:id="41"/>
    <w:p>
      <w:pPr>
        <w:spacing w:after="0"/>
        <w:ind w:left="0"/>
        <w:jc w:val="both"/>
      </w:pP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 утвержденных указанным постановлением: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изложить в следующей редакции:</w:t>
      </w:r>
    </w:p>
    <w:bookmarkStart w:name="z93" w:id="42"/>
    <w:p>
      <w:pPr>
        <w:spacing w:after="0"/>
        <w:ind w:left="0"/>
        <w:jc w:val="both"/>
      </w:pPr>
      <w:r>
        <w:rPr>
          <w:rFonts w:ascii="Times New Roman"/>
          <w:b w:val="false"/>
          <w:i w:val="false"/>
          <w:color w:val="000000"/>
          <w:sz w:val="28"/>
        </w:rPr>
        <w:t>
      "12. Государственная регистрация выпуска облигаций (облигационной программы) банка или организации, осуществляющей отдельные виды банковских операций, осуществляется при условии соблюдения эмитентом следующих требований:</w:t>
      </w:r>
    </w:p>
    <w:bookmarkEnd w:id="42"/>
    <w:bookmarkStart w:name="z94" w:id="43"/>
    <w:p>
      <w:pPr>
        <w:spacing w:after="0"/>
        <w:ind w:left="0"/>
        <w:jc w:val="both"/>
      </w:pPr>
      <w:r>
        <w:rPr>
          <w:rFonts w:ascii="Times New Roman"/>
          <w:b w:val="false"/>
          <w:i w:val="false"/>
          <w:color w:val="000000"/>
          <w:sz w:val="28"/>
        </w:rPr>
        <w:t>
      1) отсутствие на дату подачи документов для государственной регистрации выпуска облигаций (облигационной программы)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p>
    <w:bookmarkEnd w:id="43"/>
    <w:bookmarkStart w:name="z95" w:id="44"/>
    <w:p>
      <w:pPr>
        <w:spacing w:after="0"/>
        <w:ind w:left="0"/>
        <w:jc w:val="both"/>
      </w:pP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лет до даты подачи документов для государственной регистрации выпуска облигаций (облигационной программы) или чистые потоки денег, полученные от деятельности эмитента, за один из двух последних завершенных финансовых года, рассчитанные на основании его финансовой отчетности, подтвержденной аудиторским отчетом, являются положительными;</w:t>
      </w:r>
    </w:p>
    <w:bookmarkEnd w:id="44"/>
    <w:bookmarkStart w:name="z96" w:id="45"/>
    <w:p>
      <w:pPr>
        <w:spacing w:after="0"/>
        <w:ind w:left="0"/>
        <w:jc w:val="both"/>
      </w:pPr>
      <w:r>
        <w:rPr>
          <w:rFonts w:ascii="Times New Roman"/>
          <w:b w:val="false"/>
          <w:i w:val="false"/>
          <w:color w:val="000000"/>
          <w:sz w:val="28"/>
        </w:rPr>
        <w:t xml:space="preserve">
      3) отсутствие фактов несоблюдения пруденциальных нормативов и иных установленных уполномоченным органом норм и лимитов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 </w:t>
      </w:r>
    </w:p>
    <w:bookmarkEnd w:id="45"/>
    <w:bookmarkStart w:name="z97" w:id="46"/>
    <w:p>
      <w:pPr>
        <w:spacing w:after="0"/>
        <w:ind w:left="0"/>
        <w:jc w:val="both"/>
      </w:pPr>
      <w:r>
        <w:rPr>
          <w:rFonts w:ascii="Times New Roman"/>
          <w:b w:val="false"/>
          <w:i w:val="false"/>
          <w:color w:val="000000"/>
          <w:sz w:val="28"/>
        </w:rPr>
        <w:t xml:space="preserve">
      В случае отсутствия информации о пруденциальных нормативах и иных установленных уполномоченным органом нормах и лимитах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 уполномоченным органом принимается во внимание информация </w:t>
      </w:r>
      <w:r>
        <w:rPr>
          <w:rFonts w:ascii="Times New Roman"/>
          <w:b w:val="false"/>
          <w:i w:val="false"/>
          <w:color w:val="000000"/>
          <w:sz w:val="28"/>
        </w:rPr>
        <w:t xml:space="preserve">о пруденциальных нормативах и иных нормах и лимитах по состоянию на предыдущую отчетную дату; </w:t>
      </w:r>
    </w:p>
    <w:bookmarkEnd w:id="46"/>
    <w:bookmarkStart w:name="z99" w:id="47"/>
    <w:p>
      <w:pPr>
        <w:spacing w:after="0"/>
        <w:ind w:left="0"/>
        <w:jc w:val="both"/>
      </w:pPr>
      <w:r>
        <w:rPr>
          <w:rFonts w:ascii="Times New Roman"/>
          <w:b w:val="false"/>
          <w:i w:val="false"/>
          <w:color w:val="000000"/>
          <w:sz w:val="28"/>
        </w:rPr>
        <w:t xml:space="preserve">
      4) соответствие эмитента и выпускаемых им облигаций </w:t>
      </w:r>
      <w:r>
        <w:rPr>
          <w:rFonts w:ascii="Times New Roman"/>
          <w:b w:val="false"/>
          <w:i w:val="false"/>
          <w:color w:val="000000"/>
          <w:sz w:val="28"/>
        </w:rPr>
        <w:t>Требованиям</w:t>
      </w:r>
      <w:r>
        <w:rPr>
          <w:rFonts w:ascii="Times New Roman"/>
          <w:b w:val="false"/>
          <w:i w:val="false"/>
          <w:color w:val="000000"/>
          <w:sz w:val="28"/>
        </w:rPr>
        <w:t xml:space="preserve"> к эмитентам и их ценным бумагам, допускаемым (допущенным) к обращению на фондовой бирже, а также к отдельным категориям списка фондовой биржи, утвержденным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и внутренним документам фондовой биржи (в случае, если проспектом выпуска облигаций эмитента предусматривается обращение данных облигаций в торговой системе фондовой биржи).</w:t>
      </w:r>
    </w:p>
    <w:bookmarkEnd w:id="47"/>
    <w:bookmarkStart w:name="z100" w:id="48"/>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48"/>
    <w:bookmarkStart w:name="z101" w:id="49"/>
    <w:p>
      <w:pPr>
        <w:spacing w:after="0"/>
        <w:ind w:left="0"/>
        <w:jc w:val="both"/>
      </w:pPr>
      <w:r>
        <w:rPr>
          <w:rFonts w:ascii="Times New Roman"/>
          <w:b w:val="false"/>
          <w:i w:val="false"/>
          <w:color w:val="000000"/>
          <w:sz w:val="28"/>
        </w:rPr>
        <w:t>
      проведения эмитентом реструктуризации обязательств по ранее выпущенным облигациям в соответствии с решением суда о проведении реструктуризации;</w:t>
      </w:r>
    </w:p>
    <w:bookmarkEnd w:id="49"/>
    <w:bookmarkStart w:name="z102" w:id="50"/>
    <w:p>
      <w:pPr>
        <w:spacing w:after="0"/>
        <w:ind w:left="0"/>
        <w:jc w:val="both"/>
      </w:pPr>
      <w:r>
        <w:rPr>
          <w:rFonts w:ascii="Times New Roman"/>
          <w:b w:val="false"/>
          <w:i w:val="false"/>
          <w:color w:val="000000"/>
          <w:sz w:val="28"/>
        </w:rPr>
        <w:t xml:space="preserve">
      проведения эмитентом реструктуризации обязательств по ранее выпущенным облигациям в соответствии с решением уполномоченного органа о проведении принудительной реструктуризации обязательств банка, отнесенного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w:t>
      </w:r>
    </w:p>
    <w:bookmarkEnd w:id="50"/>
    <w:bookmarkStart w:name="z103" w:id="51"/>
    <w:p>
      <w:pPr>
        <w:spacing w:after="0"/>
        <w:ind w:left="0"/>
        <w:jc w:val="both"/>
      </w:pPr>
      <w:r>
        <w:rPr>
          <w:rFonts w:ascii="Times New Roman"/>
          <w:b w:val="false"/>
          <w:i w:val="false"/>
          <w:color w:val="000000"/>
          <w:sz w:val="28"/>
        </w:rPr>
        <w:t>
      проведения реорганизации эмитента, не менее 50 (пятидесяти) процентов голосующих акций которого принадлежат государству либо национальному управляющему холдингу.</w:t>
      </w:r>
    </w:p>
    <w:bookmarkEnd w:id="51"/>
    <w:bookmarkStart w:name="z104" w:id="52"/>
    <w:p>
      <w:pPr>
        <w:spacing w:after="0"/>
        <w:ind w:left="0"/>
        <w:jc w:val="both"/>
      </w:pPr>
      <w:r>
        <w:rPr>
          <w:rFonts w:ascii="Times New Roman"/>
          <w:b w:val="false"/>
          <w:i w:val="false"/>
          <w:color w:val="000000"/>
          <w:sz w:val="28"/>
        </w:rPr>
        <w:t>
      Требования подпунктов 2) и 3) части первой настоящего пункта не распространяются на выпуск облигаций банка в виде субординированных облигаций, конвертируемых в акции.".</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