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14531" w14:textId="20145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дополнения в приказ Министра энергетики Республики Казахстан от 2 марта 2015 года № 164 "Об утверждении Правил централизованной покупки и продажи расчетно-финансовым центром электрической энергии, произведенной объектами по использованию возобновляемых источников энергии, перерасчета и перераспределения расчетно-финансовым центром соответствующей доли электрической энергии на квалифицированного условного потребителя по итогам календарного года"</w:t>
      </w:r>
    </w:p>
    <w:p>
      <w:pPr>
        <w:spacing w:after="0"/>
        <w:ind w:left="0"/>
        <w:jc w:val="both"/>
      </w:pPr>
      <w:r>
        <w:rPr>
          <w:rFonts w:ascii="Times New Roman"/>
          <w:b w:val="false"/>
          <w:i w:val="false"/>
          <w:color w:val="000000"/>
          <w:sz w:val="28"/>
        </w:rPr>
        <w:t>Приказ Министра энергетики Республики Казахстан от 17 сентября 2020 года № 312. Зарегистрирован в Министерстве юстиции Республики Казахстан 22 сентября 2020 года № 21240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 марта 2015 года № 164 "Об утверждении Правил централизованной покупки и продажи расчетно-финансовым центром электрической энергии, произведенной объектами по использованию возобновляемых источников энергии, перерасчета и перераспределения расчетно-финансовым центром соответствующей доли электрической энергии на квалифицированного условного потребителя по итогам календарного года" (зарегистрирован в Реестре государственной регистрации нормативных правовых актов за № 10662, опубликован 18 августа 2015 года в информационно-правовой системе "Әділет") следующее дополнение: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централизованной покупки и продажи расчетно-финансовым центром электрической энергии, произведенной объектами по использованию возобновляемых источников энергии, перерасчета и перераспределения расчетно-финансовым центром соответствующей доли электрической энергии на квалифицированного условного потребителя по итогам календарного года, утвержденные указанным приказом:</w:t>
      </w:r>
    </w:p>
    <w:bookmarkStart w:name="z7" w:id="2"/>
    <w:p>
      <w:pPr>
        <w:spacing w:after="0"/>
        <w:ind w:left="0"/>
        <w:jc w:val="both"/>
      </w:pPr>
      <w:r>
        <w:rPr>
          <w:rFonts w:ascii="Times New Roman"/>
          <w:b w:val="false"/>
          <w:i w:val="false"/>
          <w:color w:val="000000"/>
          <w:sz w:val="28"/>
        </w:rPr>
        <w:t>
      дополнить пунктом 32-1 следующего содержания:</w:t>
      </w:r>
    </w:p>
    <w:bookmarkEnd w:id="2"/>
    <w:bookmarkStart w:name="z8" w:id="3"/>
    <w:p>
      <w:pPr>
        <w:spacing w:after="0"/>
        <w:ind w:left="0"/>
        <w:jc w:val="both"/>
      </w:pPr>
      <w:r>
        <w:rPr>
          <w:rFonts w:ascii="Times New Roman"/>
          <w:b w:val="false"/>
          <w:i w:val="false"/>
          <w:color w:val="000000"/>
          <w:sz w:val="28"/>
        </w:rPr>
        <w:t>
      "32-1. В случае превышения фактической суммарной установленной мощности генерирующего оборудования (устройств, вырабатывающих электрическую энергию) ветровой электростанции, предусмотренной договором покупки, Заявитель ограничивает мощность единичной генерирующей установки (при необходимости нескольких единичных генерирующих установок) объекта по использованию ВИЭ для обеспечения соответствия суммарной установленной мощности, указанной в договоре покупки.</w:t>
      </w:r>
    </w:p>
    <w:bookmarkEnd w:id="3"/>
    <w:bookmarkStart w:name="z9" w:id="4"/>
    <w:p>
      <w:pPr>
        <w:spacing w:after="0"/>
        <w:ind w:left="0"/>
        <w:jc w:val="both"/>
      </w:pPr>
      <w:r>
        <w:rPr>
          <w:rFonts w:ascii="Times New Roman"/>
          <w:b w:val="false"/>
          <w:i w:val="false"/>
          <w:color w:val="000000"/>
          <w:sz w:val="28"/>
        </w:rPr>
        <w:t>
      При этом, Заявитель обеспечивает передачу данных системному оператору о почасовой выработке электрической энергии генерирующих установок, на которых установлено ограничение в соответствии с частью первой настоящего пункта, посредством автоматизированных систем диспетчерского и технологического управления или посредством автоматизированной системы коммерческого учета электрической энергии.</w:t>
      </w:r>
    </w:p>
    <w:bookmarkEnd w:id="4"/>
    <w:bookmarkStart w:name="z10" w:id="5"/>
    <w:p>
      <w:pPr>
        <w:spacing w:after="0"/>
        <w:ind w:left="0"/>
        <w:jc w:val="both"/>
      </w:pPr>
      <w:r>
        <w:rPr>
          <w:rFonts w:ascii="Times New Roman"/>
          <w:b w:val="false"/>
          <w:i w:val="false"/>
          <w:color w:val="000000"/>
          <w:sz w:val="28"/>
        </w:rPr>
        <w:t>
      Наряду с этим, превышение фактической суммарной установленной мощности генерирующего оборудования ветровой электростанции не допускается более чем на 10% от установленной мощности, указанной в договоре покупки.".</w:t>
      </w:r>
    </w:p>
    <w:bookmarkEnd w:id="5"/>
    <w:bookmarkStart w:name="z11" w:id="6"/>
    <w:p>
      <w:pPr>
        <w:spacing w:after="0"/>
        <w:ind w:left="0"/>
        <w:jc w:val="both"/>
      </w:pPr>
      <w:r>
        <w:rPr>
          <w:rFonts w:ascii="Times New Roman"/>
          <w:b w:val="false"/>
          <w:i w:val="false"/>
          <w:color w:val="000000"/>
          <w:sz w:val="28"/>
        </w:rPr>
        <w:t>
      2. Департаменту по возобновляемым источникам энергии Министерства энергетики Республики Казахстан в установленном законодательством Республики Казахстан порядке обеспечить:</w:t>
      </w:r>
    </w:p>
    <w:bookmarkEnd w:id="6"/>
    <w:bookmarkStart w:name="z12" w:id="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
    <w:bookmarkStart w:name="z13" w:id="8"/>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w:t>
      </w:r>
    </w:p>
    <w:bookmarkEnd w:id="8"/>
    <w:bookmarkStart w:name="z14" w:id="9"/>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9"/>
    <w:bookmarkStart w:name="z15" w:id="10"/>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10"/>
    <w:bookmarkStart w:name="z16" w:id="11"/>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энергетики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bookmarkStart w:name="z18" w:id="12"/>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xml:space="preserve">Министерство национальной экономики </w:t>
      </w:r>
      <w:r>
        <w:br/>
      </w:r>
      <w:r>
        <w:rPr>
          <w:rFonts w:ascii="Times New Roman"/>
          <w:b w:val="false"/>
          <w:i w:val="false"/>
          <w:color w:val="000000"/>
          <w:sz w:val="28"/>
        </w:rPr>
        <w:t>Республики Казахстан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