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3073" w14:textId="a733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рынка ценных бумаг</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21 сентября 2020 года № 84. Зарегистрировано в Министерстве юстиции Республики Казахстан 23 сентября 2020 года № 21248</w:t>
      </w:r>
    </w:p>
    <w:p>
      <w:pPr>
        <w:spacing w:after="0"/>
        <w:ind w:left="0"/>
        <w:jc w:val="both"/>
      </w:pPr>
      <w:bookmarkStart w:name="z4" w:id="0"/>
      <w:r>
        <w:rPr>
          <w:rFonts w:ascii="Times New Roman"/>
          <w:b w:val="false"/>
          <w:i w:val="false"/>
          <w:color w:val="000000"/>
          <w:sz w:val="28"/>
        </w:rPr>
        <w:t>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рынка ценных бумаг, в которые вносятся изменения и дополнения (далее – Перечень),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рынка ценных бумаг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семнадцатого, восемнадцатого, девятнадцатого и двадцатого пункта 6 Перечня, которые вводятся в действие по истечении 6 (шести) месяцев со дня введения в действие настоящего постановления.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br/>
            </w:r>
            <w:r>
              <w:rPr>
                <w:rFonts w:ascii="Times New Roman"/>
                <w:b w:val="false"/>
                <w:i/>
                <w:color w:val="000000"/>
                <w:sz w:val="20"/>
              </w:rPr>
              <w:t>Республики Казахстан</w:t>
            </w:r>
            <w:r>
              <w:br/>
            </w:r>
            <w:r>
              <w:rPr>
                <w:rFonts w:ascii="Times New Roman"/>
                <w:b w:val="false"/>
                <w:i/>
                <w:color w:val="000000"/>
                <w:sz w:val="20"/>
              </w:rPr>
              <w:t>по регулированию и</w:t>
            </w:r>
            <w:r>
              <w:br/>
            </w:r>
            <w:r>
              <w:rPr>
                <w:rFonts w:ascii="Times New Roman"/>
                <w:b w:val="false"/>
                <w:i/>
                <w:color w:val="000000"/>
                <w:sz w:val="20"/>
              </w:rPr>
              <w:t xml:space="preserve">развитию 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21 сентября 2020 года № 84</w:t>
            </w:r>
          </w:p>
        </w:tc>
      </w:tr>
    </w:tbl>
    <w:bookmarkStart w:name="z14" w:id="8"/>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рынка ценных бумаг,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21 августа 2004 года № 259 "Об установлении Правил, условий и методики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(зарегистрировано в Реестре государственной регистрации нормативных правовых актов под № 3124) следующие изменения и дополнение:</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условиях и методике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установленных указанным постановлением (далее - Правила):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"7-2. Управляющая компания ежемесячно проводит тесты на обесценение финансовых инструментов, составляющих активы инвестиционного фонда, и формирует размер необходимого обесценения или осуществляет отрицательную корректировку стоимости, связанные с обесценением (уменьшением стоимости) данных активов при потере стоимости вследствие неисполнения или ненадлежащего исполнения эмитентом обязательств по финансовым инструментам.</w:t>
      </w:r>
    </w:p>
    <w:bookmarkEnd w:id="11"/>
    <w:bookmarkStart w:name="z19" w:id="12"/>
    <w:p>
      <w:pPr>
        <w:spacing w:after="0"/>
        <w:ind w:left="0"/>
        <w:jc w:val="both"/>
      </w:pPr>
      <w:r>
        <w:rPr>
          <w:rFonts w:ascii="Times New Roman"/>
          <w:b w:val="false"/>
          <w:i w:val="false"/>
          <w:color w:val="000000"/>
          <w:sz w:val="28"/>
        </w:rPr>
        <w:t>
      Тестам на обесценение подлежат все финансовые инструменты, составляющие активы инвестиционного фонда.</w:t>
      </w:r>
    </w:p>
    <w:bookmarkEnd w:id="12"/>
    <w:bookmarkStart w:name="z20" w:id="13"/>
    <w:p>
      <w:pPr>
        <w:spacing w:after="0"/>
        <w:ind w:left="0"/>
        <w:jc w:val="both"/>
      </w:pPr>
      <w:r>
        <w:rPr>
          <w:rFonts w:ascii="Times New Roman"/>
          <w:b w:val="false"/>
          <w:i w:val="false"/>
          <w:color w:val="000000"/>
          <w:sz w:val="28"/>
        </w:rPr>
        <w:t>
      Обесценение или уменьшение стоимости финансовых инструментов осуществляется согласно методике обесценения (далее – Методика).";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xml:space="preserve">
      "10. Оценка активов и обязательств инвестиционного фонда, стоимость которых выражена в иностранной валюте, осуществляется по рыночному курсу обмена валют, определенному в порядке, предусмотренном совместными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зарегистрированными в Реестре государственной регистрации нормативных правовых актов под № 8378, на дату определения стоимости активов инвестиционного фонда.";</w:t>
      </w:r>
    </w:p>
    <w:bookmarkEnd w:id="14"/>
    <w:bookmarkStart w:name="z23" w:id="15"/>
    <w:p>
      <w:pPr>
        <w:spacing w:after="0"/>
        <w:ind w:left="0"/>
        <w:jc w:val="both"/>
      </w:pPr>
      <w:r>
        <w:rPr>
          <w:rFonts w:ascii="Times New Roman"/>
          <w:b w:val="false"/>
          <w:i w:val="false"/>
          <w:color w:val="000000"/>
          <w:sz w:val="28"/>
        </w:rPr>
        <w:t>
      дополнить пунктом 11-1 следующего содержания:</w:t>
      </w:r>
    </w:p>
    <w:bookmarkEnd w:id="15"/>
    <w:bookmarkStart w:name="z24" w:id="16"/>
    <w:p>
      <w:pPr>
        <w:spacing w:after="0"/>
        <w:ind w:left="0"/>
        <w:jc w:val="both"/>
      </w:pPr>
      <w:r>
        <w:rPr>
          <w:rFonts w:ascii="Times New Roman"/>
          <w:b w:val="false"/>
          <w:i w:val="false"/>
          <w:color w:val="000000"/>
          <w:sz w:val="28"/>
        </w:rPr>
        <w:t>
      "11-1. Обязательства по выплате дивидендов по акциям акционерного инвестиционного фонда и паям закрытого инвестиционного фонда признаются управляющей компанией и кастодианом с даты:</w:t>
      </w:r>
    </w:p>
    <w:bookmarkEnd w:id="16"/>
    <w:bookmarkStart w:name="z25" w:id="17"/>
    <w:p>
      <w:pPr>
        <w:spacing w:after="0"/>
        <w:ind w:left="0"/>
        <w:jc w:val="both"/>
      </w:pPr>
      <w:r>
        <w:rPr>
          <w:rFonts w:ascii="Times New Roman"/>
          <w:b w:val="false"/>
          <w:i w:val="false"/>
          <w:color w:val="000000"/>
          <w:sz w:val="28"/>
        </w:rPr>
        <w:t>
      опубликования акционерным инвестиционным фондом информации (решения) о выплате дивидендов на интернет-ресурсе депозитария финансовой отчетности;</w:t>
      </w:r>
    </w:p>
    <w:bookmarkEnd w:id="17"/>
    <w:bookmarkStart w:name="z26" w:id="18"/>
    <w:p>
      <w:pPr>
        <w:spacing w:after="0"/>
        <w:ind w:left="0"/>
        <w:jc w:val="both"/>
      </w:pPr>
      <w:r>
        <w:rPr>
          <w:rFonts w:ascii="Times New Roman"/>
          <w:b w:val="false"/>
          <w:i w:val="false"/>
          <w:color w:val="000000"/>
          <w:sz w:val="28"/>
        </w:rPr>
        <w:t>
      возникновения прав держателей паев закрытого инвестиционного фонда на получение дивидендов на условиях и в порядке, предусмотренных правилами данного закрытого паевого инвестиционного фонда.";</w:t>
      </w:r>
    </w:p>
    <w:bookmarkEnd w:id="18"/>
    <w:bookmarkStart w:name="z27" w:id="19"/>
    <w:p>
      <w:pPr>
        <w:spacing w:after="0"/>
        <w:ind w:left="0"/>
        <w:jc w:val="both"/>
      </w:pPr>
      <w:r>
        <w:rPr>
          <w:rFonts w:ascii="Times New Roman"/>
          <w:b w:val="false"/>
          <w:i w:val="false"/>
          <w:color w:val="000000"/>
          <w:sz w:val="28"/>
        </w:rPr>
        <w:t xml:space="preserve">
      Размер необходимого обесценения или уменьшения стоимости ценных бумаг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нормативных правовых актов Республики Казахстан по вопросам регулирования рынка ценных бумаг, в которые вносятся изменения и дополнения (далее - Перечень).</w:t>
      </w:r>
    </w:p>
    <w:bookmarkEnd w:id="19"/>
    <w:bookmarkStart w:name="z28" w:id="20"/>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сентября 2005 года № 360 "О требованиях к иностранным юридическим лицам для членства на фондовой бирже" (зарегистрировано в Реестре государственной регистрации нормативных правовых актов под № 3916) следующее изменение: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 w:id="21"/>
    <w:p>
      <w:pPr>
        <w:spacing w:after="0"/>
        <w:ind w:left="0"/>
        <w:jc w:val="both"/>
      </w:pPr>
      <w:r>
        <w:rPr>
          <w:rFonts w:ascii="Times New Roman"/>
          <w:b w:val="false"/>
          <w:i w:val="false"/>
          <w:color w:val="000000"/>
          <w:sz w:val="28"/>
        </w:rPr>
        <w:t>
      "1. Установить, что членами фондовой биржи могут быть иностранные юридические лица, соответствующие одному из приведенных условий:</w:t>
      </w:r>
    </w:p>
    <w:bookmarkEnd w:id="21"/>
    <w:bookmarkStart w:name="z31" w:id="22"/>
    <w:p>
      <w:pPr>
        <w:spacing w:after="0"/>
        <w:ind w:left="0"/>
        <w:jc w:val="both"/>
      </w:pPr>
      <w:r>
        <w:rPr>
          <w:rFonts w:ascii="Times New Roman"/>
          <w:b w:val="false"/>
          <w:i w:val="false"/>
          <w:color w:val="000000"/>
          <w:sz w:val="28"/>
        </w:rPr>
        <w:t>
      1) являющиеся членами фондовых бирж, входящих в состав Всемирной федерации бирж (The World Federation of Exchanges);</w:t>
      </w:r>
    </w:p>
    <w:bookmarkEnd w:id="22"/>
    <w:bookmarkStart w:name="z32" w:id="23"/>
    <w:p>
      <w:pPr>
        <w:spacing w:after="0"/>
        <w:ind w:left="0"/>
        <w:jc w:val="both"/>
      </w:pPr>
      <w:r>
        <w:rPr>
          <w:rFonts w:ascii="Times New Roman"/>
          <w:b w:val="false"/>
          <w:i w:val="false"/>
          <w:color w:val="000000"/>
          <w:sz w:val="28"/>
        </w:rPr>
        <w:t>
      2) имеющие соответствующие лицензии уполномоченного органа страны резидентства на осуществление брокерской и (или) дилерской деятельности. Допуск указанных иностранных юридических лиц к торгам на фондовой бирже возможен только при наличии международных соглашений о сотрудничестве и обмене информацией между уполномоченными органами в области надзора за брокерской и (или) дилерской деятельностью, предусматривающих взаимное признание лицензий на осуществление брокерской и (или) дилерской деятельности;</w:t>
      </w:r>
    </w:p>
    <w:bookmarkEnd w:id="23"/>
    <w:bookmarkStart w:name="z33" w:id="24"/>
    <w:p>
      <w:pPr>
        <w:spacing w:after="0"/>
        <w:ind w:left="0"/>
        <w:jc w:val="both"/>
      </w:pPr>
      <w:r>
        <w:rPr>
          <w:rFonts w:ascii="Times New Roman"/>
          <w:b w:val="false"/>
          <w:i w:val="false"/>
          <w:color w:val="000000"/>
          <w:sz w:val="28"/>
        </w:rPr>
        <w:t>
      3) имеющие соответствующие лицензии уполномоченного органа страны резидентства на осуществление клиринговой деятельности, которым подписан Многосторонний меморандум о взаимопонимании по вопросам консультаций, сотрудничества и обмена информацией Международной организации комиссий по ценным бумагам.".</w:t>
      </w:r>
    </w:p>
    <w:bookmarkEnd w:id="24"/>
    <w:bookmarkStart w:name="z34" w:id="25"/>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59 "Об утверждении Требований к системе управления рисками клиринговой организации, условиям и порядку мониторинга, контроля и управления рисками в клиринговой организации" (зарегистрировано в Реестре государственной регистрации нормативных правовых актов под № 7554, опубликовано 23 июня 2012 года в газете "Казахстанская правда" № 199-200 (27018-27019)) следующие изменения:</w:t>
      </w:r>
    </w:p>
    <w:bookmarkEnd w:id="25"/>
    <w:bookmarkStart w:name="z35"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системе управления рисками клиринговой организации, условиям и порядку мониторинга, контроля и управления рисками в клиринговой организации, утвержденных указанным постановлением: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7" w:id="27"/>
    <w:p>
      <w:pPr>
        <w:spacing w:after="0"/>
        <w:ind w:left="0"/>
        <w:jc w:val="both"/>
      </w:pPr>
      <w:r>
        <w:rPr>
          <w:rFonts w:ascii="Times New Roman"/>
          <w:b w:val="false"/>
          <w:i w:val="false"/>
          <w:color w:val="000000"/>
          <w:sz w:val="28"/>
        </w:rPr>
        <w:t>
      "1. Для целей Требований используются следующие понятия:</w:t>
      </w:r>
    </w:p>
    <w:bookmarkEnd w:id="27"/>
    <w:bookmarkStart w:name="z38" w:id="28"/>
    <w:p>
      <w:pPr>
        <w:spacing w:after="0"/>
        <w:ind w:left="0"/>
        <w:jc w:val="both"/>
      </w:pPr>
      <w:r>
        <w:rPr>
          <w:rFonts w:ascii="Times New Roman"/>
          <w:b w:val="false"/>
          <w:i w:val="false"/>
          <w:color w:val="000000"/>
          <w:sz w:val="28"/>
        </w:rPr>
        <w:t>
      1) расчетная организация – организация, осуществляющая организацию расчетов (платежей) по сделкам с финансовыми инструментами;</w:t>
      </w:r>
    </w:p>
    <w:bookmarkEnd w:id="28"/>
    <w:bookmarkStart w:name="z39" w:id="29"/>
    <w:p>
      <w:pPr>
        <w:spacing w:after="0"/>
        <w:ind w:left="0"/>
        <w:jc w:val="both"/>
      </w:pPr>
      <w:r>
        <w:rPr>
          <w:rFonts w:ascii="Times New Roman"/>
          <w:b w:val="false"/>
          <w:i w:val="false"/>
          <w:color w:val="000000"/>
          <w:sz w:val="28"/>
        </w:rPr>
        <w:t>
      2) клиринг - процесс определения, проверки и передачи информации о требованиях и (или) обязательствах клиринговых участников в результате совершения ими сделок с финансовыми инструментами;</w:t>
      </w:r>
    </w:p>
    <w:bookmarkEnd w:id="29"/>
    <w:bookmarkStart w:name="z40" w:id="30"/>
    <w:p>
      <w:pPr>
        <w:spacing w:after="0"/>
        <w:ind w:left="0"/>
        <w:jc w:val="both"/>
      </w:pPr>
      <w:r>
        <w:rPr>
          <w:rFonts w:ascii="Times New Roman"/>
          <w:b w:val="false"/>
          <w:i w:val="false"/>
          <w:color w:val="000000"/>
          <w:sz w:val="28"/>
        </w:rPr>
        <w:t>
      3) клиринговая система – программно-технический комплекс клиринговой организации, предназначенный для осуществления клиринговой деятельности;</w:t>
      </w:r>
    </w:p>
    <w:bookmarkEnd w:id="30"/>
    <w:bookmarkStart w:name="z41" w:id="31"/>
    <w:p>
      <w:pPr>
        <w:spacing w:after="0"/>
        <w:ind w:left="0"/>
        <w:jc w:val="both"/>
      </w:pPr>
      <w:r>
        <w:rPr>
          <w:rFonts w:ascii="Times New Roman"/>
          <w:b w:val="false"/>
          <w:i w:val="false"/>
          <w:color w:val="000000"/>
          <w:sz w:val="28"/>
        </w:rPr>
        <w:t>
      4) операционный риск - вероятность возникновения потерь в результате неадекватных или недостаточных внутренних процессов, человеческих ресурсов и систем или внешних событий, в том числе:</w:t>
      </w:r>
    </w:p>
    <w:bookmarkEnd w:id="31"/>
    <w:bookmarkStart w:name="z42" w:id="32"/>
    <w:p>
      <w:pPr>
        <w:spacing w:after="0"/>
        <w:ind w:left="0"/>
        <w:jc w:val="both"/>
      </w:pPr>
      <w:r>
        <w:rPr>
          <w:rFonts w:ascii="Times New Roman"/>
          <w:b w:val="false"/>
          <w:i w:val="false"/>
          <w:color w:val="000000"/>
          <w:sz w:val="28"/>
        </w:rPr>
        <w:t>
      риск, вызванный неадекватными стратегиями, политиками и (или) стандартами в области информационных технологий, недостатками использования программного обеспечения;</w:t>
      </w:r>
    </w:p>
    <w:bookmarkEnd w:id="32"/>
    <w:bookmarkStart w:name="z43" w:id="33"/>
    <w:p>
      <w:pPr>
        <w:spacing w:after="0"/>
        <w:ind w:left="0"/>
        <w:jc w:val="both"/>
      </w:pPr>
      <w:r>
        <w:rPr>
          <w:rFonts w:ascii="Times New Roman"/>
          <w:b w:val="false"/>
          <w:i w:val="false"/>
          <w:color w:val="000000"/>
          <w:sz w:val="28"/>
        </w:rPr>
        <w:t>
      риск, связанный с неадекватной информацией либо ее несоответствующим использованием;</w:t>
      </w:r>
    </w:p>
    <w:bookmarkEnd w:id="33"/>
    <w:bookmarkStart w:name="z44" w:id="34"/>
    <w:p>
      <w:pPr>
        <w:spacing w:after="0"/>
        <w:ind w:left="0"/>
        <w:jc w:val="both"/>
      </w:pPr>
      <w:r>
        <w:rPr>
          <w:rFonts w:ascii="Times New Roman"/>
          <w:b w:val="false"/>
          <w:i w:val="false"/>
          <w:color w:val="000000"/>
          <w:sz w:val="28"/>
        </w:rPr>
        <w:t>
      риск, связанный с неадекватным построением бизнес-процессов либо слабым контролем за соблюдением внутренних документов и правил;</w:t>
      </w:r>
    </w:p>
    <w:bookmarkEnd w:id="34"/>
    <w:bookmarkStart w:name="z45" w:id="35"/>
    <w:p>
      <w:pPr>
        <w:spacing w:after="0"/>
        <w:ind w:left="0"/>
        <w:jc w:val="both"/>
      </w:pPr>
      <w:r>
        <w:rPr>
          <w:rFonts w:ascii="Times New Roman"/>
          <w:b w:val="false"/>
          <w:i w:val="false"/>
          <w:color w:val="000000"/>
          <w:sz w:val="28"/>
        </w:rPr>
        <w:t>
      риск, связанный с несоответствующим управлением персоналом и (или) неквалифицированным персоналом клиринговой организации;</w:t>
      </w:r>
    </w:p>
    <w:bookmarkEnd w:id="35"/>
    <w:bookmarkStart w:name="z46" w:id="36"/>
    <w:p>
      <w:pPr>
        <w:spacing w:after="0"/>
        <w:ind w:left="0"/>
        <w:jc w:val="both"/>
      </w:pPr>
      <w:r>
        <w:rPr>
          <w:rFonts w:ascii="Times New Roman"/>
          <w:b w:val="false"/>
          <w:i w:val="false"/>
          <w:color w:val="000000"/>
          <w:sz w:val="28"/>
        </w:rPr>
        <w:t>
      риск, связанный с несоответствием внутренних документов клиринговой организации требованиям законодательства Республики Казахстан;</w:t>
      </w:r>
    </w:p>
    <w:bookmarkEnd w:id="36"/>
    <w:bookmarkStart w:name="z47" w:id="37"/>
    <w:p>
      <w:pPr>
        <w:spacing w:after="0"/>
        <w:ind w:left="0"/>
        <w:jc w:val="both"/>
      </w:pPr>
      <w:r>
        <w:rPr>
          <w:rFonts w:ascii="Times New Roman"/>
          <w:b w:val="false"/>
          <w:i w:val="false"/>
          <w:color w:val="000000"/>
          <w:sz w:val="28"/>
        </w:rPr>
        <w:t>
      риск, вызванный непредвиденными или неконтролируемыми факторами внешнего воздействия на деятельность клиринговой организации;</w:t>
      </w:r>
    </w:p>
    <w:bookmarkEnd w:id="37"/>
    <w:bookmarkStart w:name="z48" w:id="38"/>
    <w:p>
      <w:pPr>
        <w:spacing w:after="0"/>
        <w:ind w:left="0"/>
        <w:jc w:val="both"/>
      </w:pPr>
      <w:r>
        <w:rPr>
          <w:rFonts w:ascii="Times New Roman"/>
          <w:b w:val="false"/>
          <w:i w:val="false"/>
          <w:color w:val="000000"/>
          <w:sz w:val="28"/>
        </w:rPr>
        <w:t>
      5) стресс - тестинг – методы измерения потенциального влияния на финансовое положение клиринговой организации исключительных, но возможных событий, которые оказывают влияние на деятельность клиринговой организации;</w:t>
      </w:r>
    </w:p>
    <w:bookmarkEnd w:id="38"/>
    <w:bookmarkStart w:name="z49" w:id="39"/>
    <w:p>
      <w:pPr>
        <w:spacing w:after="0"/>
        <w:ind w:left="0"/>
        <w:jc w:val="both"/>
      </w:pPr>
      <w:r>
        <w:rPr>
          <w:rFonts w:ascii="Times New Roman"/>
          <w:b w:val="false"/>
          <w:i w:val="false"/>
          <w:color w:val="000000"/>
          <w:sz w:val="28"/>
        </w:rPr>
        <w:t>
      6) уполномоченный орган - уполномоченный орган по регулированию, контролю и надзору финансового рынка и финансовых организаций.";</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51" w:id="40"/>
    <w:p>
      <w:pPr>
        <w:spacing w:after="0"/>
        <w:ind w:left="0"/>
        <w:jc w:val="both"/>
      </w:pPr>
      <w:r>
        <w:rPr>
          <w:rFonts w:ascii="Times New Roman"/>
          <w:b w:val="false"/>
          <w:i w:val="false"/>
          <w:color w:val="000000"/>
          <w:sz w:val="28"/>
        </w:rPr>
        <w:t>
      "5. Клиринговая организация не реже одного раза в квартал проводит стресс-тестинг по основным видам рисков (кредитным, системным, операционным, рыночным) в порядке, предусмотренном политикой клиринговой организации по управлению рисками.</w:t>
      </w:r>
    </w:p>
    <w:bookmarkEnd w:id="40"/>
    <w:bookmarkStart w:name="z52" w:id="41"/>
    <w:p>
      <w:pPr>
        <w:spacing w:after="0"/>
        <w:ind w:left="0"/>
        <w:jc w:val="both"/>
      </w:pPr>
      <w:r>
        <w:rPr>
          <w:rFonts w:ascii="Times New Roman"/>
          <w:b w:val="false"/>
          <w:i w:val="false"/>
          <w:color w:val="000000"/>
          <w:sz w:val="28"/>
        </w:rPr>
        <w:t>
      6. Результаты стресс-тестинга по основным видам рисков (кредитным, системным, операционным, рыночным) оформляются в порядке, определенном политикой клиринговой организации по управлению рисками и содержат описание сценария стресс-теста, обоснование выбранного сценария стресс-теста и рекомендации по результатам стресс-тестинга.";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55" w:id="42"/>
    <w:p>
      <w:pPr>
        <w:spacing w:after="0"/>
        <w:ind w:left="0"/>
        <w:jc w:val="both"/>
      </w:pPr>
      <w:r>
        <w:rPr>
          <w:rFonts w:ascii="Times New Roman"/>
          <w:b w:val="false"/>
          <w:i w:val="false"/>
          <w:color w:val="000000"/>
          <w:sz w:val="28"/>
        </w:rPr>
        <w:t>
      "8. Наличие системы управления рисками клиринговой организации предусматривает соответствие деятельности клиринговой организации требованиям по корпоративному управлению, наличию практики проведения операций в рамках осуществляемого профессионального вида деятельности на рынке ценных бумаг, функционированию клиринговой системы.</w:t>
      </w:r>
    </w:p>
    <w:bookmarkEnd w:id="42"/>
    <w:bookmarkStart w:name="z56" w:id="43"/>
    <w:p>
      <w:pPr>
        <w:spacing w:after="0"/>
        <w:ind w:left="0"/>
        <w:jc w:val="both"/>
      </w:pPr>
      <w:r>
        <w:rPr>
          <w:rFonts w:ascii="Times New Roman"/>
          <w:b w:val="false"/>
          <w:i w:val="false"/>
          <w:color w:val="000000"/>
          <w:sz w:val="28"/>
        </w:rPr>
        <w:t>
      Система управления рисками клиринговой организации обеспечивает контроль, мониторинг и минимизацию рисков, присущих ее деятельности.";</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58" w:id="44"/>
    <w:p>
      <w:pPr>
        <w:spacing w:after="0"/>
        <w:ind w:left="0"/>
        <w:jc w:val="both"/>
      </w:pPr>
      <w:r>
        <w:rPr>
          <w:rFonts w:ascii="Times New Roman"/>
          <w:b w:val="false"/>
          <w:i w:val="false"/>
          <w:color w:val="000000"/>
          <w:sz w:val="28"/>
        </w:rPr>
        <w:t>
       "20. Порядок и условия формирования, а также использования резервных, гарантийных фондов клиринговой организации и (или) маржевых взносов и иного обеспечения клиринговых участников включают:</w:t>
      </w:r>
    </w:p>
    <w:bookmarkEnd w:id="44"/>
    <w:bookmarkStart w:name="z59" w:id="45"/>
    <w:p>
      <w:pPr>
        <w:spacing w:after="0"/>
        <w:ind w:left="0"/>
        <w:jc w:val="both"/>
      </w:pPr>
      <w:r>
        <w:rPr>
          <w:rFonts w:ascii="Times New Roman"/>
          <w:b w:val="false"/>
          <w:i w:val="false"/>
          <w:color w:val="000000"/>
          <w:sz w:val="28"/>
        </w:rPr>
        <w:t>
       1) методику определения и оценки размеров резервных или гарантийных фондов клиринговой организации и (или) маржевых взносов, иного обеспечения клиринговых участников;</w:t>
      </w:r>
    </w:p>
    <w:bookmarkEnd w:id="45"/>
    <w:bookmarkStart w:name="z60" w:id="46"/>
    <w:p>
      <w:pPr>
        <w:spacing w:after="0"/>
        <w:ind w:left="0"/>
        <w:jc w:val="both"/>
      </w:pPr>
      <w:r>
        <w:rPr>
          <w:rFonts w:ascii="Times New Roman"/>
          <w:b w:val="false"/>
          <w:i w:val="false"/>
          <w:color w:val="000000"/>
          <w:sz w:val="28"/>
        </w:rPr>
        <w:t>
      2) порядок и условия уплаты маржевых взносов и иного обеспечения клиринговых участников, взносов клиринговых участников в гарантийный фонд клиринговой организации, формирования резервного фонда клиринговой организации;</w:t>
      </w:r>
    </w:p>
    <w:bookmarkEnd w:id="46"/>
    <w:bookmarkStart w:name="z61" w:id="47"/>
    <w:p>
      <w:pPr>
        <w:spacing w:after="0"/>
        <w:ind w:left="0"/>
        <w:jc w:val="both"/>
      </w:pPr>
      <w:r>
        <w:rPr>
          <w:rFonts w:ascii="Times New Roman"/>
          <w:b w:val="false"/>
          <w:i w:val="false"/>
          <w:color w:val="000000"/>
          <w:sz w:val="28"/>
        </w:rPr>
        <w:t>
      3) порядок и условия осуществления выплат из резервных или гарантийных фондов клиринговой организации;</w:t>
      </w:r>
    </w:p>
    <w:bookmarkEnd w:id="47"/>
    <w:bookmarkStart w:name="z62" w:id="48"/>
    <w:p>
      <w:pPr>
        <w:spacing w:after="0"/>
        <w:ind w:left="0"/>
        <w:jc w:val="both"/>
      </w:pPr>
      <w:r>
        <w:rPr>
          <w:rFonts w:ascii="Times New Roman"/>
          <w:b w:val="false"/>
          <w:i w:val="false"/>
          <w:color w:val="000000"/>
          <w:sz w:val="28"/>
        </w:rPr>
        <w:t>
      4) порядок и условия инвестирования активов резервных или гарантийных фондов клиринговой организации:</w:t>
      </w:r>
    </w:p>
    <w:bookmarkEnd w:id="48"/>
    <w:bookmarkStart w:name="z63" w:id="49"/>
    <w:p>
      <w:pPr>
        <w:spacing w:after="0"/>
        <w:ind w:left="0"/>
        <w:jc w:val="both"/>
      </w:pPr>
      <w:r>
        <w:rPr>
          <w:rFonts w:ascii="Times New Roman"/>
          <w:b w:val="false"/>
          <w:i w:val="false"/>
          <w:color w:val="000000"/>
          <w:sz w:val="28"/>
        </w:rPr>
        <w:t>
      в деньги на корреспондентском счете, открытом в Национальном Банке Республики Казахстан, или на банковском счете, открытом в Акционерном обществе "Центральный депозитарий ценных бумаг";</w:t>
      </w:r>
    </w:p>
    <w:bookmarkEnd w:id="49"/>
    <w:bookmarkStart w:name="z64" w:id="50"/>
    <w:p>
      <w:pPr>
        <w:spacing w:after="0"/>
        <w:ind w:left="0"/>
        <w:jc w:val="both"/>
      </w:pPr>
      <w:r>
        <w:rPr>
          <w:rFonts w:ascii="Times New Roman"/>
          <w:b w:val="false"/>
          <w:i w:val="false"/>
          <w:color w:val="000000"/>
          <w:sz w:val="28"/>
        </w:rPr>
        <w:t>
      в деньги на счетах в иностранных банках-корреспондентах, имеющих долгосрочный международный рейтинг не ниже "ВВВ-" по международной шкале агентства Standard &amp; Poor's или рейтинг аналогичного уровня по международной шкале агентств Fitch или Moody's Investors Service;</w:t>
      </w:r>
    </w:p>
    <w:bookmarkEnd w:id="50"/>
    <w:bookmarkStart w:name="z65" w:id="51"/>
    <w:p>
      <w:pPr>
        <w:spacing w:after="0"/>
        <w:ind w:left="0"/>
        <w:jc w:val="both"/>
      </w:pPr>
      <w:r>
        <w:rPr>
          <w:rFonts w:ascii="Times New Roman"/>
          <w:b w:val="false"/>
          <w:i w:val="false"/>
          <w:color w:val="000000"/>
          <w:sz w:val="28"/>
        </w:rPr>
        <w:t>
      в деньги на текущих счетах в банках второго уровня Республики Казахстан, имеющих долгосрочный рейтинг не ниже "В+" по международной шкале агентства Standard &amp;Poor's или рейтинг аналогичного уровня по международной шкале агентств Fitch или Moody's Investors Service;</w:t>
      </w:r>
    </w:p>
    <w:bookmarkEnd w:id="51"/>
    <w:bookmarkStart w:name="z66" w:id="52"/>
    <w:p>
      <w:pPr>
        <w:spacing w:after="0"/>
        <w:ind w:left="0"/>
        <w:jc w:val="both"/>
      </w:pPr>
      <w:r>
        <w:rPr>
          <w:rFonts w:ascii="Times New Roman"/>
          <w:b w:val="false"/>
          <w:i w:val="false"/>
          <w:color w:val="000000"/>
          <w:sz w:val="28"/>
        </w:rPr>
        <w:t>
      в государственные ценные бумаги Республики Казахстан;</w:t>
      </w:r>
    </w:p>
    <w:bookmarkEnd w:id="52"/>
    <w:bookmarkStart w:name="z67" w:id="53"/>
    <w:p>
      <w:pPr>
        <w:spacing w:after="0"/>
        <w:ind w:left="0"/>
        <w:jc w:val="both"/>
      </w:pPr>
      <w:r>
        <w:rPr>
          <w:rFonts w:ascii="Times New Roman"/>
          <w:b w:val="false"/>
          <w:i w:val="false"/>
          <w:color w:val="000000"/>
          <w:sz w:val="28"/>
        </w:rPr>
        <w:t>
      в государственные облигации иностранных государств, имеющих долгосрочный рейтинг не ниже "АА" по международной шкале агентства Standard &amp; Poor's или рейтинг аналогичного уровня по международной шкале агентств Fitch или Moody's Investors Service;</w:t>
      </w:r>
    </w:p>
    <w:bookmarkEnd w:id="53"/>
    <w:bookmarkStart w:name="z68" w:id="54"/>
    <w:p>
      <w:pPr>
        <w:spacing w:after="0"/>
        <w:ind w:left="0"/>
        <w:jc w:val="both"/>
      </w:pPr>
      <w:r>
        <w:rPr>
          <w:rFonts w:ascii="Times New Roman"/>
          <w:b w:val="false"/>
          <w:i w:val="false"/>
          <w:color w:val="000000"/>
          <w:sz w:val="28"/>
        </w:rPr>
        <w:t>
      в инструменты репо, осуществляемые "автоматическим" способом;</w:t>
      </w:r>
    </w:p>
    <w:bookmarkEnd w:id="54"/>
    <w:bookmarkStart w:name="z69" w:id="55"/>
    <w:p>
      <w:pPr>
        <w:spacing w:after="0"/>
        <w:ind w:left="0"/>
        <w:jc w:val="both"/>
      </w:pPr>
      <w:r>
        <w:rPr>
          <w:rFonts w:ascii="Times New Roman"/>
          <w:b w:val="false"/>
          <w:i w:val="false"/>
          <w:color w:val="000000"/>
          <w:sz w:val="28"/>
        </w:rPr>
        <w:t>
      в депозиты в банках второго уровня Республики Казахстан, имеющих долгосрочный рейтинг не ниже "ВB+" по международной шкале агентства Standard &amp; Poor's или рейтинг аналогичного уровня по международной шкале агентств Fitch или Moody's Investors Service;</w:t>
      </w:r>
    </w:p>
    <w:bookmarkEnd w:id="55"/>
    <w:bookmarkStart w:name="z70" w:id="56"/>
    <w:p>
      <w:pPr>
        <w:spacing w:after="0"/>
        <w:ind w:left="0"/>
        <w:jc w:val="both"/>
      </w:pPr>
      <w:r>
        <w:rPr>
          <w:rFonts w:ascii="Times New Roman"/>
          <w:b w:val="false"/>
          <w:i w:val="false"/>
          <w:color w:val="000000"/>
          <w:sz w:val="28"/>
        </w:rPr>
        <w:t>
      в депозиты в банках-нерезидентах Республики Казахстан, имеющих долгосрочный международный рейтинг не ниже "ВВВ-" по международной шкале агентства Standard &amp; Poor's или рейтинг аналогичного уровня по международной шкале агентств Fitch или Moody's Investors Service;</w:t>
      </w:r>
    </w:p>
    <w:bookmarkEnd w:id="56"/>
    <w:bookmarkStart w:name="z71" w:id="57"/>
    <w:p>
      <w:pPr>
        <w:spacing w:after="0"/>
        <w:ind w:left="0"/>
        <w:jc w:val="both"/>
      </w:pPr>
      <w:r>
        <w:rPr>
          <w:rFonts w:ascii="Times New Roman"/>
          <w:b w:val="false"/>
          <w:i w:val="false"/>
          <w:color w:val="000000"/>
          <w:sz w:val="28"/>
        </w:rPr>
        <w:t>
      в корпоративные облигации (в том числе купонные международные облигации), имеющие рейтинг не ниже "BВ-" по международной шкале агентства Standard &amp; Poor's или рейтинг аналогичного уровня по международной шкале агентств Fitch или Moody's Investors Service;</w:t>
      </w:r>
    </w:p>
    <w:bookmarkEnd w:id="57"/>
    <w:bookmarkStart w:name="z72" w:id="58"/>
    <w:p>
      <w:pPr>
        <w:spacing w:after="0"/>
        <w:ind w:left="0"/>
        <w:jc w:val="both"/>
      </w:pPr>
      <w:r>
        <w:rPr>
          <w:rFonts w:ascii="Times New Roman"/>
          <w:b w:val="false"/>
          <w:i w:val="false"/>
          <w:color w:val="000000"/>
          <w:sz w:val="28"/>
        </w:rPr>
        <w:t>
      в квазигосударственные долговые ценные бумаги резидентов Республики Казахстан, имеющих долгосрочный международный рейтинг не ниже "ВВ+" по международной шкале агентства Standard &amp; Poor's или рейтинг аналогичного уровня по международной шкале агентств Fitch или Moody's Investors Service;</w:t>
      </w:r>
    </w:p>
    <w:bookmarkEnd w:id="58"/>
    <w:bookmarkStart w:name="z73" w:id="59"/>
    <w:p>
      <w:pPr>
        <w:spacing w:after="0"/>
        <w:ind w:left="0"/>
        <w:jc w:val="both"/>
      </w:pPr>
      <w:r>
        <w:rPr>
          <w:rFonts w:ascii="Times New Roman"/>
          <w:b w:val="false"/>
          <w:i w:val="false"/>
          <w:color w:val="000000"/>
          <w:sz w:val="28"/>
        </w:rPr>
        <w:t>
      5) порядок и условия инвестирования денег, внесенных в уплату маржевых взносов и (или) в качестве иного обеспечения:</w:t>
      </w:r>
    </w:p>
    <w:bookmarkEnd w:id="59"/>
    <w:bookmarkStart w:name="z74" w:id="60"/>
    <w:p>
      <w:pPr>
        <w:spacing w:after="0"/>
        <w:ind w:left="0"/>
        <w:jc w:val="both"/>
      </w:pPr>
      <w:r>
        <w:rPr>
          <w:rFonts w:ascii="Times New Roman"/>
          <w:b w:val="false"/>
          <w:i w:val="false"/>
          <w:color w:val="000000"/>
          <w:sz w:val="28"/>
        </w:rPr>
        <w:t>
      в деньги на корреспондентском счете, открытом в Национальном Банке Республики Казахстан, и (или) на банковском счете, открытом в Акционерном обществе "Центральный депозитарий ценных бумаг";</w:t>
      </w:r>
    </w:p>
    <w:bookmarkEnd w:id="60"/>
    <w:bookmarkStart w:name="z75" w:id="61"/>
    <w:p>
      <w:pPr>
        <w:spacing w:after="0"/>
        <w:ind w:left="0"/>
        <w:jc w:val="both"/>
      </w:pPr>
      <w:r>
        <w:rPr>
          <w:rFonts w:ascii="Times New Roman"/>
          <w:b w:val="false"/>
          <w:i w:val="false"/>
          <w:color w:val="000000"/>
          <w:sz w:val="28"/>
        </w:rPr>
        <w:t>
      в деньги на счетах в иностранных банках-корреспондентах, имеющих долгосрочный международный рейтинг не ниже "ВВВ-" по международной шкале агентства Standard &amp; Poor's или рейтинг аналогичного уровня по международной шкале агентств Fitch или Moody's Investors Service;</w:t>
      </w:r>
    </w:p>
    <w:bookmarkEnd w:id="61"/>
    <w:bookmarkStart w:name="z76" w:id="62"/>
    <w:p>
      <w:pPr>
        <w:spacing w:after="0"/>
        <w:ind w:left="0"/>
        <w:jc w:val="both"/>
      </w:pPr>
      <w:r>
        <w:rPr>
          <w:rFonts w:ascii="Times New Roman"/>
          <w:b w:val="false"/>
          <w:i w:val="false"/>
          <w:color w:val="000000"/>
          <w:sz w:val="28"/>
        </w:rPr>
        <w:t>
      в деньги на текущих счетах в банках второго уровня Республики Казахстан, имеющих долгосрочный рейтинг не ниже "В+" по международной шкале агентства Standard &amp; Poor's или рейтинг аналогичного уровня по международной шкале агентств Fitch или Moody's Investors Service;</w:t>
      </w:r>
    </w:p>
    <w:bookmarkEnd w:id="62"/>
    <w:bookmarkStart w:name="z77" w:id="63"/>
    <w:p>
      <w:pPr>
        <w:spacing w:after="0"/>
        <w:ind w:left="0"/>
        <w:jc w:val="both"/>
      </w:pPr>
      <w:r>
        <w:rPr>
          <w:rFonts w:ascii="Times New Roman"/>
          <w:b w:val="false"/>
          <w:i w:val="false"/>
          <w:color w:val="000000"/>
          <w:sz w:val="28"/>
        </w:rPr>
        <w:t>
      в государственные ценные бумаги Республики Казахстан;</w:t>
      </w:r>
    </w:p>
    <w:bookmarkEnd w:id="63"/>
    <w:bookmarkStart w:name="z78" w:id="64"/>
    <w:p>
      <w:pPr>
        <w:spacing w:after="0"/>
        <w:ind w:left="0"/>
        <w:jc w:val="both"/>
      </w:pPr>
      <w:r>
        <w:rPr>
          <w:rFonts w:ascii="Times New Roman"/>
          <w:b w:val="false"/>
          <w:i w:val="false"/>
          <w:color w:val="000000"/>
          <w:sz w:val="28"/>
        </w:rPr>
        <w:t>
      в государственные облигации иностранных государств, имеющих долгосрочный международный рейтинг не ниже "АА" по международной шкале агентства Standard &amp; Poor's или рейтинг аналогичного уровня по международной шкале агентств Fitch или Moody's Investors Service;</w:t>
      </w:r>
    </w:p>
    <w:bookmarkEnd w:id="64"/>
    <w:bookmarkStart w:name="z79" w:id="65"/>
    <w:p>
      <w:pPr>
        <w:spacing w:after="0"/>
        <w:ind w:left="0"/>
        <w:jc w:val="both"/>
      </w:pPr>
      <w:r>
        <w:rPr>
          <w:rFonts w:ascii="Times New Roman"/>
          <w:b w:val="false"/>
          <w:i w:val="false"/>
          <w:color w:val="000000"/>
          <w:sz w:val="28"/>
        </w:rPr>
        <w:t>
      в долговые ценные бумаги (в том числе купонные международные облигации), имеющие рейтинг не ниже "BВ-" по международной шкале агентства Standard &amp; Poor's или рейтинг аналогичного уровня по международной шкале агентств Fitch или Moody's Investors Service;</w:t>
      </w:r>
    </w:p>
    <w:bookmarkEnd w:id="65"/>
    <w:bookmarkStart w:name="z80" w:id="66"/>
    <w:p>
      <w:pPr>
        <w:spacing w:after="0"/>
        <w:ind w:left="0"/>
        <w:jc w:val="both"/>
      </w:pPr>
      <w:r>
        <w:rPr>
          <w:rFonts w:ascii="Times New Roman"/>
          <w:b w:val="false"/>
          <w:i w:val="false"/>
          <w:color w:val="000000"/>
          <w:sz w:val="28"/>
        </w:rPr>
        <w:t>
      в инструменты репо, осуществляемые "автоматическим" способом;</w:t>
      </w:r>
    </w:p>
    <w:bookmarkEnd w:id="66"/>
    <w:bookmarkStart w:name="z81" w:id="67"/>
    <w:p>
      <w:pPr>
        <w:spacing w:after="0"/>
        <w:ind w:left="0"/>
        <w:jc w:val="both"/>
      </w:pPr>
      <w:r>
        <w:rPr>
          <w:rFonts w:ascii="Times New Roman"/>
          <w:b w:val="false"/>
          <w:i w:val="false"/>
          <w:color w:val="000000"/>
          <w:sz w:val="28"/>
        </w:rPr>
        <w:t>
      в операции СВОП;</w:t>
      </w:r>
    </w:p>
    <w:bookmarkEnd w:id="67"/>
    <w:bookmarkStart w:name="z82" w:id="68"/>
    <w:p>
      <w:pPr>
        <w:spacing w:after="0"/>
        <w:ind w:left="0"/>
        <w:jc w:val="both"/>
      </w:pPr>
      <w:r>
        <w:rPr>
          <w:rFonts w:ascii="Times New Roman"/>
          <w:b w:val="false"/>
          <w:i w:val="false"/>
          <w:color w:val="000000"/>
          <w:sz w:val="28"/>
        </w:rPr>
        <w:t>
      в депозиты в банках-нерезидентах Республики Казахстан, имеющих долгосрочный международный рейтинг не ниже "ВВВ-" по международной шкале агентства Standard &amp; Poor's или рейтинг аналогичного уровня по международной шкале агентств Fitch или Moody's Investors Service;</w:t>
      </w:r>
    </w:p>
    <w:bookmarkEnd w:id="68"/>
    <w:bookmarkStart w:name="z83" w:id="69"/>
    <w:p>
      <w:pPr>
        <w:spacing w:after="0"/>
        <w:ind w:left="0"/>
        <w:jc w:val="both"/>
      </w:pPr>
      <w:r>
        <w:rPr>
          <w:rFonts w:ascii="Times New Roman"/>
          <w:b w:val="false"/>
          <w:i w:val="false"/>
          <w:color w:val="000000"/>
          <w:sz w:val="28"/>
        </w:rPr>
        <w:t>
      в депозиты в банках второго уровня Республики Казахстан, имеющих долгосрочный рейтинг не ниже "ВB-" по международной шкале агентства Standard &amp; Poor's или рейтинг аналогичного уровня по международной шкале агентств Fitch или Moody's Investors Service.</w:t>
      </w:r>
    </w:p>
    <w:bookmarkEnd w:id="69"/>
    <w:bookmarkStart w:name="z84" w:id="70"/>
    <w:p>
      <w:pPr>
        <w:spacing w:after="0"/>
        <w:ind w:left="0"/>
        <w:jc w:val="both"/>
      </w:pPr>
      <w:r>
        <w:rPr>
          <w:rFonts w:ascii="Times New Roman"/>
          <w:b w:val="false"/>
          <w:i w:val="false"/>
          <w:color w:val="000000"/>
          <w:sz w:val="28"/>
        </w:rPr>
        <w:t>
      Перечень инструментов, указанный в подпункте 5) настоящего пункта, не распространяется на случаи приобретения клиринговой организацией финансовых инструментов в целях урегулирования факта неисполнения обязательств одним из клиринговых участников.";</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bookmarkStart w:name="z86" w:id="71"/>
    <w:p>
      <w:pPr>
        <w:spacing w:after="0"/>
        <w:ind w:left="0"/>
        <w:jc w:val="both"/>
      </w:pPr>
      <w:r>
        <w:rPr>
          <w:rFonts w:ascii="Times New Roman"/>
          <w:b w:val="false"/>
          <w:i w:val="false"/>
          <w:color w:val="000000"/>
          <w:sz w:val="28"/>
        </w:rPr>
        <w:t>
      "39. Совет директоров клиринговой организации обеспечивает предоставление информации о технических сбоях, а также обстоятельствах, повлекших нарушение процесса клиринга, в уполномоченный орган в течение рабочего дня, следующего за днем их наступления.</w:t>
      </w:r>
    </w:p>
    <w:bookmarkEnd w:id="71"/>
    <w:bookmarkStart w:name="z87" w:id="72"/>
    <w:p>
      <w:pPr>
        <w:spacing w:after="0"/>
        <w:ind w:left="0"/>
        <w:jc w:val="both"/>
      </w:pPr>
      <w:r>
        <w:rPr>
          <w:rFonts w:ascii="Times New Roman"/>
          <w:b w:val="false"/>
          <w:i w:val="false"/>
          <w:color w:val="000000"/>
          <w:sz w:val="28"/>
        </w:rPr>
        <w:t>
      40. Подразделением клиринговой организации по управлению рисками ежеквартально составляется отчет совету директоров и правлению, включающий в себя сведения о количестве случаев наступления рисков и размере ущерба, понесенном в результате наступления рисков, а также предоставляется план мероприятий по минимизации, как самих рисков, так и последствий от их наступления.".</w:t>
      </w:r>
    </w:p>
    <w:bookmarkEnd w:id="72"/>
    <w:bookmarkStart w:name="z88" w:id="73"/>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апреля 2012 года № 165 "Об утверждении Требований к программно-техническим средствам и иному оборудованию, необходимым для осуществления деятельности на рынке ценных бумаг" (зарегистрировано в Реестре государственной регистрации нормативных правовых актов под № 7734, опубликовано 29 августа 2012 года в газете "Казахстанская правда" № 290-291 (27109-27110)) следующее изменение:</w:t>
      </w:r>
    </w:p>
    <w:bookmarkEnd w:id="73"/>
    <w:bookmarkStart w:name="z89"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программно-техническим средствам и иному оборудованию, необходимым для осуществления деятельности на рынке ценных бумаг, утвержденных указанным постановлением:</w:t>
      </w:r>
    </w:p>
    <w:bookmarkEnd w:id="74"/>
    <w:bookmarkStart w:name="z90" w:id="75"/>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75"/>
    <w:bookmarkStart w:name="z91" w:id="76"/>
    <w:p>
      <w:pPr>
        <w:spacing w:after="0"/>
        <w:ind w:left="0"/>
        <w:jc w:val="both"/>
      </w:pPr>
      <w:r>
        <w:rPr>
          <w:rFonts w:ascii="Times New Roman"/>
          <w:b w:val="false"/>
          <w:i w:val="false"/>
          <w:color w:val="000000"/>
          <w:sz w:val="28"/>
        </w:rPr>
        <w:t xml:space="preserve">
      "автоматизированный расчет значений рисков на одного клиента, установленных Правилами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2013 года № 214, зарегистрированным в Реестре государственной регистрации нормативных правовых актов под № 8796;".</w:t>
      </w:r>
    </w:p>
    <w:bookmarkEnd w:id="76"/>
    <w:bookmarkStart w:name="z92" w:id="77"/>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2013 года № 214 "Об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(зарегистрировано в Реестре государственной регистрации нормативных правовых актов под № 8796, опубликовано 05 декабря 2013 года в газете "Юридическая газета" № 183 (2558)) следующие изменения и дополнение:</w:t>
      </w:r>
    </w:p>
    <w:bookmarkEnd w:id="77"/>
    <w:bookmarkStart w:name="z93"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утвержденных указанным постановлением:</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4 </w:t>
      </w:r>
      <w:r>
        <w:rPr>
          <w:rFonts w:ascii="Times New Roman"/>
          <w:b w:val="false"/>
          <w:i w:val="false"/>
          <w:color w:val="000000"/>
          <w:sz w:val="28"/>
        </w:rPr>
        <w:t xml:space="preserve"> изложить в следующей редакции:</w:t>
      </w:r>
    </w:p>
    <w:bookmarkStart w:name="z95" w:id="79"/>
    <w:p>
      <w:pPr>
        <w:spacing w:after="0"/>
        <w:ind w:left="0"/>
        <w:jc w:val="both"/>
      </w:pPr>
      <w:r>
        <w:rPr>
          <w:rFonts w:ascii="Times New Roman"/>
          <w:b w:val="false"/>
          <w:i w:val="false"/>
          <w:color w:val="000000"/>
          <w:sz w:val="28"/>
        </w:rPr>
        <w:t>
      "4. Брокер и (или) дилер или Управляющий, являющийся брокером и (или) дилером, выполняет требования, установленные абзацами восьмым, девятым и десятым подпункта 3) пункта 11, подпунктами 9) и 10) пункта 15, абзацами пятым, шестым и седьмым части второй пункта 28, пунктами 29 и 30, подпунктами 2), 8), 9) пункта 68, пунктами 73, 74, 76, 77, 78, 79 и 80 Правил, в случае исполнения клиентских заказов при отсутствии достаточного количества денег и (или) ценных бумаг у клиента на банковском и (или) лицевом счете данного брокера и (или) дилера или Управляющего, являющегося брокером и (или) дилером, для исполнения данного заказа.";</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97" w:id="80"/>
    <w:p>
      <w:pPr>
        <w:spacing w:after="0"/>
        <w:ind w:left="0"/>
        <w:jc w:val="both"/>
      </w:pPr>
      <w:r>
        <w:rPr>
          <w:rFonts w:ascii="Times New Roman"/>
          <w:b w:val="false"/>
          <w:i w:val="false"/>
          <w:color w:val="000000"/>
          <w:sz w:val="28"/>
        </w:rPr>
        <w:t>
       "15. Внутренние документы брокера и (или) дилера, Управляющего включают:1) положение об организационно-функциональной структуре управления брокера и (или) дилера, Управляющего;</w:t>
      </w:r>
    </w:p>
    <w:bookmarkEnd w:id="80"/>
    <w:bookmarkStart w:name="z98" w:id="81"/>
    <w:p>
      <w:pPr>
        <w:spacing w:after="0"/>
        <w:ind w:left="0"/>
        <w:jc w:val="both"/>
      </w:pPr>
      <w:r>
        <w:rPr>
          <w:rFonts w:ascii="Times New Roman"/>
          <w:b w:val="false"/>
          <w:i w:val="false"/>
          <w:color w:val="000000"/>
          <w:sz w:val="28"/>
        </w:rPr>
        <w:t>
      2) порядок стратегического планирования на долгосрочный период и составления годового бюджета (финансового плана) на краткосрочный и среднесрочный периоды;</w:t>
      </w:r>
    </w:p>
    <w:bookmarkEnd w:id="81"/>
    <w:bookmarkStart w:name="z99" w:id="82"/>
    <w:p>
      <w:pPr>
        <w:spacing w:after="0"/>
        <w:ind w:left="0"/>
        <w:jc w:val="both"/>
      </w:pPr>
      <w:r>
        <w:rPr>
          <w:rFonts w:ascii="Times New Roman"/>
          <w:b w:val="false"/>
          <w:i w:val="false"/>
          <w:color w:val="000000"/>
          <w:sz w:val="28"/>
        </w:rPr>
        <w:t>
      3) корпоративную стратегию брокера и (или) дилера, Управляющего;</w:t>
      </w:r>
    </w:p>
    <w:bookmarkEnd w:id="82"/>
    <w:bookmarkStart w:name="z100" w:id="83"/>
    <w:p>
      <w:pPr>
        <w:spacing w:after="0"/>
        <w:ind w:left="0"/>
        <w:jc w:val="both"/>
      </w:pPr>
      <w:r>
        <w:rPr>
          <w:rFonts w:ascii="Times New Roman"/>
          <w:b w:val="false"/>
          <w:i w:val="false"/>
          <w:color w:val="000000"/>
          <w:sz w:val="28"/>
        </w:rPr>
        <w:t>
      4) учетную политику брокера и (или) дилера, Управляющего;</w:t>
      </w:r>
    </w:p>
    <w:bookmarkEnd w:id="83"/>
    <w:bookmarkStart w:name="z101" w:id="84"/>
    <w:p>
      <w:pPr>
        <w:spacing w:after="0"/>
        <w:ind w:left="0"/>
        <w:jc w:val="both"/>
      </w:pPr>
      <w:r>
        <w:rPr>
          <w:rFonts w:ascii="Times New Roman"/>
          <w:b w:val="false"/>
          <w:i w:val="false"/>
          <w:color w:val="000000"/>
          <w:sz w:val="28"/>
        </w:rPr>
        <w:t>
      5) политику инвестирования активов клиентов Управляющего;</w:t>
      </w:r>
    </w:p>
    <w:bookmarkEnd w:id="84"/>
    <w:bookmarkStart w:name="z102" w:id="85"/>
    <w:p>
      <w:pPr>
        <w:spacing w:after="0"/>
        <w:ind w:left="0"/>
        <w:jc w:val="both"/>
      </w:pPr>
      <w:r>
        <w:rPr>
          <w:rFonts w:ascii="Times New Roman"/>
          <w:b w:val="false"/>
          <w:i w:val="false"/>
          <w:color w:val="000000"/>
          <w:sz w:val="28"/>
        </w:rPr>
        <w:t>
      6) политику инвестирования собственных активов брокера и (или) дилера, Управляющего;</w:t>
      </w:r>
    </w:p>
    <w:bookmarkEnd w:id="85"/>
    <w:bookmarkStart w:name="z103" w:id="86"/>
    <w:p>
      <w:pPr>
        <w:spacing w:after="0"/>
        <w:ind w:left="0"/>
        <w:jc w:val="both"/>
      </w:pPr>
      <w:r>
        <w:rPr>
          <w:rFonts w:ascii="Times New Roman"/>
          <w:b w:val="false"/>
          <w:i w:val="false"/>
          <w:color w:val="000000"/>
          <w:sz w:val="28"/>
        </w:rPr>
        <w:t>
      7) политику брокера и (или) дилера, Управляющего по управлению рисками;</w:t>
      </w:r>
    </w:p>
    <w:bookmarkEnd w:id="86"/>
    <w:bookmarkStart w:name="z104" w:id="87"/>
    <w:p>
      <w:pPr>
        <w:spacing w:after="0"/>
        <w:ind w:left="0"/>
        <w:jc w:val="both"/>
      </w:pPr>
      <w:r>
        <w:rPr>
          <w:rFonts w:ascii="Times New Roman"/>
          <w:b w:val="false"/>
          <w:i w:val="false"/>
          <w:color w:val="000000"/>
          <w:sz w:val="28"/>
        </w:rPr>
        <w:t>
      8) процедуры осуществления анализа и мониторинга контрпартнеров и клиентов;</w:t>
      </w:r>
    </w:p>
    <w:bookmarkEnd w:id="87"/>
    <w:bookmarkStart w:name="z105" w:id="88"/>
    <w:p>
      <w:pPr>
        <w:spacing w:after="0"/>
        <w:ind w:left="0"/>
        <w:jc w:val="both"/>
      </w:pPr>
      <w:r>
        <w:rPr>
          <w:rFonts w:ascii="Times New Roman"/>
          <w:b w:val="false"/>
          <w:i w:val="false"/>
          <w:color w:val="000000"/>
          <w:sz w:val="28"/>
        </w:rPr>
        <w:t>
      9) порядок оценки финансового состояния и ранжирования клиентов;</w:t>
      </w:r>
    </w:p>
    <w:bookmarkEnd w:id="88"/>
    <w:bookmarkStart w:name="z106" w:id="89"/>
    <w:p>
      <w:pPr>
        <w:spacing w:after="0"/>
        <w:ind w:left="0"/>
        <w:jc w:val="both"/>
      </w:pPr>
      <w:r>
        <w:rPr>
          <w:rFonts w:ascii="Times New Roman"/>
          <w:b w:val="false"/>
          <w:i w:val="false"/>
          <w:color w:val="000000"/>
          <w:sz w:val="28"/>
        </w:rPr>
        <w:t>
      10) порядок и условия ограничения рисков неплатежеспособности;</w:t>
      </w:r>
    </w:p>
    <w:bookmarkEnd w:id="89"/>
    <w:bookmarkStart w:name="z107" w:id="90"/>
    <w:p>
      <w:pPr>
        <w:spacing w:after="0"/>
        <w:ind w:left="0"/>
        <w:jc w:val="both"/>
      </w:pPr>
      <w:r>
        <w:rPr>
          <w:rFonts w:ascii="Times New Roman"/>
          <w:b w:val="false"/>
          <w:i w:val="false"/>
          <w:color w:val="000000"/>
          <w:sz w:val="28"/>
        </w:rPr>
        <w:t>
      11) порядок совершения маржинальных сделок (в случае, если брокером и (или) дилером, Управляющим принято решение о предоставлении услуг по совершению маржинальных сделок);</w:t>
      </w:r>
    </w:p>
    <w:bookmarkEnd w:id="90"/>
    <w:bookmarkStart w:name="z108" w:id="91"/>
    <w:p>
      <w:pPr>
        <w:spacing w:after="0"/>
        <w:ind w:left="0"/>
        <w:jc w:val="both"/>
      </w:pPr>
      <w:r>
        <w:rPr>
          <w:rFonts w:ascii="Times New Roman"/>
          <w:b w:val="false"/>
          <w:i w:val="false"/>
          <w:color w:val="000000"/>
          <w:sz w:val="28"/>
        </w:rPr>
        <w:t>
      12) правила обеспечения информационной безопасности;</w:t>
      </w:r>
    </w:p>
    <w:bookmarkEnd w:id="91"/>
    <w:bookmarkStart w:name="z109" w:id="92"/>
    <w:p>
      <w:pPr>
        <w:spacing w:after="0"/>
        <w:ind w:left="0"/>
        <w:jc w:val="both"/>
      </w:pPr>
      <w:r>
        <w:rPr>
          <w:rFonts w:ascii="Times New Roman"/>
          <w:b w:val="false"/>
          <w:i w:val="false"/>
          <w:color w:val="000000"/>
          <w:sz w:val="28"/>
        </w:rPr>
        <w:t>
      13) правила расчета и начисления вознаграждения за оказание финансовых услуг;</w:t>
      </w:r>
    </w:p>
    <w:bookmarkEnd w:id="92"/>
    <w:bookmarkStart w:name="z110" w:id="93"/>
    <w:p>
      <w:pPr>
        <w:spacing w:after="0"/>
        <w:ind w:left="0"/>
        <w:jc w:val="both"/>
      </w:pPr>
      <w:r>
        <w:rPr>
          <w:rFonts w:ascii="Times New Roman"/>
          <w:b w:val="false"/>
          <w:i w:val="false"/>
          <w:color w:val="000000"/>
          <w:sz w:val="28"/>
        </w:rPr>
        <w:t>
      14) процедуры осуществления внутреннего аудита и внутреннего контроля;15) политику управления существующим и потенциальным конфликтом интересов;</w:t>
      </w:r>
    </w:p>
    <w:bookmarkEnd w:id="93"/>
    <w:bookmarkStart w:name="z111" w:id="94"/>
    <w:p>
      <w:pPr>
        <w:spacing w:after="0"/>
        <w:ind w:left="0"/>
        <w:jc w:val="both"/>
      </w:pPr>
      <w:r>
        <w:rPr>
          <w:rFonts w:ascii="Times New Roman"/>
          <w:b w:val="false"/>
          <w:i w:val="false"/>
          <w:color w:val="000000"/>
          <w:sz w:val="28"/>
        </w:rPr>
        <w:t>
      16) правила ведения журналов учета;</w:t>
      </w:r>
    </w:p>
    <w:bookmarkEnd w:id="94"/>
    <w:bookmarkStart w:name="z112" w:id="95"/>
    <w:p>
      <w:pPr>
        <w:spacing w:after="0"/>
        <w:ind w:left="0"/>
        <w:jc w:val="both"/>
      </w:pPr>
      <w:r>
        <w:rPr>
          <w:rFonts w:ascii="Times New Roman"/>
          <w:b w:val="false"/>
          <w:i w:val="false"/>
          <w:color w:val="000000"/>
          <w:sz w:val="28"/>
        </w:rPr>
        <w:t>
      17) инструкцию по технике безопасности;</w:t>
      </w:r>
    </w:p>
    <w:bookmarkEnd w:id="95"/>
    <w:bookmarkStart w:name="z113" w:id="96"/>
    <w:p>
      <w:pPr>
        <w:spacing w:after="0"/>
        <w:ind w:left="0"/>
        <w:jc w:val="both"/>
      </w:pPr>
      <w:r>
        <w:rPr>
          <w:rFonts w:ascii="Times New Roman"/>
          <w:b w:val="false"/>
          <w:i w:val="false"/>
          <w:color w:val="000000"/>
          <w:sz w:val="28"/>
        </w:rPr>
        <w:t>
      18) иные документы, установленные органом управления (наблюдательным советом) брокера и (или) дилера, Управляющего.Подпункты 8), 9), 10), 11) настоящего пункта распространяются на Управляющего, являющегося брокером и (или) дилером.";</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115" w:id="97"/>
    <w:p>
      <w:pPr>
        <w:spacing w:after="0"/>
        <w:ind w:left="0"/>
        <w:jc w:val="both"/>
      </w:pPr>
      <w:r>
        <w:rPr>
          <w:rFonts w:ascii="Times New Roman"/>
          <w:b w:val="false"/>
          <w:i w:val="false"/>
          <w:color w:val="000000"/>
          <w:sz w:val="28"/>
        </w:rPr>
        <w:t>
      "30. Порядок и условия ограничения рисков неплатежеспособности, брокером и (или) дилером или Управляющим, являющимся брокером и (или) дилером включают в себя:</w:t>
      </w:r>
    </w:p>
    <w:bookmarkEnd w:id="97"/>
    <w:bookmarkStart w:name="z116" w:id="98"/>
    <w:p>
      <w:pPr>
        <w:spacing w:after="0"/>
        <w:ind w:left="0"/>
        <w:jc w:val="both"/>
      </w:pPr>
      <w:r>
        <w:rPr>
          <w:rFonts w:ascii="Times New Roman"/>
          <w:b w:val="false"/>
          <w:i w:val="false"/>
          <w:color w:val="000000"/>
          <w:sz w:val="28"/>
        </w:rPr>
        <w:t>
      1) перечень лимитов, ограничений и запретов, предусмотренных в целях ограничения рисков неплатежеспособности, включающих, но не ограничивающихся:</w:t>
      </w:r>
    </w:p>
    <w:bookmarkEnd w:id="98"/>
    <w:bookmarkStart w:name="z117" w:id="99"/>
    <w:p>
      <w:pPr>
        <w:spacing w:after="0"/>
        <w:ind w:left="0"/>
        <w:jc w:val="both"/>
      </w:pPr>
      <w:r>
        <w:rPr>
          <w:rFonts w:ascii="Times New Roman"/>
          <w:b w:val="false"/>
          <w:i w:val="false"/>
          <w:color w:val="000000"/>
          <w:sz w:val="28"/>
        </w:rPr>
        <w:t>
      лимиты на одного клиента по объему сделок;</w:t>
      </w:r>
    </w:p>
    <w:bookmarkEnd w:id="99"/>
    <w:bookmarkStart w:name="z118" w:id="100"/>
    <w:p>
      <w:pPr>
        <w:spacing w:after="0"/>
        <w:ind w:left="0"/>
        <w:jc w:val="both"/>
      </w:pPr>
      <w:r>
        <w:rPr>
          <w:rFonts w:ascii="Times New Roman"/>
          <w:b w:val="false"/>
          <w:i w:val="false"/>
          <w:color w:val="000000"/>
          <w:sz w:val="28"/>
        </w:rPr>
        <w:t>
      полное или частичное преддепонирование ценных бумаг и (или) денег клиентов на лицевых и (или) банковских счетах;</w:t>
      </w:r>
    </w:p>
    <w:bookmarkEnd w:id="100"/>
    <w:bookmarkStart w:name="z119" w:id="101"/>
    <w:p>
      <w:pPr>
        <w:spacing w:after="0"/>
        <w:ind w:left="0"/>
        <w:jc w:val="both"/>
      </w:pPr>
      <w:r>
        <w:rPr>
          <w:rFonts w:ascii="Times New Roman"/>
          <w:b w:val="false"/>
          <w:i w:val="false"/>
          <w:color w:val="000000"/>
          <w:sz w:val="28"/>
        </w:rPr>
        <w:t>
      2) порядок и условия применения ограничений, предусмотренных подпунктом 1) настоящего пункта, в отношении клиентов.";</w:t>
      </w:r>
    </w:p>
    <w:bookmarkEnd w:id="101"/>
    <w:bookmarkStart w:name="z120" w:id="102"/>
    <w:p>
      <w:pPr>
        <w:spacing w:after="0"/>
        <w:ind w:left="0"/>
        <w:jc w:val="both"/>
      </w:pPr>
      <w:r>
        <w:rPr>
          <w:rFonts w:ascii="Times New Roman"/>
          <w:b w:val="false"/>
          <w:i w:val="false"/>
          <w:color w:val="000000"/>
          <w:sz w:val="28"/>
        </w:rPr>
        <w:t>
      дополнить пунктом 30-1 следующего содержания:</w:t>
      </w:r>
    </w:p>
    <w:bookmarkEnd w:id="102"/>
    <w:bookmarkStart w:name="z121" w:id="103"/>
    <w:p>
      <w:pPr>
        <w:spacing w:after="0"/>
        <w:ind w:left="0"/>
        <w:jc w:val="both"/>
      </w:pPr>
      <w:r>
        <w:rPr>
          <w:rFonts w:ascii="Times New Roman"/>
          <w:b w:val="false"/>
          <w:i w:val="false"/>
          <w:color w:val="000000"/>
          <w:sz w:val="28"/>
        </w:rPr>
        <w:t>
      "30-1. Порядок совершения маржинальных сделок разрабатывается брокером и (или) дилером или Управляющим, являющимся брокером и (или) дилером, и определяет:</w:t>
      </w:r>
    </w:p>
    <w:bookmarkEnd w:id="103"/>
    <w:bookmarkStart w:name="z122" w:id="104"/>
    <w:p>
      <w:pPr>
        <w:spacing w:after="0"/>
        <w:ind w:left="0"/>
        <w:jc w:val="both"/>
      </w:pPr>
      <w:r>
        <w:rPr>
          <w:rFonts w:ascii="Times New Roman"/>
          <w:b w:val="false"/>
          <w:i w:val="false"/>
          <w:color w:val="000000"/>
          <w:sz w:val="28"/>
        </w:rPr>
        <w:t>
      1) порядок и условия исполнения поручений клиента на заключение маржинальных сделок;</w:t>
      </w:r>
    </w:p>
    <w:bookmarkEnd w:id="104"/>
    <w:bookmarkStart w:name="z123" w:id="105"/>
    <w:p>
      <w:pPr>
        <w:spacing w:after="0"/>
        <w:ind w:left="0"/>
        <w:jc w:val="both"/>
      </w:pPr>
      <w:r>
        <w:rPr>
          <w:rFonts w:ascii="Times New Roman"/>
          <w:b w:val="false"/>
          <w:i w:val="false"/>
          <w:color w:val="000000"/>
          <w:sz w:val="28"/>
        </w:rPr>
        <w:t>
      2) порядок расчета и значения ограничительного уровня маржи в отношении каждой категории клиентов, видов финансовых инструментов, являющихся предметом маржинальных сделок, и рынков, на которых заключается маржинальная сделка;</w:t>
      </w:r>
    </w:p>
    <w:bookmarkEnd w:id="105"/>
    <w:bookmarkStart w:name="z124" w:id="106"/>
    <w:p>
      <w:pPr>
        <w:spacing w:after="0"/>
        <w:ind w:left="0"/>
        <w:jc w:val="both"/>
      </w:pPr>
      <w:r>
        <w:rPr>
          <w:rFonts w:ascii="Times New Roman"/>
          <w:b w:val="false"/>
          <w:i w:val="false"/>
          <w:color w:val="000000"/>
          <w:sz w:val="28"/>
        </w:rPr>
        <w:t>
      3) порядок управления рисками, возникающими при заключении маржинальных сделок;</w:t>
      </w:r>
    </w:p>
    <w:bookmarkEnd w:id="106"/>
    <w:bookmarkStart w:name="z125" w:id="107"/>
    <w:p>
      <w:pPr>
        <w:spacing w:after="0"/>
        <w:ind w:left="0"/>
        <w:jc w:val="both"/>
      </w:pPr>
      <w:r>
        <w:rPr>
          <w:rFonts w:ascii="Times New Roman"/>
          <w:b w:val="false"/>
          <w:i w:val="false"/>
          <w:color w:val="000000"/>
          <w:sz w:val="28"/>
        </w:rPr>
        <w:t>
      4) действия брокера в случае снижения стоимости обеспечения по маржинальной сделке ниже ограничительного и (или) минимально допустимого уровня.";</w:t>
      </w:r>
    </w:p>
    <w:bookmarkEnd w:id="107"/>
    <w:bookmarkStart w:name="z126" w:id="10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42</w:t>
      </w:r>
      <w:r>
        <w:rPr>
          <w:rFonts w:ascii="Times New Roman"/>
          <w:b w:val="false"/>
          <w:i w:val="false"/>
          <w:color w:val="000000"/>
          <w:sz w:val="28"/>
        </w:rPr>
        <w:t xml:space="preserve"> изложить в следующей редакции:</w:t>
      </w:r>
    </w:p>
    <w:bookmarkEnd w:id="108"/>
    <w:bookmarkStart w:name="z127" w:id="109"/>
    <w:p>
      <w:pPr>
        <w:spacing w:after="0"/>
        <w:ind w:left="0"/>
        <w:jc w:val="both"/>
      </w:pPr>
      <w:r>
        <w:rPr>
          <w:rFonts w:ascii="Times New Roman"/>
          <w:b w:val="false"/>
          <w:i w:val="false"/>
          <w:color w:val="000000"/>
          <w:sz w:val="28"/>
        </w:rPr>
        <w:t>
      "Рекомендация, предусмотренная подпунктом 3) настоящего пункта, разрабатывается для принятия инвестиционных решений в отношении совершения как одной, так и нескольких сделок с финансовыми инструментами и не требуется в отношении сделок по покупке иностранной валюты в случае, если иностранная валюта приобретается для совершения сделок по покупке ценных бумаг, расчеты по которым осуществляются в иностранной валюте и (или) для оплаты административных расходов и (или) погашения обязательств брокера и (или) дилера, Управляющего, выраженных в иностранной валюте.";</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129" w:id="110"/>
    <w:p>
      <w:pPr>
        <w:spacing w:after="0"/>
        <w:ind w:left="0"/>
        <w:jc w:val="both"/>
      </w:pPr>
      <w:r>
        <w:rPr>
          <w:rFonts w:ascii="Times New Roman"/>
          <w:b w:val="false"/>
          <w:i w:val="false"/>
          <w:color w:val="000000"/>
          <w:sz w:val="28"/>
        </w:rPr>
        <w:t>
      "54. Инвестиционное решение принимается в отношении совершения как одной, так и нескольких сделок с финансовыми инструментами.</w:t>
      </w:r>
    </w:p>
    <w:bookmarkEnd w:id="110"/>
    <w:bookmarkStart w:name="z130" w:id="111"/>
    <w:p>
      <w:pPr>
        <w:spacing w:after="0"/>
        <w:ind w:left="0"/>
        <w:jc w:val="both"/>
      </w:pPr>
      <w:r>
        <w:rPr>
          <w:rFonts w:ascii="Times New Roman"/>
          <w:b w:val="false"/>
          <w:i w:val="false"/>
          <w:color w:val="000000"/>
          <w:sz w:val="28"/>
        </w:rPr>
        <w:t>
      Принятие инвестиционного решения не требуется в отношении сделок по покупке иностранной валюты в случае, если иностранная валюта приобретается для совершения сделок по покупке ценных бумаг, расчеты по которым осуществляются в иностранной валюте и (или) для оплаты административных расходов и (или) погашения обязательств брокера и (или) дилера, Управляющего, выраженных в иностранной валюте.";</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132" w:id="112"/>
    <w:p>
      <w:pPr>
        <w:spacing w:after="0"/>
        <w:ind w:left="0"/>
        <w:jc w:val="both"/>
      </w:pPr>
      <w:r>
        <w:rPr>
          <w:rFonts w:ascii="Times New Roman"/>
          <w:b w:val="false"/>
          <w:i w:val="false"/>
          <w:color w:val="000000"/>
          <w:sz w:val="28"/>
        </w:rPr>
        <w:t>
      "68. Подразделение брокера и (или) дилера или Управляющего, являющегося брокером и (или) дилером, осуществляющее управление рисками, осуществляет постоянный мониторинг деятельности брокера и (или) дилера или Управляющего, являющегося брокером и (или) дилером, на постоянной основе производит оценку рисков и участвует в разработке мероприятий по снижению уровня рисков, а именно:</w:t>
      </w:r>
    </w:p>
    <w:bookmarkEnd w:id="112"/>
    <w:bookmarkStart w:name="z133" w:id="113"/>
    <w:p>
      <w:pPr>
        <w:spacing w:after="0"/>
        <w:ind w:left="0"/>
        <w:jc w:val="both"/>
      </w:pPr>
      <w:r>
        <w:rPr>
          <w:rFonts w:ascii="Times New Roman"/>
          <w:b w:val="false"/>
          <w:i w:val="false"/>
          <w:color w:val="000000"/>
          <w:sz w:val="28"/>
        </w:rPr>
        <w:t>
      1) организовывает процесс сбора информации, необходимой для анализа и оценки рисков;</w:t>
      </w:r>
    </w:p>
    <w:bookmarkEnd w:id="113"/>
    <w:bookmarkStart w:name="z134" w:id="114"/>
    <w:p>
      <w:pPr>
        <w:spacing w:after="0"/>
        <w:ind w:left="0"/>
        <w:jc w:val="both"/>
      </w:pPr>
      <w:r>
        <w:rPr>
          <w:rFonts w:ascii="Times New Roman"/>
          <w:b w:val="false"/>
          <w:i w:val="false"/>
          <w:color w:val="000000"/>
          <w:sz w:val="28"/>
        </w:rPr>
        <w:t>
      2) организовывает процесс мониторинга и анализа финансового состояния и платежеспособности клиентов;</w:t>
      </w:r>
    </w:p>
    <w:bookmarkEnd w:id="114"/>
    <w:bookmarkStart w:name="z135" w:id="115"/>
    <w:p>
      <w:pPr>
        <w:spacing w:after="0"/>
        <w:ind w:left="0"/>
        <w:jc w:val="both"/>
      </w:pPr>
      <w:r>
        <w:rPr>
          <w:rFonts w:ascii="Times New Roman"/>
          <w:b w:val="false"/>
          <w:i w:val="false"/>
          <w:color w:val="000000"/>
          <w:sz w:val="28"/>
        </w:rPr>
        <w:t>
      3) разрабатывает и совершенствует методологию и организует процесс анализа и оценки рисков;</w:t>
      </w:r>
    </w:p>
    <w:bookmarkEnd w:id="115"/>
    <w:bookmarkStart w:name="z136" w:id="116"/>
    <w:p>
      <w:pPr>
        <w:spacing w:after="0"/>
        <w:ind w:left="0"/>
        <w:jc w:val="both"/>
      </w:pPr>
      <w:r>
        <w:rPr>
          <w:rFonts w:ascii="Times New Roman"/>
          <w:b w:val="false"/>
          <w:i w:val="false"/>
          <w:color w:val="000000"/>
          <w:sz w:val="28"/>
        </w:rPr>
        <w:t>
      4) разрабатывает методы управления рисками;</w:t>
      </w:r>
    </w:p>
    <w:bookmarkEnd w:id="116"/>
    <w:bookmarkStart w:name="z137" w:id="117"/>
    <w:p>
      <w:pPr>
        <w:spacing w:after="0"/>
        <w:ind w:left="0"/>
        <w:jc w:val="both"/>
      </w:pPr>
      <w:r>
        <w:rPr>
          <w:rFonts w:ascii="Times New Roman"/>
          <w:b w:val="false"/>
          <w:i w:val="false"/>
          <w:color w:val="000000"/>
          <w:sz w:val="28"/>
        </w:rPr>
        <w:t>
      5) планирует и инициирует мероприятия по снижению уровня рисков;</w:t>
      </w:r>
    </w:p>
    <w:bookmarkEnd w:id="117"/>
    <w:bookmarkStart w:name="z138" w:id="118"/>
    <w:p>
      <w:pPr>
        <w:spacing w:after="0"/>
        <w:ind w:left="0"/>
        <w:jc w:val="both"/>
      </w:pPr>
      <w:r>
        <w:rPr>
          <w:rFonts w:ascii="Times New Roman"/>
          <w:b w:val="false"/>
          <w:i w:val="false"/>
          <w:color w:val="000000"/>
          <w:sz w:val="28"/>
        </w:rPr>
        <w:t>
      6) контролирует исполнение мероприятий по управлению рисками;</w:t>
      </w:r>
    </w:p>
    <w:bookmarkEnd w:id="118"/>
    <w:bookmarkStart w:name="z139" w:id="119"/>
    <w:p>
      <w:pPr>
        <w:spacing w:after="0"/>
        <w:ind w:left="0"/>
        <w:jc w:val="both"/>
      </w:pPr>
      <w:r>
        <w:rPr>
          <w:rFonts w:ascii="Times New Roman"/>
          <w:b w:val="false"/>
          <w:i w:val="false"/>
          <w:color w:val="000000"/>
          <w:sz w:val="28"/>
        </w:rPr>
        <w:t>
      7) идентифицирует и анализирует внутренние и внешние факторы, представляющие потенциальный и возможный риск, оценивает степень их влияния на финансовые показатели брокера и (или) дилера, или Управляющего, являющегося брокером и (или) дилером, и качество предоставляемых им услуг;</w:t>
      </w:r>
    </w:p>
    <w:bookmarkEnd w:id="119"/>
    <w:bookmarkStart w:name="z140" w:id="120"/>
    <w:p>
      <w:pPr>
        <w:spacing w:after="0"/>
        <w:ind w:left="0"/>
        <w:jc w:val="both"/>
      </w:pPr>
      <w:r>
        <w:rPr>
          <w:rFonts w:ascii="Times New Roman"/>
          <w:b w:val="false"/>
          <w:i w:val="false"/>
          <w:color w:val="000000"/>
          <w:sz w:val="28"/>
        </w:rPr>
        <w:t>
      8) осуществляет расчеты значения рисков на одного клиента согласно требованиям настоящей главы;</w:t>
      </w:r>
    </w:p>
    <w:bookmarkEnd w:id="120"/>
    <w:bookmarkStart w:name="z141" w:id="121"/>
    <w:p>
      <w:pPr>
        <w:spacing w:after="0"/>
        <w:ind w:left="0"/>
        <w:jc w:val="both"/>
      </w:pPr>
      <w:r>
        <w:rPr>
          <w:rFonts w:ascii="Times New Roman"/>
          <w:b w:val="false"/>
          <w:i w:val="false"/>
          <w:color w:val="000000"/>
          <w:sz w:val="28"/>
        </w:rPr>
        <w:t>
      9) разрабатывает критерии и предложения по ограничению рисков неплатежеспособности.";</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143" w:id="122"/>
    <w:p>
      <w:pPr>
        <w:spacing w:after="0"/>
        <w:ind w:left="0"/>
        <w:jc w:val="both"/>
      </w:pPr>
      <w:r>
        <w:rPr>
          <w:rFonts w:ascii="Times New Roman"/>
          <w:b w:val="false"/>
          <w:i w:val="false"/>
          <w:color w:val="000000"/>
          <w:sz w:val="28"/>
        </w:rPr>
        <w:t>
      "73. Подразделение брокера и (или) дилера или Управляющего, являющегося брокером и (или) дилером, осуществляющее управление рисками, осуществляет расчеты значений рисков на одного клиента в течение торгового дня по мере осуществления следующих операций:</w:t>
      </w:r>
    </w:p>
    <w:bookmarkEnd w:id="122"/>
    <w:bookmarkStart w:name="z144" w:id="123"/>
    <w:p>
      <w:pPr>
        <w:spacing w:after="0"/>
        <w:ind w:left="0"/>
        <w:jc w:val="both"/>
      </w:pPr>
      <w:r>
        <w:rPr>
          <w:rFonts w:ascii="Times New Roman"/>
          <w:b w:val="false"/>
          <w:i w:val="false"/>
          <w:color w:val="000000"/>
          <w:sz w:val="28"/>
        </w:rPr>
        <w:t>
      1) исполнения клиентского заказа на покупку (продажу) ценных бумаг на международных (иностранных) рынках ценных бумаг;</w:t>
      </w:r>
    </w:p>
    <w:bookmarkEnd w:id="123"/>
    <w:bookmarkStart w:name="z145" w:id="124"/>
    <w:p>
      <w:pPr>
        <w:spacing w:after="0"/>
        <w:ind w:left="0"/>
        <w:jc w:val="both"/>
      </w:pPr>
      <w:r>
        <w:rPr>
          <w:rFonts w:ascii="Times New Roman"/>
          <w:b w:val="false"/>
          <w:i w:val="false"/>
          <w:color w:val="000000"/>
          <w:sz w:val="28"/>
        </w:rPr>
        <w:t>
      2) подачи заявки от имени клиента на покупку (продажу) ценных бумаг в торговую систему организатора торгов;</w:t>
      </w:r>
    </w:p>
    <w:bookmarkEnd w:id="124"/>
    <w:bookmarkStart w:name="z146" w:id="125"/>
    <w:p>
      <w:pPr>
        <w:spacing w:after="0"/>
        <w:ind w:left="0"/>
        <w:jc w:val="both"/>
      </w:pPr>
      <w:r>
        <w:rPr>
          <w:rFonts w:ascii="Times New Roman"/>
          <w:b w:val="false"/>
          <w:i w:val="false"/>
          <w:color w:val="000000"/>
          <w:sz w:val="28"/>
        </w:rPr>
        <w:t>
      3) принятия приказа на списание денег с банковского счета клиента;</w:t>
      </w:r>
    </w:p>
    <w:bookmarkEnd w:id="125"/>
    <w:bookmarkStart w:name="z147" w:id="126"/>
    <w:p>
      <w:pPr>
        <w:spacing w:after="0"/>
        <w:ind w:left="0"/>
        <w:jc w:val="both"/>
      </w:pPr>
      <w:r>
        <w:rPr>
          <w:rFonts w:ascii="Times New Roman"/>
          <w:b w:val="false"/>
          <w:i w:val="false"/>
          <w:color w:val="000000"/>
          <w:sz w:val="28"/>
        </w:rPr>
        <w:t>
      4) зачисление денег на банковский счет клиента;</w:t>
      </w:r>
    </w:p>
    <w:bookmarkEnd w:id="126"/>
    <w:bookmarkStart w:name="z148" w:id="127"/>
    <w:p>
      <w:pPr>
        <w:spacing w:after="0"/>
        <w:ind w:left="0"/>
        <w:jc w:val="both"/>
      </w:pPr>
      <w:r>
        <w:rPr>
          <w:rFonts w:ascii="Times New Roman"/>
          <w:b w:val="false"/>
          <w:i w:val="false"/>
          <w:color w:val="000000"/>
          <w:sz w:val="28"/>
        </w:rPr>
        <w:t>
      5) принятия приказа на ввод (вывод) ценных бумаг в (из) номинальное (номинального) держание (держания);</w:t>
      </w:r>
    </w:p>
    <w:bookmarkEnd w:id="127"/>
    <w:bookmarkStart w:name="z149" w:id="128"/>
    <w:p>
      <w:pPr>
        <w:spacing w:after="0"/>
        <w:ind w:left="0"/>
        <w:jc w:val="both"/>
      </w:pPr>
      <w:r>
        <w:rPr>
          <w:rFonts w:ascii="Times New Roman"/>
          <w:b w:val="false"/>
          <w:i w:val="false"/>
          <w:color w:val="000000"/>
          <w:sz w:val="28"/>
        </w:rPr>
        <w:t>
      6) открытия операции прямого и обратного репо;</w:t>
      </w:r>
    </w:p>
    <w:bookmarkEnd w:id="128"/>
    <w:bookmarkStart w:name="z150" w:id="129"/>
    <w:p>
      <w:pPr>
        <w:spacing w:after="0"/>
        <w:ind w:left="0"/>
        <w:jc w:val="both"/>
      </w:pPr>
      <w:r>
        <w:rPr>
          <w:rFonts w:ascii="Times New Roman"/>
          <w:b w:val="false"/>
          <w:i w:val="false"/>
          <w:color w:val="000000"/>
          <w:sz w:val="28"/>
        </w:rPr>
        <w:t>
      7) исполнения клиентского заказа на продажу облигаций, выпущенных организацией - резидентом Республики Казахстан, на территории иностранного государства, в торговой системе организатора торгов в соответствии с законодательством Республики Казахстан о рынке ценных бумаг.";</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153" w:id="130"/>
    <w:p>
      <w:pPr>
        <w:spacing w:after="0"/>
        <w:ind w:left="0"/>
        <w:jc w:val="both"/>
      </w:pPr>
      <w:r>
        <w:rPr>
          <w:rFonts w:ascii="Times New Roman"/>
          <w:b w:val="false"/>
          <w:i w:val="false"/>
          <w:color w:val="000000"/>
          <w:sz w:val="28"/>
        </w:rPr>
        <w:t>
      "77. Размер риска на одного клиента рассчитывается как сумма условных и возможных обязательств брокера и (или) дилера или Управляющего, являющегося брокером и (или) дилером, по поставке денег и (или) ценных бумаг перед третьей стороной, за минусом суммы денег данного клиента, находящихся на банковском счете брокера и (или) дилера или Управляющего, являющегося брокером и (или) дилером, без учета суммы денег, являющихся обеспечением по заключенным маржинальным сделкам.";</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98</w:t>
      </w:r>
      <w:r>
        <w:rPr>
          <w:rFonts w:ascii="Times New Roman"/>
          <w:b w:val="false"/>
          <w:i w:val="false"/>
          <w:color w:val="000000"/>
          <w:sz w:val="28"/>
        </w:rPr>
        <w:t xml:space="preserve"> изложить в следующей редакции:</w:t>
      </w:r>
    </w:p>
    <w:bookmarkStart w:name="z155" w:id="131"/>
    <w:p>
      <w:pPr>
        <w:spacing w:after="0"/>
        <w:ind w:left="0"/>
        <w:jc w:val="both"/>
      </w:pPr>
      <w:r>
        <w:rPr>
          <w:rFonts w:ascii="Times New Roman"/>
          <w:b w:val="false"/>
          <w:i w:val="false"/>
          <w:color w:val="000000"/>
          <w:sz w:val="28"/>
        </w:rPr>
        <w:t>
      "98. Инвестиционный комитет Управляющего или брокера и (или) дилера, являющегося Управляющим, для осуществления своих функций получает от ответственных подразделений следующую информацию:</w:t>
      </w:r>
    </w:p>
    <w:bookmarkEnd w:id="131"/>
    <w:bookmarkStart w:name="z156" w:id="132"/>
    <w:p>
      <w:pPr>
        <w:spacing w:after="0"/>
        <w:ind w:left="0"/>
        <w:jc w:val="both"/>
      </w:pPr>
      <w:r>
        <w:rPr>
          <w:rFonts w:ascii="Times New Roman"/>
          <w:b w:val="false"/>
          <w:i w:val="false"/>
          <w:color w:val="000000"/>
          <w:sz w:val="28"/>
        </w:rPr>
        <w:t>
      макроэкономический анализ по степени привлекательности рынков инвестирования в зависимости от складывающейся геополитической ситуации, валюты инвестирования и сектора экономики - не реже одного раза в полугодие;</w:t>
      </w:r>
    </w:p>
    <w:bookmarkEnd w:id="132"/>
    <w:bookmarkStart w:name="z157" w:id="133"/>
    <w:p>
      <w:pPr>
        <w:spacing w:after="0"/>
        <w:ind w:left="0"/>
        <w:jc w:val="both"/>
      </w:pPr>
      <w:r>
        <w:rPr>
          <w:rFonts w:ascii="Times New Roman"/>
          <w:b w:val="false"/>
          <w:i w:val="false"/>
          <w:color w:val="000000"/>
          <w:sz w:val="28"/>
        </w:rPr>
        <w:t>
      анализ эмитентов и выпущенных (предоставленных) ими финансовых инструментов, включая анализ финансового состояния эмитентов, отчеты о появлении информации, которая оказывает влияние на стоимость финансовых инструментов эмитента или способность исполнять им свои обязательства, а также рисках, связанных с инвестированием в финансовые инструменты данных эмитентов, - не реже одного раза в квартал;</w:t>
      </w:r>
    </w:p>
    <w:bookmarkEnd w:id="133"/>
    <w:bookmarkStart w:name="z158" w:id="134"/>
    <w:p>
      <w:pPr>
        <w:spacing w:after="0"/>
        <w:ind w:left="0"/>
        <w:jc w:val="both"/>
      </w:pPr>
      <w:r>
        <w:rPr>
          <w:rFonts w:ascii="Times New Roman"/>
          <w:b w:val="false"/>
          <w:i w:val="false"/>
          <w:color w:val="000000"/>
          <w:sz w:val="28"/>
        </w:rPr>
        <w:t>
      анализ инвестиционного портфеля, включающий сведения о структуре портфеля, динамике изменения доходности, анализ убыточных позиций и предложения по оптимизации структуры портфеля - не реже одного раза в квартал;</w:t>
      </w:r>
    </w:p>
    <w:bookmarkEnd w:id="134"/>
    <w:bookmarkStart w:name="z159" w:id="135"/>
    <w:p>
      <w:pPr>
        <w:spacing w:after="0"/>
        <w:ind w:left="0"/>
        <w:jc w:val="both"/>
      </w:pPr>
      <w:r>
        <w:rPr>
          <w:rFonts w:ascii="Times New Roman"/>
          <w:b w:val="false"/>
          <w:i w:val="false"/>
          <w:color w:val="000000"/>
          <w:sz w:val="28"/>
        </w:rPr>
        <w:t>
      анализ, содержащий прогноз размера активов, предполагаемых к принятию в инвестиционное управление, а также структуры обязательств инвестиционного (инвестиционных) портфеля (портфелей), принятого (принятых) в управление, по срокам их исполнения (на основе анализа структуры клиентов, в том числе пайщиков, акционеров инвестиционного фонда, включающего информацию о сумме денег и (или) активов, переданных в инвестиционное управление), - не реже одного раза в квартал;</w:t>
      </w:r>
    </w:p>
    <w:bookmarkEnd w:id="135"/>
    <w:bookmarkStart w:name="z160" w:id="136"/>
    <w:p>
      <w:pPr>
        <w:spacing w:after="0"/>
        <w:ind w:left="0"/>
        <w:jc w:val="both"/>
      </w:pPr>
      <w:r>
        <w:rPr>
          <w:rFonts w:ascii="Times New Roman"/>
          <w:b w:val="false"/>
          <w:i w:val="false"/>
          <w:color w:val="000000"/>
          <w:sz w:val="28"/>
        </w:rPr>
        <w:t>
      информацию по управлению денежными потоками (ликвидностью), включающую обзор соблюдения лимитов гэп-позиций, с учетом изменения способности мобилизовать ликвидные активы, необходимые для погашения обязательств в течение установленных сроков, в том числе мониторинг способности сформировать ликвидные активы в иностранной валюте, необходимые для погашения обязательств в иностранной валюте - на ежедневной основе;</w:t>
      </w:r>
    </w:p>
    <w:bookmarkEnd w:id="136"/>
    <w:bookmarkStart w:name="z161" w:id="137"/>
    <w:p>
      <w:pPr>
        <w:spacing w:after="0"/>
        <w:ind w:left="0"/>
        <w:jc w:val="both"/>
      </w:pPr>
      <w:r>
        <w:rPr>
          <w:rFonts w:ascii="Times New Roman"/>
          <w:b w:val="false"/>
          <w:i w:val="false"/>
          <w:color w:val="000000"/>
          <w:sz w:val="28"/>
        </w:rPr>
        <w:t>
      рекомендации и заключения по установлению (пересмотру) следующих лимитов по операциям с финансовыми инструментами:</w:t>
      </w:r>
    </w:p>
    <w:bookmarkEnd w:id="137"/>
    <w:bookmarkStart w:name="z162" w:id="138"/>
    <w:p>
      <w:pPr>
        <w:spacing w:after="0"/>
        <w:ind w:left="0"/>
        <w:jc w:val="both"/>
      </w:pPr>
      <w:r>
        <w:rPr>
          <w:rFonts w:ascii="Times New Roman"/>
          <w:b w:val="false"/>
          <w:i w:val="false"/>
          <w:color w:val="000000"/>
          <w:sz w:val="28"/>
        </w:rPr>
        <w:t>
      лимиты по размеру инвестирования в финансовые инструменты одного эмитента, а также по видам финансовых инструментов данного эмитента с указанием рисков, связанных с инвестированием в финансовые инструменты данного эмитента, и влияния данных рисков на значения пруденциальных нормативов, установленных нормативными правовыми актами уполномоченного органа, в пределах лимитов на совершение операций с финансовыми инструментами, утвержденных инвестиционным комитетом, а также лимитов, установленных нормативными правовыми актами уполномоченного органа, - не реже одного раза в квартал;</w:t>
      </w:r>
    </w:p>
    <w:bookmarkEnd w:id="138"/>
    <w:bookmarkStart w:name="z163" w:id="139"/>
    <w:p>
      <w:pPr>
        <w:spacing w:after="0"/>
        <w:ind w:left="0"/>
        <w:jc w:val="both"/>
      </w:pPr>
      <w:r>
        <w:rPr>
          <w:rFonts w:ascii="Times New Roman"/>
          <w:b w:val="false"/>
          <w:i w:val="false"/>
          <w:color w:val="000000"/>
          <w:sz w:val="28"/>
        </w:rPr>
        <w:t>
      лимиты "stop - loss" и "take - profit" - не реже одного раза в квартал;</w:t>
      </w:r>
    </w:p>
    <w:bookmarkEnd w:id="139"/>
    <w:bookmarkStart w:name="z164" w:id="140"/>
    <w:p>
      <w:pPr>
        <w:spacing w:after="0"/>
        <w:ind w:left="0"/>
        <w:jc w:val="both"/>
      </w:pPr>
      <w:r>
        <w:rPr>
          <w:rFonts w:ascii="Times New Roman"/>
          <w:b w:val="false"/>
          <w:i w:val="false"/>
          <w:color w:val="000000"/>
          <w:sz w:val="28"/>
        </w:rPr>
        <w:t>
      лимиты гэп-позиции на основании анализа, проводимого подразделением, осуществляющим управление рисками, - не реже одного раза в квартал;</w:t>
      </w:r>
    </w:p>
    <w:bookmarkEnd w:id="140"/>
    <w:bookmarkStart w:name="z165" w:id="141"/>
    <w:p>
      <w:pPr>
        <w:spacing w:after="0"/>
        <w:ind w:left="0"/>
        <w:jc w:val="both"/>
      </w:pPr>
      <w:r>
        <w:rPr>
          <w:rFonts w:ascii="Times New Roman"/>
          <w:b w:val="false"/>
          <w:i w:val="false"/>
          <w:color w:val="000000"/>
          <w:sz w:val="28"/>
        </w:rPr>
        <w:t>
      заключение о подверженности кредитному, процентному, валютному, фондовому рискам, по риску потери ликвидности инвестиционного портфеля по активам клиентов (инвестиционных фондов), принятых в инвестиционное управление и (или) собственным активам, - на ежемесячной основе;</w:t>
      </w:r>
    </w:p>
    <w:bookmarkEnd w:id="141"/>
    <w:bookmarkStart w:name="z166" w:id="142"/>
    <w:p>
      <w:pPr>
        <w:spacing w:after="0"/>
        <w:ind w:left="0"/>
        <w:jc w:val="both"/>
      </w:pPr>
      <w:r>
        <w:rPr>
          <w:rFonts w:ascii="Times New Roman"/>
          <w:b w:val="false"/>
          <w:i w:val="false"/>
          <w:color w:val="000000"/>
          <w:sz w:val="28"/>
        </w:rPr>
        <w:t>
      результаты стресс-тестинга по рискам, которым подвержена деятельность брокера и (или) дилера или Управляющего, являющегося брокером и (или) дилером, по собственным активам Управляющего и брокера и (или) дилера, являющегося Управляющим, по активам клиентов, принятым в инвестиционное управление, - не реже одного раза в полгода;</w:t>
      </w:r>
    </w:p>
    <w:bookmarkEnd w:id="142"/>
    <w:bookmarkStart w:name="z167" w:id="143"/>
    <w:p>
      <w:pPr>
        <w:spacing w:after="0"/>
        <w:ind w:left="0"/>
        <w:jc w:val="both"/>
      </w:pPr>
      <w:r>
        <w:rPr>
          <w:rFonts w:ascii="Times New Roman"/>
          <w:b w:val="false"/>
          <w:i w:val="false"/>
          <w:color w:val="000000"/>
          <w:sz w:val="28"/>
        </w:rPr>
        <w:t>
      результаты бэк-тестингов - не реже одного раза в полгода;</w:t>
      </w:r>
    </w:p>
    <w:bookmarkEnd w:id="143"/>
    <w:bookmarkStart w:name="z168" w:id="144"/>
    <w:p>
      <w:pPr>
        <w:spacing w:after="0"/>
        <w:ind w:left="0"/>
        <w:jc w:val="both"/>
      </w:pPr>
      <w:r>
        <w:rPr>
          <w:rFonts w:ascii="Times New Roman"/>
          <w:b w:val="false"/>
          <w:i w:val="false"/>
          <w:color w:val="000000"/>
          <w:sz w:val="28"/>
        </w:rPr>
        <w:t>
      отчет об обнаружении негативной информации о деятельности контрпартнеров и клиентов - по мере обнаружения негативной информации о деятельности контрпартнеров и клиентов;</w:t>
      </w:r>
    </w:p>
    <w:bookmarkEnd w:id="144"/>
    <w:bookmarkStart w:name="z169" w:id="145"/>
    <w:p>
      <w:pPr>
        <w:spacing w:after="0"/>
        <w:ind w:left="0"/>
        <w:jc w:val="both"/>
      </w:pPr>
      <w:r>
        <w:rPr>
          <w:rFonts w:ascii="Times New Roman"/>
          <w:b w:val="false"/>
          <w:i w:val="false"/>
          <w:color w:val="000000"/>
          <w:sz w:val="28"/>
        </w:rPr>
        <w:t>
      информацию об исполнении инвестиционных решений на еженедельной основе.";</w:t>
      </w:r>
    </w:p>
    <w:bookmarkEnd w:id="145"/>
    <w:bookmarkStart w:name="z170" w:id="146"/>
    <w:p>
      <w:pPr>
        <w:spacing w:after="0"/>
        <w:ind w:left="0"/>
        <w:jc w:val="both"/>
      </w:pPr>
      <w:r>
        <w:rPr>
          <w:rFonts w:ascii="Times New Roman"/>
          <w:b w:val="false"/>
          <w:i w:val="false"/>
          <w:color w:val="000000"/>
          <w:sz w:val="28"/>
        </w:rPr>
        <w:t xml:space="preserve">
      Расшифровку максимального риска на одного клиента (в разрезе клиентов) согласно </w:t>
      </w:r>
      <w:r>
        <w:rPr>
          <w:rFonts w:ascii="Times New Roman"/>
          <w:b w:val="false"/>
          <w:i w:val="false"/>
          <w:color w:val="000000"/>
          <w:sz w:val="28"/>
        </w:rPr>
        <w:t>приложению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End w:id="146"/>
    <w:bookmarkStart w:name="z171" w:id="147"/>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9 "Об утверждении Правил осуществления брокерской и (или) дилерской деятельности на рынке ценных бумаг, порядка проведения брокером и (или) дилером банковских операций" (зарегистрировано в Реестре государственной регистрации нормативных правовых актов под № 9249, опубликовано 16 апреля 2014 года в информационно-правовой системе "Әділет") следующие изменения и дополнения:</w:t>
      </w:r>
    </w:p>
    <w:bookmarkEnd w:id="147"/>
    <w:bookmarkStart w:name="z172" w:id="1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брокерской и (или) дилерской деятельности на рынке ценных бумаг, порядке проведения брокером и (или) дилером банковских операций, утвержденных указанным постановлением:</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74" w:id="149"/>
    <w:p>
      <w:pPr>
        <w:spacing w:after="0"/>
        <w:ind w:left="0"/>
        <w:jc w:val="both"/>
      </w:pPr>
      <w:r>
        <w:rPr>
          <w:rFonts w:ascii="Times New Roman"/>
          <w:b w:val="false"/>
          <w:i w:val="false"/>
          <w:color w:val="000000"/>
          <w:sz w:val="28"/>
        </w:rPr>
        <w:t>
      "8. Внутренними документами брокера и (или) дилера устанавливается ответственность работников брокера и (или) дилера, имеющих доступ (использующих пароли) для входа в систему обмена электронными документами центрального депозитария ценных бумаг, фондовой биржи, клиринговой организации и (или) расчетной организации, осуществляющей организацию расчетов (платежей) по сделкам с финансовыми инструментами (далее - расчетная организация), и (или) иностранной расчетной организации.</w:t>
      </w:r>
    </w:p>
    <w:bookmarkEnd w:id="149"/>
    <w:bookmarkStart w:name="z175" w:id="150"/>
    <w:p>
      <w:pPr>
        <w:spacing w:after="0"/>
        <w:ind w:left="0"/>
        <w:jc w:val="both"/>
      </w:pPr>
      <w:r>
        <w:rPr>
          <w:rFonts w:ascii="Times New Roman"/>
          <w:b w:val="false"/>
          <w:i w:val="false"/>
          <w:color w:val="000000"/>
          <w:sz w:val="28"/>
        </w:rPr>
        <w:t>
      Для целей Правил под иностранной расчетной организацией понимается:</w:t>
      </w:r>
    </w:p>
    <w:bookmarkEnd w:id="150"/>
    <w:bookmarkStart w:name="z176" w:id="151"/>
    <w:p>
      <w:pPr>
        <w:spacing w:after="0"/>
        <w:ind w:left="0"/>
        <w:jc w:val="both"/>
      </w:pPr>
      <w:r>
        <w:rPr>
          <w:rFonts w:ascii="Times New Roman"/>
          <w:b w:val="false"/>
          <w:i w:val="false"/>
          <w:color w:val="000000"/>
          <w:sz w:val="28"/>
        </w:rPr>
        <w:t>
      банк-нерезидент Республики Казахстан, имеющий долгосрочную кредитную рейтинговую оценку не ниже "ВВВ-" по международной шкале агентства Standard &amp; Poor's или рейтинговую оценку аналогичного уровня агентств Moody's Investors Service или Fitch;</w:t>
      </w:r>
    </w:p>
    <w:bookmarkEnd w:id="151"/>
    <w:bookmarkStart w:name="z177" w:id="152"/>
    <w:p>
      <w:pPr>
        <w:spacing w:after="0"/>
        <w:ind w:left="0"/>
        <w:jc w:val="both"/>
      </w:pPr>
      <w:r>
        <w:rPr>
          <w:rFonts w:ascii="Times New Roman"/>
          <w:b w:val="false"/>
          <w:i w:val="false"/>
          <w:color w:val="000000"/>
          <w:sz w:val="28"/>
        </w:rPr>
        <w:t>
      банк-нерезидент Республики Казахстан, являющийся дочерним банком, родительский банк-нерезидент которого имеет долгосрочную кредитную рейтинговую оценку не ниже "А-" по международной шкале агентства Standard &amp; Poor's или рейтинговую оценку аналогичного уровня агентств Moody's Investors Service или Fitch;</w:t>
      </w:r>
    </w:p>
    <w:bookmarkEnd w:id="152"/>
    <w:bookmarkStart w:name="z178" w:id="153"/>
    <w:p>
      <w:pPr>
        <w:spacing w:after="0"/>
        <w:ind w:left="0"/>
        <w:jc w:val="both"/>
      </w:pPr>
      <w:r>
        <w:rPr>
          <w:rFonts w:ascii="Times New Roman"/>
          <w:b w:val="false"/>
          <w:i w:val="false"/>
          <w:color w:val="000000"/>
          <w:sz w:val="28"/>
        </w:rPr>
        <w:t>
      организация, имеющая статус центрального депозитария, иностранный орган надзора страны происхождения которого, подписал Многосторонний меморандум о взаимопонимании по вопросам консультаций, сотрудничества и обмена информацией Международной организации комиссий по ценным бумагам;</w:t>
      </w:r>
    </w:p>
    <w:bookmarkEnd w:id="153"/>
    <w:bookmarkStart w:name="z179" w:id="154"/>
    <w:p>
      <w:pPr>
        <w:spacing w:after="0"/>
        <w:ind w:left="0"/>
        <w:jc w:val="both"/>
      </w:pPr>
      <w:r>
        <w:rPr>
          <w:rFonts w:ascii="Times New Roman"/>
          <w:b w:val="false"/>
          <w:i w:val="false"/>
          <w:color w:val="000000"/>
          <w:sz w:val="28"/>
        </w:rPr>
        <w:t xml:space="preserve">
      иностранная организация, осуществляющая функции, установленные пунктом 1 </w:t>
      </w:r>
      <w:r>
        <w:rPr>
          <w:rFonts w:ascii="Times New Roman"/>
          <w:b w:val="false"/>
          <w:i w:val="false"/>
          <w:color w:val="000000"/>
          <w:sz w:val="28"/>
        </w:rPr>
        <w:t>статьи 59</w:t>
      </w:r>
      <w:r>
        <w:rPr>
          <w:rFonts w:ascii="Times New Roman"/>
          <w:b w:val="false"/>
          <w:i w:val="false"/>
          <w:color w:val="000000"/>
          <w:sz w:val="28"/>
        </w:rPr>
        <w:t xml:space="preserve"> Закона о рынке ценных бумаг, имеющая долгосрочную кредитную рейтинговую оценку не ниже "ВВВ" по международной шкале агентства Standard &amp; Poor's или рейтинговую оценку аналогичного уровня агентств Moody's Investors Service или Fitch;</w:t>
      </w:r>
    </w:p>
    <w:bookmarkEnd w:id="154"/>
    <w:bookmarkStart w:name="z180" w:id="155"/>
    <w:p>
      <w:pPr>
        <w:spacing w:after="0"/>
        <w:ind w:left="0"/>
        <w:jc w:val="both"/>
      </w:pPr>
      <w:r>
        <w:rPr>
          <w:rFonts w:ascii="Times New Roman"/>
          <w:b w:val="false"/>
          <w:i w:val="false"/>
          <w:color w:val="000000"/>
          <w:sz w:val="28"/>
        </w:rPr>
        <w:t>
      иностранная организация, осуществляющая функции, установленные пунктом 1 статьи 59 Закона о рынке ценных бумаг, соответствующая следующим условиям:</w:t>
      </w:r>
    </w:p>
    <w:bookmarkEnd w:id="155"/>
    <w:bookmarkStart w:name="z181" w:id="156"/>
    <w:p>
      <w:pPr>
        <w:spacing w:after="0"/>
        <w:ind w:left="0"/>
        <w:jc w:val="both"/>
      </w:pPr>
      <w:r>
        <w:rPr>
          <w:rFonts w:ascii="Times New Roman"/>
          <w:b w:val="false"/>
          <w:i w:val="false"/>
          <w:color w:val="000000"/>
          <w:sz w:val="28"/>
        </w:rPr>
        <w:t>
      обладает лицензией (разрешением) на осуществление деятельности на рынке ценных бумаг, выданной (выданным) уполномоченным органом, осуществляющим функции по регулированию, контролю и (или) надзору рынка ценных бумаг в стране происхождения данного юридического лица (далее - иностранный орган надзора);</w:t>
      </w:r>
    </w:p>
    <w:bookmarkEnd w:id="156"/>
    <w:bookmarkStart w:name="z182" w:id="157"/>
    <w:p>
      <w:pPr>
        <w:spacing w:after="0"/>
        <w:ind w:left="0"/>
        <w:jc w:val="both"/>
      </w:pPr>
      <w:r>
        <w:rPr>
          <w:rFonts w:ascii="Times New Roman"/>
          <w:b w:val="false"/>
          <w:i w:val="false"/>
          <w:color w:val="000000"/>
          <w:sz w:val="28"/>
        </w:rPr>
        <w:t>
      иностранный орган надзора страны происхождения данного юридического лица, подписал Многосторонний меморандум о взаимопонимании по вопросам консультаций, сотрудничества и обмена информацией Международной организации комиссий по ценным бумагам;</w:t>
      </w:r>
    </w:p>
    <w:bookmarkEnd w:id="157"/>
    <w:bookmarkStart w:name="z183" w:id="158"/>
    <w:p>
      <w:pPr>
        <w:spacing w:after="0"/>
        <w:ind w:left="0"/>
        <w:jc w:val="both"/>
      </w:pPr>
      <w:r>
        <w:rPr>
          <w:rFonts w:ascii="Times New Roman"/>
          <w:b w:val="false"/>
          <w:i w:val="false"/>
          <w:color w:val="000000"/>
          <w:sz w:val="28"/>
        </w:rPr>
        <w:t>
      является юридическим лицом, зарегистрированным в стране, имеющей рейтинговую оценку не ниже "А-" по международной шкале агентства Standard &amp; Poor's или рейтинговую оценку аналогичного уровня агентств Moody's Investors Service или Fitch.";</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85" w:id="159"/>
    <w:p>
      <w:pPr>
        <w:spacing w:after="0"/>
        <w:ind w:left="0"/>
        <w:jc w:val="both"/>
      </w:pPr>
      <w:r>
        <w:rPr>
          <w:rFonts w:ascii="Times New Roman"/>
          <w:b w:val="false"/>
          <w:i w:val="false"/>
          <w:color w:val="000000"/>
          <w:sz w:val="28"/>
        </w:rPr>
        <w:t>
      "12. Допускается совмещение должности первого руководителя брокера и (или) дилера первой категории или его заместителя, курирующего осуществление брокерской и (или) дилерской деятельности, с должностью руководителя одного из подразделений данного брокера и (или) дилера. Не допускается осуществление работниками торгового подразделения функций и обязанностей, относящихся к компетенции бэк-офиса, а также передача (делегирование) прав и полномочий работников одного из подразделений брокера и (или) дилера работникам другого подразделения.</w:t>
      </w:r>
    </w:p>
    <w:bookmarkEnd w:id="159"/>
    <w:bookmarkStart w:name="z186" w:id="160"/>
    <w:p>
      <w:pPr>
        <w:spacing w:after="0"/>
        <w:ind w:left="0"/>
        <w:jc w:val="both"/>
      </w:pPr>
      <w:r>
        <w:rPr>
          <w:rFonts w:ascii="Times New Roman"/>
          <w:b w:val="false"/>
          <w:i w:val="false"/>
          <w:color w:val="000000"/>
          <w:sz w:val="28"/>
        </w:rPr>
        <w:t>
      При совмещении брокером и (или) дилером брокерской и (или) дилерской деятельности с деятельностью по управлению инвестиционным портфелем, не допускается одновременное курирование должностным лицом брокера и (или) дилера вопросов деятельности по управлению инвестиционным портфелем и брокерской и (или) дилерской деятельности, за исключением первого руководителя.";</w:t>
      </w:r>
    </w:p>
    <w:bookmarkEnd w:id="160"/>
    <w:bookmarkStart w:name="z187" w:id="161"/>
    <w:p>
      <w:pPr>
        <w:spacing w:after="0"/>
        <w:ind w:left="0"/>
        <w:jc w:val="both"/>
      </w:pPr>
      <w:r>
        <w:rPr>
          <w:rFonts w:ascii="Times New Roman"/>
          <w:b w:val="false"/>
          <w:i w:val="false"/>
          <w:color w:val="000000"/>
          <w:sz w:val="28"/>
        </w:rPr>
        <w:t>
      дополнить пунктом 12-1 следующего содержания:</w:t>
      </w:r>
    </w:p>
    <w:bookmarkEnd w:id="161"/>
    <w:bookmarkStart w:name="z188" w:id="162"/>
    <w:p>
      <w:pPr>
        <w:spacing w:after="0"/>
        <w:ind w:left="0"/>
        <w:jc w:val="both"/>
      </w:pPr>
      <w:r>
        <w:rPr>
          <w:rFonts w:ascii="Times New Roman"/>
          <w:b w:val="false"/>
          <w:i w:val="false"/>
          <w:color w:val="000000"/>
          <w:sz w:val="28"/>
        </w:rPr>
        <w:t>
      "12-1. Брокер и (или) дилер в рамках осуществления должностных обязанностей своих работников, связанных с лицензируемым видом деятельности брокера и (или) дилера, обеспечивает их взаимодействие с клиентами, в том числе потенциальными клиентами, и (или) контрагентами с использованием средств телефонной связи, электронной почты, видеоконференцсвязи или программного обеспечения по обмену текстовыми (голосовыми) сообщениями в режиме реального времени, абонентские номера и (или) адреса электронной почты и (или) доменные адреса которых зарегистрированы на имя брокера и (или) дилера, а также с использованием информационных систем Bloomberg, Reuters (далее – корпоративные средства связи).</w:t>
      </w:r>
    </w:p>
    <w:bookmarkEnd w:id="162"/>
    <w:bookmarkStart w:name="z189" w:id="163"/>
    <w:p>
      <w:pPr>
        <w:spacing w:after="0"/>
        <w:ind w:left="0"/>
        <w:jc w:val="both"/>
      </w:pPr>
      <w:r>
        <w:rPr>
          <w:rFonts w:ascii="Times New Roman"/>
          <w:b w:val="false"/>
          <w:i w:val="false"/>
          <w:color w:val="000000"/>
          <w:sz w:val="28"/>
        </w:rPr>
        <w:t>
      Не допускается использование средств связи, не предусмотренных частью первой настоящего пункта, работниками брокера и (или) дилера с клиентами, в том числе потенциальными клиентами, и (или), контрагентами, отношения с которыми возникают и (или) поддерживаются при исполнении работниками своих должностных обязанностей, связанных с лицензируемым видом деятельности брокера и (или) дилера.</w:t>
      </w:r>
    </w:p>
    <w:bookmarkEnd w:id="163"/>
    <w:bookmarkStart w:name="z190" w:id="164"/>
    <w:p>
      <w:pPr>
        <w:spacing w:after="0"/>
        <w:ind w:left="0"/>
        <w:jc w:val="both"/>
      </w:pPr>
      <w:r>
        <w:rPr>
          <w:rFonts w:ascii="Times New Roman"/>
          <w:b w:val="false"/>
          <w:i w:val="false"/>
          <w:color w:val="000000"/>
          <w:sz w:val="28"/>
        </w:rPr>
        <w:t>
      Брокер и (или) дилер обеспечивает запись, сохранность, конфиденциальность и неизменность информации, получаемой и передаваемой через корпоративные средства связи, а также обеспечивает хранение данной информации в течение пяти лет.";</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92" w:id="165"/>
    <w:p>
      <w:pPr>
        <w:spacing w:after="0"/>
        <w:ind w:left="0"/>
        <w:jc w:val="both"/>
      </w:pPr>
      <w:r>
        <w:rPr>
          <w:rFonts w:ascii="Times New Roman"/>
          <w:b w:val="false"/>
          <w:i w:val="false"/>
          <w:color w:val="000000"/>
          <w:sz w:val="28"/>
        </w:rPr>
        <w:t>
      "17. Брокер и (или) дилер по первому требованию клиента, а также лица, намеревающегося вступить в договорные отношения с данным брокером и (или) дилером, в течение 2 (двух) рабочих дней со дня получения требования клиента, а также лица, намеревающегося вступить в договорные отношения с данным брокером и (или) дилером, представляет для ознакомления внутренние документы брокера и (или) дилера.";</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94" w:id="166"/>
    <w:p>
      <w:pPr>
        <w:spacing w:after="0"/>
        <w:ind w:left="0"/>
        <w:jc w:val="both"/>
      </w:pPr>
      <w:r>
        <w:rPr>
          <w:rFonts w:ascii="Times New Roman"/>
          <w:b w:val="false"/>
          <w:i w:val="false"/>
          <w:color w:val="000000"/>
          <w:sz w:val="28"/>
        </w:rPr>
        <w:t>
      "21. Брокер и (или) дилер, а также его работники, не публикуют в средствах массовой информации и не распространяют любым способом неподтвержденные, недостоверные или вводящие в заблуждение сведения о параметрах сделок с финансовыми инструментами, в том числе о ценах, объемах и контрагентах.";</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96" w:id="167"/>
    <w:p>
      <w:pPr>
        <w:spacing w:after="0"/>
        <w:ind w:left="0"/>
        <w:jc w:val="both"/>
      </w:pPr>
      <w:r>
        <w:rPr>
          <w:rFonts w:ascii="Times New Roman"/>
          <w:b w:val="false"/>
          <w:i w:val="false"/>
          <w:color w:val="000000"/>
          <w:sz w:val="28"/>
        </w:rPr>
        <w:t>
      "23. Договор об оказании брокерских услуг (далее - брокерский договор) подлежит заключению в письменной форме.</w:t>
      </w:r>
    </w:p>
    <w:bookmarkEnd w:id="167"/>
    <w:bookmarkStart w:name="z197" w:id="168"/>
    <w:p>
      <w:pPr>
        <w:spacing w:after="0"/>
        <w:ind w:left="0"/>
        <w:jc w:val="both"/>
      </w:pPr>
      <w:r>
        <w:rPr>
          <w:rFonts w:ascii="Times New Roman"/>
          <w:b w:val="false"/>
          <w:i w:val="false"/>
          <w:color w:val="000000"/>
          <w:sz w:val="28"/>
        </w:rPr>
        <w:t xml:space="preserve">
      Брокерский договор может быть заключен путем присоединения клиента к условиям типового брокерского договора. </w:t>
      </w:r>
    </w:p>
    <w:bookmarkEnd w:id="168"/>
    <w:bookmarkStart w:name="z198" w:id="169"/>
    <w:p>
      <w:pPr>
        <w:spacing w:after="0"/>
        <w:ind w:left="0"/>
        <w:jc w:val="both"/>
      </w:pPr>
      <w:r>
        <w:rPr>
          <w:rFonts w:ascii="Times New Roman"/>
          <w:b w:val="false"/>
          <w:i w:val="false"/>
          <w:color w:val="000000"/>
          <w:sz w:val="28"/>
        </w:rPr>
        <w:t>
      Порядок присоединения к условиям типового брокерского договора определяется внутренними документами брокера.</w:t>
      </w:r>
    </w:p>
    <w:bookmarkEnd w:id="169"/>
    <w:bookmarkStart w:name="z199" w:id="170"/>
    <w:p>
      <w:pPr>
        <w:spacing w:after="0"/>
        <w:ind w:left="0"/>
        <w:jc w:val="both"/>
      </w:pPr>
      <w:r>
        <w:rPr>
          <w:rFonts w:ascii="Times New Roman"/>
          <w:b w:val="false"/>
          <w:i w:val="false"/>
          <w:color w:val="000000"/>
          <w:sz w:val="28"/>
        </w:rPr>
        <w:t>
      Допускается присоединение клиента к условиям типового брокерского договора в электронном виде с использованием:</w:t>
      </w:r>
    </w:p>
    <w:bookmarkEnd w:id="170"/>
    <w:bookmarkStart w:name="z200" w:id="171"/>
    <w:p>
      <w:pPr>
        <w:spacing w:after="0"/>
        <w:ind w:left="0"/>
        <w:jc w:val="both"/>
      </w:pPr>
      <w:r>
        <w:rPr>
          <w:rFonts w:ascii="Times New Roman"/>
          <w:b w:val="false"/>
          <w:i w:val="false"/>
          <w:color w:val="000000"/>
          <w:sz w:val="28"/>
        </w:rPr>
        <w:t>
      1) электронной цифровой подписи - для клиента, являющегося юридическим или физическим лицом;</w:t>
      </w:r>
    </w:p>
    <w:bookmarkEnd w:id="171"/>
    <w:bookmarkStart w:name="z201" w:id="172"/>
    <w:p>
      <w:pPr>
        <w:spacing w:after="0"/>
        <w:ind w:left="0"/>
        <w:jc w:val="both"/>
      </w:pPr>
      <w:r>
        <w:rPr>
          <w:rFonts w:ascii="Times New Roman"/>
          <w:b w:val="false"/>
          <w:i w:val="false"/>
          <w:color w:val="000000"/>
          <w:sz w:val="28"/>
        </w:rPr>
        <w:t>
      2) средств биометрической или динамической идентификации – для клиента, являющегося физическим лицом.</w:t>
      </w:r>
    </w:p>
    <w:bookmarkEnd w:id="172"/>
    <w:bookmarkStart w:name="z202" w:id="173"/>
    <w:p>
      <w:pPr>
        <w:spacing w:after="0"/>
        <w:ind w:left="0"/>
        <w:jc w:val="both"/>
      </w:pPr>
      <w:r>
        <w:rPr>
          <w:rFonts w:ascii="Times New Roman"/>
          <w:b w:val="false"/>
          <w:i w:val="false"/>
          <w:color w:val="000000"/>
          <w:sz w:val="28"/>
        </w:rPr>
        <w:t>
      Типовой брокерский договор и все изменения и (или) дополнения к нему подлежат утверждению исполнительным органом брокера и (или) дилера и размещаются на его интернет-ресурсе.</w:t>
      </w:r>
    </w:p>
    <w:bookmarkEnd w:id="173"/>
    <w:bookmarkStart w:name="z203" w:id="174"/>
    <w:p>
      <w:pPr>
        <w:spacing w:after="0"/>
        <w:ind w:left="0"/>
        <w:jc w:val="both"/>
      </w:pPr>
      <w:r>
        <w:rPr>
          <w:rFonts w:ascii="Times New Roman"/>
          <w:b w:val="false"/>
          <w:i w:val="false"/>
          <w:color w:val="000000"/>
          <w:sz w:val="28"/>
        </w:rPr>
        <w:t>
      Брокер и (или) дилер оповещает всех своих клиентов о предполагаемых изменениях и (или) дополнениях к типовому брокерскому договору не менее чем за 15 календарных дней до внесения указанных изменений и (или) дополнений.";</w:t>
      </w:r>
    </w:p>
    <w:bookmarkEnd w:id="174"/>
    <w:bookmarkStart w:name="z204" w:id="175"/>
    <w:p>
      <w:pPr>
        <w:spacing w:after="0"/>
        <w:ind w:left="0"/>
        <w:jc w:val="both"/>
      </w:pPr>
      <w:r>
        <w:rPr>
          <w:rFonts w:ascii="Times New Roman"/>
          <w:b w:val="false"/>
          <w:i w:val="false"/>
          <w:color w:val="000000"/>
          <w:sz w:val="28"/>
        </w:rPr>
        <w:t>
      дополнить пунктами 23-2, 23-3 и 23-4 следующего содержания:</w:t>
      </w:r>
    </w:p>
    <w:bookmarkEnd w:id="175"/>
    <w:bookmarkStart w:name="z205" w:id="176"/>
    <w:p>
      <w:pPr>
        <w:spacing w:after="0"/>
        <w:ind w:left="0"/>
        <w:jc w:val="both"/>
      </w:pPr>
      <w:r>
        <w:rPr>
          <w:rFonts w:ascii="Times New Roman"/>
          <w:b w:val="false"/>
          <w:i w:val="false"/>
          <w:color w:val="000000"/>
          <w:sz w:val="28"/>
        </w:rPr>
        <w:t xml:space="preserve">
      "23-2. При присоединении к условиям типового брокерского договора в электронном виде деловые отношения с клиентом устанавливаются дистанционным способом с учетом </w:t>
      </w:r>
      <w:r>
        <w:rPr>
          <w:rFonts w:ascii="Times New Roman"/>
          <w:b w:val="false"/>
          <w:i w:val="false"/>
          <w:color w:val="000000"/>
          <w:sz w:val="28"/>
        </w:rPr>
        <w:t>Требований</w:t>
      </w:r>
      <w:r>
        <w:rPr>
          <w:rFonts w:ascii="Times New Roman"/>
          <w:b w:val="false"/>
          <w:i w:val="false"/>
          <w:color w:val="000000"/>
          <w:sz w:val="28"/>
        </w:rPr>
        <w:t xml:space="preserve"> к надлежащей проверке клиентов в случае дистанционного установления деловых отношений субъектами финансового мониторинга, утвержденными постановлением Правления Национального Банка Республики Казахстан от 29 июня 2018 года № 140, зарегистрированным в Реестре государственной регистрации нормативных правовых актов под № 17250.</w:t>
      </w:r>
    </w:p>
    <w:bookmarkEnd w:id="176"/>
    <w:bookmarkStart w:name="z206" w:id="177"/>
    <w:p>
      <w:pPr>
        <w:spacing w:after="0"/>
        <w:ind w:left="0"/>
        <w:jc w:val="both"/>
      </w:pPr>
      <w:r>
        <w:rPr>
          <w:rFonts w:ascii="Times New Roman"/>
          <w:b w:val="false"/>
          <w:i w:val="false"/>
          <w:color w:val="000000"/>
          <w:sz w:val="28"/>
        </w:rPr>
        <w:t>
      Условия и порядок идентификации клиентов брокером и (или) дилером при заключении брокерского договора в электронном виде и установлении деловых отношений с клиентом дистанционным способом определяются внутренними документами брокера и (или) дилера.</w:t>
      </w:r>
    </w:p>
    <w:bookmarkEnd w:id="177"/>
    <w:bookmarkStart w:name="z207" w:id="178"/>
    <w:p>
      <w:pPr>
        <w:spacing w:after="0"/>
        <w:ind w:left="0"/>
        <w:jc w:val="both"/>
      </w:pPr>
      <w:r>
        <w:rPr>
          <w:rFonts w:ascii="Times New Roman"/>
          <w:b w:val="false"/>
          <w:i w:val="false"/>
          <w:color w:val="000000"/>
          <w:sz w:val="28"/>
        </w:rPr>
        <w:t>
      23-3. Допускается использование услуг центра обмена идентификационными данными (далее – ЦОИД) при идентификации клиента, являющегося физическим лицом, с использованием средств биометрической идентификации.</w:t>
      </w:r>
    </w:p>
    <w:bookmarkEnd w:id="178"/>
    <w:bookmarkStart w:name="z208" w:id="179"/>
    <w:p>
      <w:pPr>
        <w:spacing w:after="0"/>
        <w:ind w:left="0"/>
        <w:jc w:val="both"/>
      </w:pPr>
      <w:r>
        <w:rPr>
          <w:rFonts w:ascii="Times New Roman"/>
          <w:b w:val="false"/>
          <w:i w:val="false"/>
          <w:color w:val="000000"/>
          <w:sz w:val="28"/>
        </w:rPr>
        <w:t>
      Допускается использование услуг кредитного бюро с государственным участием при идентификации клиента, являющегося физическим лицом.</w:t>
      </w:r>
    </w:p>
    <w:bookmarkEnd w:id="179"/>
    <w:bookmarkStart w:name="z209" w:id="180"/>
    <w:p>
      <w:pPr>
        <w:spacing w:after="0"/>
        <w:ind w:left="0"/>
        <w:jc w:val="both"/>
      </w:pPr>
      <w:r>
        <w:rPr>
          <w:rFonts w:ascii="Times New Roman"/>
          <w:b w:val="false"/>
          <w:i w:val="false"/>
          <w:color w:val="000000"/>
          <w:sz w:val="28"/>
        </w:rPr>
        <w:t>
      Взаимодействие брокера и (или) дилера с ЦОИД или кредитным бюро с государственным участием осуществляется на основании договора, заключенного между ними, который содержит следующие условия, но не ограничивается:</w:t>
      </w:r>
    </w:p>
    <w:bookmarkEnd w:id="180"/>
    <w:bookmarkStart w:name="z210" w:id="181"/>
    <w:p>
      <w:pPr>
        <w:spacing w:after="0"/>
        <w:ind w:left="0"/>
        <w:jc w:val="both"/>
      </w:pPr>
      <w:r>
        <w:rPr>
          <w:rFonts w:ascii="Times New Roman"/>
          <w:b w:val="false"/>
          <w:i w:val="false"/>
          <w:color w:val="000000"/>
          <w:sz w:val="28"/>
        </w:rPr>
        <w:t>
      1) порядок и сроки предоставления и получения услуги;</w:t>
      </w:r>
    </w:p>
    <w:bookmarkEnd w:id="181"/>
    <w:bookmarkStart w:name="z211" w:id="182"/>
    <w:p>
      <w:pPr>
        <w:spacing w:after="0"/>
        <w:ind w:left="0"/>
        <w:jc w:val="both"/>
      </w:pPr>
      <w:r>
        <w:rPr>
          <w:rFonts w:ascii="Times New Roman"/>
          <w:b w:val="false"/>
          <w:i w:val="false"/>
          <w:color w:val="000000"/>
          <w:sz w:val="28"/>
        </w:rPr>
        <w:t>
      2) процедуры обеспечения безопасности;</w:t>
      </w:r>
    </w:p>
    <w:bookmarkEnd w:id="182"/>
    <w:bookmarkStart w:name="z212" w:id="183"/>
    <w:p>
      <w:pPr>
        <w:spacing w:after="0"/>
        <w:ind w:left="0"/>
        <w:jc w:val="both"/>
      </w:pPr>
      <w:r>
        <w:rPr>
          <w:rFonts w:ascii="Times New Roman"/>
          <w:b w:val="false"/>
          <w:i w:val="false"/>
          <w:color w:val="000000"/>
          <w:sz w:val="28"/>
        </w:rPr>
        <w:t>
      3) размеры взимаемой комиссии, порядок ее взимания;</w:t>
      </w:r>
    </w:p>
    <w:bookmarkEnd w:id="183"/>
    <w:bookmarkStart w:name="z213" w:id="184"/>
    <w:p>
      <w:pPr>
        <w:spacing w:after="0"/>
        <w:ind w:left="0"/>
        <w:jc w:val="both"/>
      </w:pPr>
      <w:r>
        <w:rPr>
          <w:rFonts w:ascii="Times New Roman"/>
          <w:b w:val="false"/>
          <w:i w:val="false"/>
          <w:color w:val="000000"/>
          <w:sz w:val="28"/>
        </w:rPr>
        <w:t>
      4) ответственность сторон, в том числе в части соблюдения режима конфиденциальности, сохранения коммерческой тайны на рынке ценных бумаг и защиты персональных данных клиентов;</w:t>
      </w:r>
    </w:p>
    <w:bookmarkEnd w:id="184"/>
    <w:bookmarkStart w:name="z214" w:id="185"/>
    <w:p>
      <w:pPr>
        <w:spacing w:after="0"/>
        <w:ind w:left="0"/>
        <w:jc w:val="both"/>
      </w:pPr>
      <w:r>
        <w:rPr>
          <w:rFonts w:ascii="Times New Roman"/>
          <w:b w:val="false"/>
          <w:i w:val="false"/>
          <w:color w:val="000000"/>
          <w:sz w:val="28"/>
        </w:rPr>
        <w:t>
      5) права и обязанности сторон;</w:t>
      </w:r>
    </w:p>
    <w:bookmarkEnd w:id="185"/>
    <w:bookmarkStart w:name="z215" w:id="186"/>
    <w:p>
      <w:pPr>
        <w:spacing w:after="0"/>
        <w:ind w:left="0"/>
        <w:jc w:val="both"/>
      </w:pPr>
      <w:r>
        <w:rPr>
          <w:rFonts w:ascii="Times New Roman"/>
          <w:b w:val="false"/>
          <w:i w:val="false"/>
          <w:color w:val="000000"/>
          <w:sz w:val="28"/>
        </w:rPr>
        <w:t>
      6) порядок хранения полученных результатов идентификации и (или) сведений;</w:t>
      </w:r>
    </w:p>
    <w:bookmarkEnd w:id="186"/>
    <w:bookmarkStart w:name="z216" w:id="187"/>
    <w:p>
      <w:pPr>
        <w:spacing w:after="0"/>
        <w:ind w:left="0"/>
        <w:jc w:val="both"/>
      </w:pPr>
      <w:r>
        <w:rPr>
          <w:rFonts w:ascii="Times New Roman"/>
          <w:b w:val="false"/>
          <w:i w:val="false"/>
          <w:color w:val="000000"/>
          <w:sz w:val="28"/>
        </w:rPr>
        <w:t>
      7) порядок предъявления претензий и способы разрешения спорных ситуаций.</w:t>
      </w:r>
    </w:p>
    <w:bookmarkEnd w:id="187"/>
    <w:bookmarkStart w:name="z217" w:id="188"/>
    <w:p>
      <w:pPr>
        <w:spacing w:after="0"/>
        <w:ind w:left="0"/>
        <w:jc w:val="both"/>
      </w:pPr>
      <w:r>
        <w:rPr>
          <w:rFonts w:ascii="Times New Roman"/>
          <w:b w:val="false"/>
          <w:i w:val="false"/>
          <w:color w:val="000000"/>
          <w:sz w:val="28"/>
        </w:rPr>
        <w:t>
      23-4. В случае, предусмотренном частью первой пункта 23-3 Правил, на основании полученного согласия клиента на сбор, обработку, хранение и предоставление при необходимости третьим лицам его персональных данных, полученного посредством идентификационного средства, брокер и (или) дилер проводит сеанс видеоконференцсвязи с клиентом с использованием имеющихся у клиента устройств и (или) устройств брокера и (или) дилера. Содержательная часть сеанса видеоконференцсвязи (перечень контрольных вопросов), а также перечень и объемы услуг, оказываемых брокером и (или) дилером при удаленной идентификации клиентов, устанавливаются брокером и (или) дилером самостоятельно.</w:t>
      </w:r>
    </w:p>
    <w:bookmarkEnd w:id="188"/>
    <w:bookmarkStart w:name="z218" w:id="189"/>
    <w:p>
      <w:pPr>
        <w:spacing w:after="0"/>
        <w:ind w:left="0"/>
        <w:jc w:val="both"/>
      </w:pPr>
      <w:r>
        <w:rPr>
          <w:rFonts w:ascii="Times New Roman"/>
          <w:b w:val="false"/>
          <w:i w:val="false"/>
          <w:color w:val="000000"/>
          <w:sz w:val="28"/>
        </w:rPr>
        <w:t>
      Брокер и (или) дилер передает в ЦОИД индивидуальный либо бизнес-идентификационный номер клиента и видеоизображение клиента, полученное в ходе сеанса видеоконференцсвязи.</w:t>
      </w:r>
    </w:p>
    <w:bookmarkEnd w:id="189"/>
    <w:bookmarkStart w:name="z219" w:id="190"/>
    <w:p>
      <w:pPr>
        <w:spacing w:after="0"/>
        <w:ind w:left="0"/>
        <w:jc w:val="both"/>
      </w:pPr>
      <w:r>
        <w:rPr>
          <w:rFonts w:ascii="Times New Roman"/>
          <w:b w:val="false"/>
          <w:i w:val="false"/>
          <w:color w:val="000000"/>
          <w:sz w:val="28"/>
        </w:rPr>
        <w:t>
      ЦОИД посредством программного обеспечения определяет степень соответствия по биометрическим показателям в соответствии со своими внутренними процедурами. Видеозаписи обращений клиентов хранятся у брокера и (или) дилера.</w:t>
      </w:r>
    </w:p>
    <w:bookmarkEnd w:id="190"/>
    <w:bookmarkStart w:name="z220" w:id="191"/>
    <w:p>
      <w:pPr>
        <w:spacing w:after="0"/>
        <w:ind w:left="0"/>
        <w:jc w:val="both"/>
      </w:pPr>
      <w:r>
        <w:rPr>
          <w:rFonts w:ascii="Times New Roman"/>
          <w:b w:val="false"/>
          <w:i w:val="false"/>
          <w:color w:val="000000"/>
          <w:sz w:val="28"/>
        </w:rPr>
        <w:t>
      Результаты степени соответствия по биометрическим показателям фотоизображений и идентификационные данные клиента, полученные ЦОИД из доступных источников, передаются брокеру и (или) дилеру.";</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222" w:id="192"/>
    <w:p>
      <w:pPr>
        <w:spacing w:after="0"/>
        <w:ind w:left="0"/>
        <w:jc w:val="both"/>
      </w:pPr>
      <w:r>
        <w:rPr>
          <w:rFonts w:ascii="Times New Roman"/>
          <w:b w:val="false"/>
          <w:i w:val="false"/>
          <w:color w:val="000000"/>
          <w:sz w:val="28"/>
        </w:rPr>
        <w:t>
      "26. При заключении брокерского договора клиентом представляются брокеру и (или) дилеру следующие документы:</w:t>
      </w:r>
    </w:p>
    <w:bookmarkEnd w:id="192"/>
    <w:bookmarkStart w:name="z223" w:id="193"/>
    <w:p>
      <w:pPr>
        <w:spacing w:after="0"/>
        <w:ind w:left="0"/>
        <w:jc w:val="both"/>
      </w:pPr>
      <w:r>
        <w:rPr>
          <w:rFonts w:ascii="Times New Roman"/>
          <w:b w:val="false"/>
          <w:i w:val="false"/>
          <w:color w:val="000000"/>
          <w:sz w:val="28"/>
        </w:rPr>
        <w:t>
      1) для физических лиц:</w:t>
      </w:r>
    </w:p>
    <w:bookmarkEnd w:id="193"/>
    <w:bookmarkStart w:name="z224" w:id="194"/>
    <w:p>
      <w:pPr>
        <w:spacing w:after="0"/>
        <w:ind w:left="0"/>
        <w:jc w:val="both"/>
      </w:pPr>
      <w:r>
        <w:rPr>
          <w:rFonts w:ascii="Times New Roman"/>
          <w:b w:val="false"/>
          <w:i w:val="false"/>
          <w:color w:val="000000"/>
          <w:sz w:val="28"/>
        </w:rPr>
        <w:t>
      копия документа, удостоверяющего личность;</w:t>
      </w:r>
    </w:p>
    <w:bookmarkEnd w:id="194"/>
    <w:bookmarkStart w:name="z225" w:id="195"/>
    <w:p>
      <w:pPr>
        <w:spacing w:after="0"/>
        <w:ind w:left="0"/>
        <w:jc w:val="both"/>
      </w:pPr>
      <w:r>
        <w:rPr>
          <w:rFonts w:ascii="Times New Roman"/>
          <w:b w:val="false"/>
          <w:i w:val="false"/>
          <w:color w:val="000000"/>
          <w:sz w:val="28"/>
        </w:rPr>
        <w:t>
      2) для юридических лиц - резидентов Республики Казахстан:</w:t>
      </w:r>
    </w:p>
    <w:bookmarkEnd w:id="195"/>
    <w:bookmarkStart w:name="z226" w:id="196"/>
    <w:p>
      <w:pPr>
        <w:spacing w:after="0"/>
        <w:ind w:left="0"/>
        <w:jc w:val="both"/>
      </w:pPr>
      <w:r>
        <w:rPr>
          <w:rFonts w:ascii="Times New Roman"/>
          <w:b w:val="false"/>
          <w:i w:val="false"/>
          <w:color w:val="000000"/>
          <w:sz w:val="28"/>
        </w:rPr>
        <w:t>
      копия устава (при наличии);</w:t>
      </w:r>
    </w:p>
    <w:bookmarkEnd w:id="196"/>
    <w:bookmarkStart w:name="z227" w:id="197"/>
    <w:p>
      <w:pPr>
        <w:spacing w:after="0"/>
        <w:ind w:left="0"/>
        <w:jc w:val="both"/>
      </w:pPr>
      <w:r>
        <w:rPr>
          <w:rFonts w:ascii="Times New Roman"/>
          <w:b w:val="false"/>
          <w:i w:val="false"/>
          <w:color w:val="000000"/>
          <w:sz w:val="28"/>
        </w:rPr>
        <w:t>
      копия справки о государственной регистрации (перерегистрации) юридического лица;</w:t>
      </w:r>
    </w:p>
    <w:bookmarkEnd w:id="197"/>
    <w:bookmarkStart w:name="z228" w:id="198"/>
    <w:p>
      <w:pPr>
        <w:spacing w:after="0"/>
        <w:ind w:left="0"/>
        <w:jc w:val="both"/>
      </w:pPr>
      <w:r>
        <w:rPr>
          <w:rFonts w:ascii="Times New Roman"/>
          <w:b w:val="false"/>
          <w:i w:val="false"/>
          <w:color w:val="000000"/>
          <w:sz w:val="28"/>
        </w:rPr>
        <w:t>
      нотариально засвидетельствованный документ с образцами подписей (в том числе представителей юридического лица, обладающих правом подписывать клиентские заказы), включающий сведения о (об):</w:t>
      </w:r>
    </w:p>
    <w:bookmarkEnd w:id="198"/>
    <w:bookmarkStart w:name="z229" w:id="199"/>
    <w:p>
      <w:pPr>
        <w:spacing w:after="0"/>
        <w:ind w:left="0"/>
        <w:jc w:val="both"/>
      </w:pPr>
      <w:r>
        <w:rPr>
          <w:rFonts w:ascii="Times New Roman"/>
          <w:b w:val="false"/>
          <w:i w:val="false"/>
          <w:color w:val="000000"/>
          <w:sz w:val="28"/>
        </w:rPr>
        <w:t>
      наименовании номинального держателя;</w:t>
      </w:r>
    </w:p>
    <w:bookmarkEnd w:id="199"/>
    <w:bookmarkStart w:name="z230" w:id="200"/>
    <w:p>
      <w:pPr>
        <w:spacing w:after="0"/>
        <w:ind w:left="0"/>
        <w:jc w:val="both"/>
      </w:pPr>
      <w:r>
        <w:rPr>
          <w:rFonts w:ascii="Times New Roman"/>
          <w:b w:val="false"/>
          <w:i w:val="false"/>
          <w:color w:val="000000"/>
          <w:sz w:val="28"/>
        </w:rPr>
        <w:t>
      наименовании юридического лица - клиента номинального держателя, предоставляющего право на подписание документа;</w:t>
      </w:r>
    </w:p>
    <w:bookmarkEnd w:id="200"/>
    <w:bookmarkStart w:name="z231" w:id="201"/>
    <w:p>
      <w:pPr>
        <w:spacing w:after="0"/>
        <w:ind w:left="0"/>
        <w:jc w:val="both"/>
      </w:pPr>
      <w:r>
        <w:rPr>
          <w:rFonts w:ascii="Times New Roman"/>
          <w:b w:val="false"/>
          <w:i w:val="false"/>
          <w:color w:val="000000"/>
          <w:sz w:val="28"/>
        </w:rPr>
        <w:t>
      должности, фамилии, имени, отчества (при его наличии) представителя клиента номинального держателя, данных документа, удостоверяющего личность;</w:t>
      </w:r>
    </w:p>
    <w:bookmarkEnd w:id="201"/>
    <w:bookmarkStart w:name="z232" w:id="202"/>
    <w:p>
      <w:pPr>
        <w:spacing w:after="0"/>
        <w:ind w:left="0"/>
        <w:jc w:val="both"/>
      </w:pPr>
      <w:r>
        <w:rPr>
          <w:rFonts w:ascii="Times New Roman"/>
          <w:b w:val="false"/>
          <w:i w:val="false"/>
          <w:color w:val="000000"/>
          <w:sz w:val="28"/>
        </w:rPr>
        <w:t>
      указании на то, что образцы подписей, содержащиеся в данном документе, считаются обязательными при осуществлении всех операций по лицевому счету клиента, открытому в системе номинального держания;</w:t>
      </w:r>
    </w:p>
    <w:bookmarkEnd w:id="202"/>
    <w:bookmarkStart w:name="z233" w:id="203"/>
    <w:p>
      <w:pPr>
        <w:spacing w:after="0"/>
        <w:ind w:left="0"/>
        <w:jc w:val="both"/>
      </w:pPr>
      <w:r>
        <w:rPr>
          <w:rFonts w:ascii="Times New Roman"/>
          <w:b w:val="false"/>
          <w:i w:val="false"/>
          <w:color w:val="000000"/>
          <w:sz w:val="28"/>
        </w:rPr>
        <w:t>
      3) для юридических лиц - нерезидентов Республики Казахстан:</w:t>
      </w:r>
    </w:p>
    <w:bookmarkEnd w:id="203"/>
    <w:bookmarkStart w:name="z234" w:id="204"/>
    <w:p>
      <w:pPr>
        <w:spacing w:after="0"/>
        <w:ind w:left="0"/>
        <w:jc w:val="both"/>
      </w:pPr>
      <w:r>
        <w:rPr>
          <w:rFonts w:ascii="Times New Roman"/>
          <w:b w:val="false"/>
          <w:i w:val="false"/>
          <w:color w:val="000000"/>
          <w:sz w:val="28"/>
        </w:rPr>
        <w:t>
      копия устава (при наличии);</w:t>
      </w:r>
    </w:p>
    <w:bookmarkEnd w:id="204"/>
    <w:bookmarkStart w:name="z235" w:id="205"/>
    <w:p>
      <w:pPr>
        <w:spacing w:after="0"/>
        <w:ind w:left="0"/>
        <w:jc w:val="both"/>
      </w:pPr>
      <w:r>
        <w:rPr>
          <w:rFonts w:ascii="Times New Roman"/>
          <w:b w:val="false"/>
          <w:i w:val="false"/>
          <w:color w:val="000000"/>
          <w:sz w:val="28"/>
        </w:rPr>
        <w:t>
      копия документа, подтверждающего государственную регистрацию юридического лица, выданного уполномоченным органом государства нерезидента;</w:t>
      </w:r>
    </w:p>
    <w:bookmarkEnd w:id="205"/>
    <w:bookmarkStart w:name="z236" w:id="206"/>
    <w:p>
      <w:pPr>
        <w:spacing w:after="0"/>
        <w:ind w:left="0"/>
        <w:jc w:val="both"/>
      </w:pPr>
      <w:r>
        <w:rPr>
          <w:rFonts w:ascii="Times New Roman"/>
          <w:b w:val="false"/>
          <w:i w:val="false"/>
          <w:color w:val="000000"/>
          <w:sz w:val="28"/>
        </w:rPr>
        <w:t>
      документ с образцами подписей (в том числе представителей юридического лица, обладающих правом подписывать клиентские заказы);</w:t>
      </w:r>
    </w:p>
    <w:bookmarkEnd w:id="206"/>
    <w:bookmarkStart w:name="z237" w:id="207"/>
    <w:p>
      <w:pPr>
        <w:spacing w:after="0"/>
        <w:ind w:left="0"/>
        <w:jc w:val="both"/>
      </w:pPr>
      <w:r>
        <w:rPr>
          <w:rFonts w:ascii="Times New Roman"/>
          <w:b w:val="false"/>
          <w:i w:val="false"/>
          <w:color w:val="000000"/>
          <w:sz w:val="28"/>
        </w:rPr>
        <w:t>
      доверенность или решение уполномоченного органа юридического лица, выданное в отношении представителя юридического лица, который будет заключать брокерский договор и осуществлять иные действия;</w:t>
      </w:r>
    </w:p>
    <w:bookmarkEnd w:id="207"/>
    <w:bookmarkStart w:name="z238" w:id="208"/>
    <w:p>
      <w:pPr>
        <w:spacing w:after="0"/>
        <w:ind w:left="0"/>
        <w:jc w:val="both"/>
      </w:pPr>
      <w:r>
        <w:rPr>
          <w:rFonts w:ascii="Times New Roman"/>
          <w:b w:val="false"/>
          <w:i w:val="false"/>
          <w:color w:val="000000"/>
          <w:sz w:val="28"/>
        </w:rPr>
        <w:t>
      документы, предусмотренные внутренними документами брокера и (или) дилера.</w:t>
      </w:r>
    </w:p>
    <w:bookmarkEnd w:id="208"/>
    <w:bookmarkStart w:name="z239" w:id="209"/>
    <w:p>
      <w:pPr>
        <w:spacing w:after="0"/>
        <w:ind w:left="0"/>
        <w:jc w:val="both"/>
      </w:pPr>
      <w:r>
        <w:rPr>
          <w:rFonts w:ascii="Times New Roman"/>
          <w:b w:val="false"/>
          <w:i w:val="false"/>
          <w:color w:val="000000"/>
          <w:sz w:val="28"/>
        </w:rPr>
        <w:t>
      При заключении брокером и (или) дилером брокерского договора с клиентом в электронном виде возможно представление электронных копий документов, предусмотренных настоящим пунктом, или данных документа, удостоверяющего личность физического лица, и его индивидуального идентификационного номера.";</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241" w:id="210"/>
    <w:p>
      <w:pPr>
        <w:spacing w:after="0"/>
        <w:ind w:left="0"/>
        <w:jc w:val="both"/>
      </w:pPr>
      <w:r>
        <w:rPr>
          <w:rFonts w:ascii="Times New Roman"/>
          <w:b w:val="false"/>
          <w:i w:val="false"/>
          <w:color w:val="000000"/>
          <w:sz w:val="28"/>
        </w:rPr>
        <w:t>
      "29. В течение всего срока действия брокерского договора брокер и (или) дилер уведомляет своего клиента о санкциях, за исключением административных взысканий, примененных уполномоченным органом к данному брокеру и (или) дилеру в течение последних 12 (двенадцати) последовательных календарных месяцев. По санкциям в виде административного взыскания предоставляются сведения о наложении административного взыскания на данного брокера и (или) дилера за последние 12 (двенадцать) последовательных календарных месяцев со дня окончания исполнения постановления о наложении административного взыскания.";</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243" w:id="211"/>
    <w:p>
      <w:pPr>
        <w:spacing w:after="0"/>
        <w:ind w:left="0"/>
        <w:jc w:val="both"/>
      </w:pPr>
      <w:r>
        <w:rPr>
          <w:rFonts w:ascii="Times New Roman"/>
          <w:b w:val="false"/>
          <w:i w:val="false"/>
          <w:color w:val="000000"/>
          <w:sz w:val="28"/>
        </w:rPr>
        <w:t>
      "33. Брокер и (или) дилер, действуя в качества брокера, исходит из приоритета интересов клиента над своими интересами, интересами своих работников, акционеров и аффилированных лиц.";</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245" w:id="212"/>
    <w:p>
      <w:pPr>
        <w:spacing w:after="0"/>
        <w:ind w:left="0"/>
        <w:jc w:val="both"/>
      </w:pPr>
      <w:r>
        <w:rPr>
          <w:rFonts w:ascii="Times New Roman"/>
          <w:b w:val="false"/>
          <w:i w:val="false"/>
          <w:color w:val="000000"/>
          <w:sz w:val="28"/>
        </w:rPr>
        <w:t>
      "38. Допускается передача клиентского заказа средствами телефонной связи или видеоконференцсвязи с последующим заполнением и ведением брокером и (или) дилером реестра клиентских заказов в соответствии с требованиями части третьей пункта 37 Правил. При принятии клиентского заказа средствами телефонной связи или видеоконференцсвязи осуществляется запись разговора с клиентом либо его представителем, уполномоченным на передачу от имени клиента клиентского заказа средствами телефонной связи или видеоконференцсвязи, с использованием аудиотехники и специальных технических средств (далее - телефонная или видеозапись).</w:t>
      </w:r>
    </w:p>
    <w:bookmarkEnd w:id="212"/>
    <w:bookmarkStart w:name="z246" w:id="213"/>
    <w:p>
      <w:pPr>
        <w:spacing w:after="0"/>
        <w:ind w:left="0"/>
        <w:jc w:val="both"/>
      </w:pPr>
      <w:r>
        <w:rPr>
          <w:rFonts w:ascii="Times New Roman"/>
          <w:b w:val="false"/>
          <w:i w:val="false"/>
          <w:color w:val="000000"/>
          <w:sz w:val="28"/>
        </w:rPr>
        <w:t>
      Телефонная или видеозапись клиентского заказа содержит следующие сведения:</w:t>
      </w:r>
    </w:p>
    <w:bookmarkEnd w:id="213"/>
    <w:bookmarkStart w:name="z247" w:id="214"/>
    <w:p>
      <w:pPr>
        <w:spacing w:after="0"/>
        <w:ind w:left="0"/>
        <w:jc w:val="both"/>
      </w:pPr>
      <w:r>
        <w:rPr>
          <w:rFonts w:ascii="Times New Roman"/>
          <w:b w:val="false"/>
          <w:i w:val="false"/>
          <w:color w:val="000000"/>
          <w:sz w:val="28"/>
        </w:rPr>
        <w:t>
      1) фамилия, имя, отчество (при его наличии), наименование клиента, в интересах которого предполагается совершение сделки с финансовыми инструментами;</w:t>
      </w:r>
    </w:p>
    <w:bookmarkEnd w:id="214"/>
    <w:bookmarkStart w:name="z248" w:id="215"/>
    <w:p>
      <w:pPr>
        <w:spacing w:after="0"/>
        <w:ind w:left="0"/>
        <w:jc w:val="both"/>
      </w:pPr>
      <w:r>
        <w:rPr>
          <w:rFonts w:ascii="Times New Roman"/>
          <w:b w:val="false"/>
          <w:i w:val="false"/>
          <w:color w:val="000000"/>
          <w:sz w:val="28"/>
        </w:rPr>
        <w:t>
      2) вид сделки с финансовыми инструментами, подлежащей совершению в соответствии с данным клиентским заказом;</w:t>
      </w:r>
    </w:p>
    <w:bookmarkEnd w:id="215"/>
    <w:bookmarkStart w:name="z249" w:id="216"/>
    <w:p>
      <w:pPr>
        <w:spacing w:after="0"/>
        <w:ind w:left="0"/>
        <w:jc w:val="both"/>
      </w:pPr>
      <w:r>
        <w:rPr>
          <w:rFonts w:ascii="Times New Roman"/>
          <w:b w:val="false"/>
          <w:i w:val="false"/>
          <w:color w:val="000000"/>
          <w:sz w:val="28"/>
        </w:rPr>
        <w:t>
      3) финансовый инструмент, сделка с которым подлежит совершению в соответствии с данным клиентским заказом (наименование эмитента, вид финансового инструмента, торговый код и (или) ISIN финансового инструмента);</w:t>
      </w:r>
    </w:p>
    <w:bookmarkEnd w:id="216"/>
    <w:bookmarkStart w:name="z250" w:id="217"/>
    <w:p>
      <w:pPr>
        <w:spacing w:after="0"/>
        <w:ind w:left="0"/>
        <w:jc w:val="both"/>
      </w:pPr>
      <w:r>
        <w:rPr>
          <w:rFonts w:ascii="Times New Roman"/>
          <w:b w:val="false"/>
          <w:i w:val="false"/>
          <w:color w:val="000000"/>
          <w:sz w:val="28"/>
        </w:rPr>
        <w:t xml:space="preserve">
      4) количество и (или) объем финансовых инструментов, подлежащих покупке или продаже, цена покупки или продажи финансовых инструментов, </w:t>
      </w:r>
    </w:p>
    <w:bookmarkEnd w:id="217"/>
    <w:bookmarkStart w:name="z251" w:id="218"/>
    <w:p>
      <w:pPr>
        <w:spacing w:after="0"/>
        <w:ind w:left="0"/>
        <w:jc w:val="both"/>
      </w:pPr>
      <w:r>
        <w:rPr>
          <w:rFonts w:ascii="Times New Roman"/>
          <w:b w:val="false"/>
          <w:i w:val="false"/>
          <w:color w:val="000000"/>
          <w:sz w:val="28"/>
        </w:rPr>
        <w:t>
      5) тип клиентского заказа, предусмотренный настоящими Правилами и (или) внутренними документами брокера и (или) дилера, в том числе лимитный, рыночный, буферный клиентский заказ;</w:t>
      </w:r>
    </w:p>
    <w:bookmarkEnd w:id="218"/>
    <w:bookmarkStart w:name="z252" w:id="219"/>
    <w:p>
      <w:pPr>
        <w:spacing w:after="0"/>
        <w:ind w:left="0"/>
        <w:jc w:val="both"/>
      </w:pPr>
      <w:r>
        <w:rPr>
          <w:rFonts w:ascii="Times New Roman"/>
          <w:b w:val="false"/>
          <w:i w:val="false"/>
          <w:color w:val="000000"/>
          <w:sz w:val="28"/>
        </w:rPr>
        <w:t>
      6) срок действия клиентского заказа;</w:t>
      </w:r>
    </w:p>
    <w:bookmarkEnd w:id="219"/>
    <w:bookmarkStart w:name="z253" w:id="220"/>
    <w:p>
      <w:pPr>
        <w:spacing w:after="0"/>
        <w:ind w:left="0"/>
        <w:jc w:val="both"/>
      </w:pPr>
      <w:r>
        <w:rPr>
          <w:rFonts w:ascii="Times New Roman"/>
          <w:b w:val="false"/>
          <w:i w:val="false"/>
          <w:color w:val="000000"/>
          <w:sz w:val="28"/>
        </w:rPr>
        <w:t>
      7) дата и время (в формате часы и минуты) приема клиентского заказа;</w:t>
      </w:r>
    </w:p>
    <w:bookmarkEnd w:id="220"/>
    <w:bookmarkStart w:name="z254" w:id="221"/>
    <w:p>
      <w:pPr>
        <w:spacing w:after="0"/>
        <w:ind w:left="0"/>
        <w:jc w:val="both"/>
      </w:pPr>
      <w:r>
        <w:rPr>
          <w:rFonts w:ascii="Times New Roman"/>
          <w:b w:val="false"/>
          <w:i w:val="false"/>
          <w:color w:val="000000"/>
          <w:sz w:val="28"/>
        </w:rPr>
        <w:t>
      8) фамилия, имя, отчество (при его наличии) работника брокера и (или) дилера, принявшего данный клиентский заказ;</w:t>
      </w:r>
    </w:p>
    <w:bookmarkEnd w:id="221"/>
    <w:bookmarkStart w:name="z255" w:id="222"/>
    <w:p>
      <w:pPr>
        <w:spacing w:after="0"/>
        <w:ind w:left="0"/>
        <w:jc w:val="both"/>
      </w:pPr>
      <w:r>
        <w:rPr>
          <w:rFonts w:ascii="Times New Roman"/>
          <w:b w:val="false"/>
          <w:i w:val="false"/>
          <w:color w:val="000000"/>
          <w:sz w:val="28"/>
        </w:rPr>
        <w:t>
      9) сведения, необходимые для надлежащего совершения сделки, установленные внутренними документами брокера и (или) дилера (при наличии).</w:t>
      </w:r>
    </w:p>
    <w:bookmarkEnd w:id="222"/>
    <w:bookmarkStart w:name="z256" w:id="223"/>
    <w:p>
      <w:pPr>
        <w:spacing w:after="0"/>
        <w:ind w:left="0"/>
        <w:jc w:val="both"/>
      </w:pPr>
      <w:r>
        <w:rPr>
          <w:rFonts w:ascii="Times New Roman"/>
          <w:b w:val="false"/>
          <w:i w:val="false"/>
          <w:color w:val="000000"/>
          <w:sz w:val="28"/>
        </w:rPr>
        <w:t>
      Действия брокера и (или) дилера и его клиента при несоответствии данных реестра клиентских заказов, предусмотренного частью третьей пункта 37 Правил, данным телефонной или видеозаписи определяются брокерским договором.</w:t>
      </w:r>
    </w:p>
    <w:bookmarkEnd w:id="223"/>
    <w:bookmarkStart w:name="z257" w:id="224"/>
    <w:p>
      <w:pPr>
        <w:spacing w:after="0"/>
        <w:ind w:left="0"/>
        <w:jc w:val="both"/>
      </w:pPr>
      <w:r>
        <w:rPr>
          <w:rFonts w:ascii="Times New Roman"/>
          <w:b w:val="false"/>
          <w:i w:val="false"/>
          <w:color w:val="000000"/>
          <w:sz w:val="28"/>
        </w:rPr>
        <w:t>
      Условия и порядок идентификации клиентов брокером и (или) дилером при принятии клиентского заказа средствами телефонной связи или видеоконференцсвязи определяются брокерским договором и внутренними документами брокера и (или) дилера и включает в себя в том числе осуществление идентификации клиента по следующей информации:</w:t>
      </w:r>
    </w:p>
    <w:bookmarkEnd w:id="224"/>
    <w:bookmarkStart w:name="z258" w:id="225"/>
    <w:p>
      <w:pPr>
        <w:spacing w:after="0"/>
        <w:ind w:left="0"/>
        <w:jc w:val="both"/>
      </w:pPr>
      <w:r>
        <w:rPr>
          <w:rFonts w:ascii="Times New Roman"/>
          <w:b w:val="false"/>
          <w:i w:val="false"/>
          <w:color w:val="000000"/>
          <w:sz w:val="28"/>
        </w:rPr>
        <w:t>
      для физического лица: фамилия, имя, отчество (при его наличии), индивидуальный идентификационный номер и кодовое слово (в случае, если возможность использования кодового слова предусмотрена брокерским договором, заключенным с данным физическим лицом);</w:t>
      </w:r>
    </w:p>
    <w:bookmarkEnd w:id="225"/>
    <w:bookmarkStart w:name="z259" w:id="226"/>
    <w:p>
      <w:pPr>
        <w:spacing w:after="0"/>
        <w:ind w:left="0"/>
        <w:jc w:val="both"/>
      </w:pPr>
      <w:r>
        <w:rPr>
          <w:rFonts w:ascii="Times New Roman"/>
          <w:b w:val="false"/>
          <w:i w:val="false"/>
          <w:color w:val="000000"/>
          <w:sz w:val="28"/>
        </w:rPr>
        <w:t>
      для юридического лица: полное наименование юридического лица, бизнес-идентификационный номер (при его наличии), фамилия, имя отчество (при его наличии), должность представителя юридического лица, отдающего клиентский заказ.</w:t>
      </w:r>
    </w:p>
    <w:bookmarkEnd w:id="226"/>
    <w:bookmarkStart w:name="z260" w:id="227"/>
    <w:p>
      <w:pPr>
        <w:spacing w:after="0"/>
        <w:ind w:left="0"/>
        <w:jc w:val="both"/>
      </w:pPr>
      <w:r>
        <w:rPr>
          <w:rFonts w:ascii="Times New Roman"/>
          <w:b w:val="false"/>
          <w:i w:val="false"/>
          <w:color w:val="000000"/>
          <w:sz w:val="28"/>
        </w:rPr>
        <w:t>
      Брокер и (или) дилер определяет перечень лиц, имеющих доступ к информации, указанной в части четвертой настоящего пункта Правил, и ведет их учет в соответствии с внутренними документами.";</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262" w:id="228"/>
    <w:p>
      <w:pPr>
        <w:spacing w:after="0"/>
        <w:ind w:left="0"/>
        <w:jc w:val="both"/>
      </w:pPr>
      <w:r>
        <w:rPr>
          <w:rFonts w:ascii="Times New Roman"/>
          <w:b w:val="false"/>
          <w:i w:val="false"/>
          <w:color w:val="000000"/>
          <w:sz w:val="28"/>
        </w:rPr>
        <w:t>
      "40. Брокер и (или) дилер не принимает к исполнению клиентский заказ:</w:t>
      </w:r>
    </w:p>
    <w:bookmarkEnd w:id="228"/>
    <w:bookmarkStart w:name="z263" w:id="229"/>
    <w:p>
      <w:pPr>
        <w:spacing w:after="0"/>
        <w:ind w:left="0"/>
        <w:jc w:val="both"/>
      </w:pPr>
      <w:r>
        <w:rPr>
          <w:rFonts w:ascii="Times New Roman"/>
          <w:b w:val="false"/>
          <w:i w:val="false"/>
          <w:color w:val="000000"/>
          <w:sz w:val="28"/>
        </w:rPr>
        <w:t>
      1) при наличии противоречия содержания клиентского заказа законодательству Республики Казахстан о рынке ценных бумаг и брокерскому договору;</w:t>
      </w:r>
    </w:p>
    <w:bookmarkEnd w:id="229"/>
    <w:bookmarkStart w:name="z264" w:id="230"/>
    <w:p>
      <w:pPr>
        <w:spacing w:after="0"/>
        <w:ind w:left="0"/>
        <w:jc w:val="both"/>
      </w:pPr>
      <w:r>
        <w:rPr>
          <w:rFonts w:ascii="Times New Roman"/>
          <w:b w:val="false"/>
          <w:i w:val="false"/>
          <w:color w:val="000000"/>
          <w:sz w:val="28"/>
        </w:rPr>
        <w:t>
      2) если ценные бумаги, в отношении которых представлен клиентский заказ, обременены;</w:t>
      </w:r>
    </w:p>
    <w:bookmarkEnd w:id="230"/>
    <w:bookmarkStart w:name="z265" w:id="231"/>
    <w:p>
      <w:pPr>
        <w:spacing w:after="0"/>
        <w:ind w:left="0"/>
        <w:jc w:val="both"/>
      </w:pPr>
      <w:r>
        <w:rPr>
          <w:rFonts w:ascii="Times New Roman"/>
          <w:b w:val="false"/>
          <w:i w:val="false"/>
          <w:color w:val="000000"/>
          <w:sz w:val="28"/>
        </w:rPr>
        <w:t>
      3) при визуальном несоответствии образца подписи на клиентском заказе (на бумажном носителе) подписям, указанным в нотариально засвидетельствованном документе с образцами подписей (в том числе представителей юридического лица, обладающих правом подписывать клиентские заказы), или документе, удостоверяющем личность физического лица (в том числе его представителя), в случае, если клиентский заказ не был подписан клиентом в присутствии ответственного работника брокера и (или) дилера;</w:t>
      </w:r>
    </w:p>
    <w:bookmarkEnd w:id="231"/>
    <w:bookmarkStart w:name="z266" w:id="232"/>
    <w:p>
      <w:pPr>
        <w:spacing w:after="0"/>
        <w:ind w:left="0"/>
        <w:jc w:val="both"/>
      </w:pPr>
      <w:r>
        <w:rPr>
          <w:rFonts w:ascii="Times New Roman"/>
          <w:b w:val="false"/>
          <w:i w:val="false"/>
          <w:color w:val="000000"/>
          <w:sz w:val="28"/>
        </w:rPr>
        <w:t>
      4) в случае невозможности идентификации клиента в соответствии с Правилами, условиями и порядком, определенными брокерским договором и внутренними документами брокера и (или) дилера, при подаче клиентского заказа средствами телефонной связи;</w:t>
      </w:r>
    </w:p>
    <w:bookmarkEnd w:id="232"/>
    <w:bookmarkStart w:name="z267" w:id="233"/>
    <w:p>
      <w:pPr>
        <w:spacing w:after="0"/>
        <w:ind w:left="0"/>
        <w:jc w:val="both"/>
      </w:pPr>
      <w:r>
        <w:rPr>
          <w:rFonts w:ascii="Times New Roman"/>
          <w:b w:val="false"/>
          <w:i w:val="false"/>
          <w:color w:val="000000"/>
          <w:sz w:val="28"/>
        </w:rPr>
        <w:t>
      5) в иных случаях, предусмотренных брокерским договором и внутренними документами брокера и (или) дилера.</w:t>
      </w:r>
    </w:p>
    <w:bookmarkEnd w:id="233"/>
    <w:bookmarkStart w:name="z268" w:id="234"/>
    <w:p>
      <w:pPr>
        <w:spacing w:after="0"/>
        <w:ind w:left="0"/>
        <w:jc w:val="both"/>
      </w:pPr>
      <w:r>
        <w:rPr>
          <w:rFonts w:ascii="Times New Roman"/>
          <w:b w:val="false"/>
          <w:i w:val="false"/>
          <w:color w:val="000000"/>
          <w:sz w:val="28"/>
        </w:rPr>
        <w:t>
      В случае, указанном в подпункте 3) настоящего пункта Правил, а также в случае, если сумма сделки, предполагаемой к совершению в соответствии с клиентским заказом, который не был подписан в присутствии ответственного работника брокера и (или) дилера, составляет сумму, превышающую 2000 (двухтысячекратный) размер месячного расчетного показателя, установленный законом о республиканском бюджете на соответствующий финансовый год, - для клиента, являющегося физическим лицом, и 20000 (двадцатитысячекратный) размер месячного расчетного показателя, установленный законом о республиканском бюджете на соответствующий финансовый год, - для клиента, являющегося юридическим лицом, брокер и (или) дилер запрашивает клиента о подтверждении его намерения совершить действия, указанные в клиентском заказе, в порядке, предусмотренном внутренними документами брокера и (или) дилера.</w:t>
      </w:r>
    </w:p>
    <w:bookmarkEnd w:id="234"/>
    <w:bookmarkStart w:name="z269" w:id="235"/>
    <w:p>
      <w:pPr>
        <w:spacing w:after="0"/>
        <w:ind w:left="0"/>
        <w:jc w:val="both"/>
      </w:pPr>
      <w:r>
        <w:rPr>
          <w:rFonts w:ascii="Times New Roman"/>
          <w:b w:val="false"/>
          <w:i w:val="false"/>
          <w:color w:val="000000"/>
          <w:sz w:val="28"/>
        </w:rPr>
        <w:t>
      Основание для отказа в принятии клиентского заказа брокером и (или) дилером, установленное подпунктом 3) настоящего пункта, не распространяется на клиентские заказы, поданные в форме электронного документа или иной электронно-цифровой форме, в том числе с использованием систем SWIFT, Bloomberg, Reuters.";</w:t>
      </w:r>
    </w:p>
    <w:bookmarkEnd w:id="235"/>
    <w:bookmarkStart w:name="z270" w:id="236"/>
    <w:p>
      <w:pPr>
        <w:spacing w:after="0"/>
        <w:ind w:left="0"/>
        <w:jc w:val="both"/>
      </w:pPr>
      <w:r>
        <w:rPr>
          <w:rFonts w:ascii="Times New Roman"/>
          <w:b w:val="false"/>
          <w:i w:val="false"/>
          <w:color w:val="000000"/>
          <w:sz w:val="28"/>
        </w:rPr>
        <w:t>
      дополнить пунктом 45-2 следующего содержания:</w:t>
      </w:r>
    </w:p>
    <w:bookmarkEnd w:id="236"/>
    <w:bookmarkStart w:name="z271" w:id="237"/>
    <w:p>
      <w:pPr>
        <w:spacing w:after="0"/>
        <w:ind w:left="0"/>
        <w:jc w:val="both"/>
      </w:pPr>
      <w:r>
        <w:rPr>
          <w:rFonts w:ascii="Times New Roman"/>
          <w:b w:val="false"/>
          <w:i w:val="false"/>
          <w:color w:val="000000"/>
          <w:sz w:val="28"/>
        </w:rPr>
        <w:t>
      "45-2. Брокер и (или) дилер, не являющийся банком, не принимает наличные деньги от клиентов для зачисления на банковские счета, предназначенные для учета и хранения денег клиентов.";</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273" w:id="238"/>
    <w:p>
      <w:pPr>
        <w:spacing w:after="0"/>
        <w:ind w:left="0"/>
        <w:jc w:val="both"/>
      </w:pPr>
      <w:r>
        <w:rPr>
          <w:rFonts w:ascii="Times New Roman"/>
          <w:b w:val="false"/>
          <w:i w:val="false"/>
          <w:color w:val="000000"/>
          <w:sz w:val="28"/>
        </w:rPr>
        <w:t>
      "49. Брокеру и (или) дилеру разрешается заключение сделок с расчетным периодом до 5 (пяти) рабочих дней, при котором исполнение обязательств одной стороной сделки по поставке финансового инструмента или денег возможно с исполнением другой стороной сделки встречных обязательств по поставке денег или финансового инструмента в течение 4 (четырех) рабочих дней с даты заключения сделки. Расчеты по указанным сделкам осуществляются через центральный депозитарий или иностранные расчетные организации по принципу "поставка против платежа",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иных финансовых инструментов или с применением услуг центрального контрагента.";</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49-1</w:t>
      </w:r>
      <w:r>
        <w:rPr>
          <w:rFonts w:ascii="Times New Roman"/>
          <w:b w:val="false"/>
          <w:i w:val="false"/>
          <w:color w:val="000000"/>
          <w:sz w:val="28"/>
        </w:rPr>
        <w:t xml:space="preserve"> изложить в следующей редакции:</w:t>
      </w:r>
    </w:p>
    <w:bookmarkStart w:name="z275" w:id="239"/>
    <w:p>
      <w:pPr>
        <w:spacing w:after="0"/>
        <w:ind w:left="0"/>
        <w:jc w:val="both"/>
      </w:pPr>
      <w:r>
        <w:rPr>
          <w:rFonts w:ascii="Times New Roman"/>
          <w:b w:val="false"/>
          <w:i w:val="false"/>
          <w:color w:val="000000"/>
          <w:sz w:val="28"/>
        </w:rPr>
        <w:t>
      "49-1. Брокер и (или) дилер заключает сделки с ценными бумагами на организованном рынке ценных бумаг с расчетным периодом до 3 (трех) рабочих дней:</w:t>
      </w:r>
    </w:p>
    <w:bookmarkEnd w:id="239"/>
    <w:bookmarkStart w:name="z276" w:id="240"/>
    <w:p>
      <w:pPr>
        <w:spacing w:after="0"/>
        <w:ind w:left="0"/>
        <w:jc w:val="both"/>
      </w:pPr>
      <w:r>
        <w:rPr>
          <w:rFonts w:ascii="Times New Roman"/>
          <w:b w:val="false"/>
          <w:i w:val="false"/>
          <w:color w:val="000000"/>
          <w:sz w:val="28"/>
        </w:rPr>
        <w:t>
      1) по принципу "поставка против платежа";</w:t>
      </w:r>
    </w:p>
    <w:bookmarkEnd w:id="240"/>
    <w:bookmarkStart w:name="z277" w:id="241"/>
    <w:p>
      <w:pPr>
        <w:spacing w:after="0"/>
        <w:ind w:left="0"/>
        <w:jc w:val="both"/>
      </w:pPr>
      <w:r>
        <w:rPr>
          <w:rFonts w:ascii="Times New Roman"/>
          <w:b w:val="false"/>
          <w:i w:val="false"/>
          <w:color w:val="000000"/>
          <w:sz w:val="28"/>
        </w:rPr>
        <w:t>
      2) по принципам и методам, установленным внутренними правилами фондовой биржи, с применением услуг клиринговой организации и (или) центрального контрагента.";</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280" w:id="242"/>
    <w:p>
      <w:pPr>
        <w:spacing w:after="0"/>
        <w:ind w:left="0"/>
        <w:jc w:val="both"/>
      </w:pPr>
      <w:r>
        <w:rPr>
          <w:rFonts w:ascii="Times New Roman"/>
          <w:b w:val="false"/>
          <w:i w:val="false"/>
          <w:color w:val="000000"/>
          <w:sz w:val="28"/>
        </w:rPr>
        <w:t>
      "53. Операции "репо", а также операции, не являющиеся операциями "репо", предусматривающие обязательство обратного выкупа или продажи финансовых инструментов, являющихся предметом сделки, осуществляемые брокером и (или) дилером за счет собственных денег брокера и (или) дилера либо в соответствии с приказом клиента в рамках брокерского договора, совершаются на срок не более 90 (девяноста) календарных дней (с учетом продления первоначального срока указанных операций).";</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изложить в следующей редакции:</w:t>
      </w:r>
    </w:p>
    <w:bookmarkStart w:name="z282" w:id="243"/>
    <w:p>
      <w:pPr>
        <w:spacing w:after="0"/>
        <w:ind w:left="0"/>
        <w:jc w:val="both"/>
      </w:pPr>
      <w:r>
        <w:rPr>
          <w:rFonts w:ascii="Times New Roman"/>
          <w:b w:val="false"/>
          <w:i w:val="false"/>
          <w:color w:val="000000"/>
          <w:sz w:val="28"/>
        </w:rPr>
        <w:t>
      "54. Минимальная стоимость активов клиента, находящихся на счетах у брокера и (или) дилера, постоянно составляет не менее тридцати процентов от суммы всех операций открытия "репо", совершенных брокером и (или) дилером в торговой системе фондовой биржи "прямым" способом по поручению данного клиента, без учета ограничительного уровня маржи при наличии заключенных маржинальных сделок.</w:t>
      </w:r>
    </w:p>
    <w:bookmarkEnd w:id="243"/>
    <w:bookmarkStart w:name="z283" w:id="244"/>
    <w:p>
      <w:pPr>
        <w:spacing w:after="0"/>
        <w:ind w:left="0"/>
        <w:jc w:val="both"/>
      </w:pPr>
      <w:r>
        <w:rPr>
          <w:rFonts w:ascii="Times New Roman"/>
          <w:b w:val="false"/>
          <w:i w:val="false"/>
          <w:color w:val="000000"/>
          <w:sz w:val="28"/>
        </w:rPr>
        <w:t>
      В качестве активов клиента в настоящем пункте Правил признаются:</w:t>
      </w:r>
    </w:p>
    <w:bookmarkEnd w:id="244"/>
    <w:bookmarkStart w:name="z284" w:id="245"/>
    <w:p>
      <w:pPr>
        <w:spacing w:after="0"/>
        <w:ind w:left="0"/>
        <w:jc w:val="both"/>
      </w:pPr>
      <w:r>
        <w:rPr>
          <w:rFonts w:ascii="Times New Roman"/>
          <w:b w:val="false"/>
          <w:i w:val="false"/>
          <w:color w:val="000000"/>
          <w:sz w:val="28"/>
        </w:rPr>
        <w:t>
      деньги;</w:t>
      </w:r>
    </w:p>
    <w:bookmarkEnd w:id="245"/>
    <w:bookmarkStart w:name="z285" w:id="246"/>
    <w:p>
      <w:pPr>
        <w:spacing w:after="0"/>
        <w:ind w:left="0"/>
        <w:jc w:val="both"/>
      </w:pPr>
      <w:r>
        <w:rPr>
          <w:rFonts w:ascii="Times New Roman"/>
          <w:b w:val="false"/>
          <w:i w:val="false"/>
          <w:color w:val="000000"/>
          <w:sz w:val="28"/>
        </w:rPr>
        <w:t>
      вклады в банках второго уровня Республики Казахстан;</w:t>
      </w:r>
    </w:p>
    <w:bookmarkEnd w:id="246"/>
    <w:bookmarkStart w:name="z286" w:id="247"/>
    <w:p>
      <w:pPr>
        <w:spacing w:after="0"/>
        <w:ind w:left="0"/>
        <w:jc w:val="both"/>
      </w:pPr>
      <w:r>
        <w:rPr>
          <w:rFonts w:ascii="Times New Roman"/>
          <w:b w:val="false"/>
          <w:i w:val="false"/>
          <w:color w:val="000000"/>
          <w:sz w:val="28"/>
        </w:rPr>
        <w:t>
      государственные ценные бумаги Республики Казахстан;</w:t>
      </w:r>
    </w:p>
    <w:bookmarkEnd w:id="247"/>
    <w:bookmarkStart w:name="z287" w:id="248"/>
    <w:p>
      <w:pPr>
        <w:spacing w:after="0"/>
        <w:ind w:left="0"/>
        <w:jc w:val="both"/>
      </w:pPr>
      <w:r>
        <w:rPr>
          <w:rFonts w:ascii="Times New Roman"/>
          <w:b w:val="false"/>
          <w:i w:val="false"/>
          <w:color w:val="000000"/>
          <w:sz w:val="28"/>
        </w:rPr>
        <w:t>
      ценные бумаги, имеющие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w:t>
      </w:r>
    </w:p>
    <w:bookmarkEnd w:id="248"/>
    <w:bookmarkStart w:name="z288" w:id="249"/>
    <w:p>
      <w:pPr>
        <w:spacing w:after="0"/>
        <w:ind w:left="0"/>
        <w:jc w:val="both"/>
      </w:pPr>
      <w:r>
        <w:rPr>
          <w:rFonts w:ascii="Times New Roman"/>
          <w:b w:val="false"/>
          <w:i w:val="false"/>
          <w:color w:val="000000"/>
          <w:sz w:val="28"/>
        </w:rPr>
        <w:t>
      Требования настоящего пункта не распространяются на операции "репо", совершенные брокером и (или) дилером в торговой системе фондовой биржи "прямым" способом с применением услуг центрального контрагента.</w:t>
      </w:r>
    </w:p>
    <w:bookmarkEnd w:id="249"/>
    <w:bookmarkStart w:name="z289" w:id="250"/>
    <w:p>
      <w:pPr>
        <w:spacing w:after="0"/>
        <w:ind w:left="0"/>
        <w:jc w:val="both"/>
      </w:pPr>
      <w:r>
        <w:rPr>
          <w:rFonts w:ascii="Times New Roman"/>
          <w:b w:val="false"/>
          <w:i w:val="false"/>
          <w:color w:val="000000"/>
          <w:sz w:val="28"/>
        </w:rPr>
        <w:t>
      55. Брокер и (или) дилер не заключает сделку (не подает заявку на заключение сделки) с ценными бумагами, расчеты по которой осуществляются по принципу "поставка против платежа" (исполнение обязательств одной стороной сделки по поставке финансового инструмента или денег возможно с исполнением другой стороной сделки встречных обязательств по поставке денег или финансового инструмента), при отсутствии необходимого количества ценных бумаг или денег на соответствующем счете брокера и (или) дилера или его клиента, по поручению которого планируется заключение сделки.</w:t>
      </w:r>
    </w:p>
    <w:bookmarkEnd w:id="250"/>
    <w:bookmarkStart w:name="z290" w:id="251"/>
    <w:p>
      <w:pPr>
        <w:spacing w:after="0"/>
        <w:ind w:left="0"/>
        <w:jc w:val="both"/>
      </w:pPr>
      <w:r>
        <w:rPr>
          <w:rFonts w:ascii="Times New Roman"/>
          <w:b w:val="false"/>
          <w:i w:val="false"/>
          <w:color w:val="000000"/>
          <w:sz w:val="28"/>
        </w:rPr>
        <w:t>
      Действие части первой настоящего пункта не распространяется на сделки, заключаемые с использованием услуг центрального контрагента и (или) заключаемые по поручению, за счет и в интересах клиента, при соответствии значения показателя, характеризующего риск на данного клиента требованиям постановления № 214, а также на сделки с ценными бумагами, заключенные банками второго уровня.</w:t>
      </w:r>
    </w:p>
    <w:bookmarkEnd w:id="251"/>
    <w:bookmarkStart w:name="z291" w:id="252"/>
    <w:p>
      <w:pPr>
        <w:spacing w:after="0"/>
        <w:ind w:left="0"/>
        <w:jc w:val="both"/>
      </w:pPr>
      <w:r>
        <w:rPr>
          <w:rFonts w:ascii="Times New Roman"/>
          <w:b w:val="false"/>
          <w:i w:val="false"/>
          <w:color w:val="000000"/>
          <w:sz w:val="28"/>
        </w:rPr>
        <w:t>
      Допускается заключение сделки с ценными бумагами, расчет по которой осуществляется после даты заключения сделки, при отсутствии на момент заключения сделки необходимого количества ценных бумаг или денег на соответствующем счете брокера и (или) дилера или его клиента, по поручению которого планируется заключение сделки, если ценные бумаги или деньги, являющиеся объектом сделки, будут зачислены на счет брокера и (или) дилера или его клиента на основании ранее заключенной сделки до момента проведения расчетов.</w:t>
      </w:r>
    </w:p>
    <w:bookmarkEnd w:id="252"/>
    <w:bookmarkStart w:name="z292" w:id="253"/>
    <w:p>
      <w:pPr>
        <w:spacing w:after="0"/>
        <w:ind w:left="0"/>
        <w:jc w:val="both"/>
      </w:pPr>
      <w:r>
        <w:rPr>
          <w:rFonts w:ascii="Times New Roman"/>
          <w:b w:val="false"/>
          <w:i w:val="false"/>
          <w:color w:val="000000"/>
          <w:sz w:val="28"/>
        </w:rPr>
        <w:t>
      56. Брокер и (или) дилер заключает на международных (иностранных) рынках ценных бумаг сделки по купле-продаже финансовых инструментов казахстанских и иностранных эмитентов при условии, что расчеты по сделкам с данными финансовыми инструментами осуществляются через иностранные расчетные организации по принципу "поставка против платежа",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иных финансовых инструментов или с применением услуг центрального контрагента.";</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63-1</w:t>
      </w:r>
      <w:r>
        <w:rPr>
          <w:rFonts w:ascii="Times New Roman"/>
          <w:b w:val="false"/>
          <w:i w:val="false"/>
          <w:color w:val="000000"/>
          <w:sz w:val="28"/>
        </w:rPr>
        <w:t xml:space="preserve"> изложить в следующей редакции:</w:t>
      </w:r>
    </w:p>
    <w:bookmarkStart w:name="z295" w:id="254"/>
    <w:p>
      <w:pPr>
        <w:spacing w:after="0"/>
        <w:ind w:left="0"/>
        <w:jc w:val="both"/>
      </w:pPr>
      <w:r>
        <w:rPr>
          <w:rFonts w:ascii="Times New Roman"/>
          <w:b w:val="false"/>
          <w:i w:val="false"/>
          <w:color w:val="000000"/>
          <w:sz w:val="28"/>
        </w:rPr>
        <w:t>
      "63-1. Брокер и (или) дилер при наличии лицензии уполномоченного органа на обменные операции с иностранной валютой (в части обменных операций с безналичной иностранной валютой) для целей законодательства Республики Казахстан о валютном регулировании и валютном контроле признается уполномоченным банком, выполняющим функции агента валютного контроля.</w:t>
      </w:r>
    </w:p>
    <w:bookmarkEnd w:id="254"/>
    <w:bookmarkStart w:name="z296" w:id="255"/>
    <w:p>
      <w:pPr>
        <w:spacing w:after="0"/>
        <w:ind w:left="0"/>
        <w:jc w:val="both"/>
      </w:pPr>
      <w:r>
        <w:rPr>
          <w:rFonts w:ascii="Times New Roman"/>
          <w:b w:val="false"/>
          <w:i w:val="false"/>
          <w:color w:val="000000"/>
          <w:sz w:val="28"/>
        </w:rPr>
        <w:t>
      Брокер и (или) дилер, признаваемый в качестве уполномоченного банка, выполняющего функции агента валютного контроля, совершает сделки по покупке или продаже иностранной валюты (в том числе сделки, относящиеся к операциям валютного свопа согласно внутренним документам фондовой биржи) только в безналичной форме:</w:t>
      </w:r>
    </w:p>
    <w:bookmarkEnd w:id="255"/>
    <w:bookmarkStart w:name="z297" w:id="256"/>
    <w:p>
      <w:pPr>
        <w:spacing w:after="0"/>
        <w:ind w:left="0"/>
        <w:jc w:val="both"/>
      </w:pPr>
      <w:r>
        <w:rPr>
          <w:rFonts w:ascii="Times New Roman"/>
          <w:b w:val="false"/>
          <w:i w:val="false"/>
          <w:color w:val="000000"/>
          <w:sz w:val="28"/>
        </w:rPr>
        <w:t>
      1) за счет собственных активов;</w:t>
      </w:r>
    </w:p>
    <w:bookmarkEnd w:id="256"/>
    <w:bookmarkStart w:name="z298" w:id="257"/>
    <w:p>
      <w:pPr>
        <w:spacing w:after="0"/>
        <w:ind w:left="0"/>
        <w:jc w:val="both"/>
      </w:pPr>
      <w:r>
        <w:rPr>
          <w:rFonts w:ascii="Times New Roman"/>
          <w:b w:val="false"/>
          <w:i w:val="false"/>
          <w:color w:val="000000"/>
          <w:sz w:val="28"/>
        </w:rPr>
        <w:t>
      2) за счет активов и по поручению своих клиентов;</w:t>
      </w:r>
    </w:p>
    <w:bookmarkEnd w:id="257"/>
    <w:bookmarkStart w:name="z299" w:id="258"/>
    <w:p>
      <w:pPr>
        <w:spacing w:after="0"/>
        <w:ind w:left="0"/>
        <w:jc w:val="both"/>
      </w:pPr>
      <w:r>
        <w:rPr>
          <w:rFonts w:ascii="Times New Roman"/>
          <w:b w:val="false"/>
          <w:i w:val="false"/>
          <w:color w:val="000000"/>
          <w:sz w:val="28"/>
        </w:rPr>
        <w:t>
      3) за счет активов, находящихся в управлении (при совмещении брокерской и (или) дилерской деятельности с деятельностью по управлению инвестиционным портфелем).";</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63-7</w:t>
      </w:r>
      <w:r>
        <w:rPr>
          <w:rFonts w:ascii="Times New Roman"/>
          <w:b w:val="false"/>
          <w:i w:val="false"/>
          <w:color w:val="000000"/>
          <w:sz w:val="28"/>
        </w:rPr>
        <w:t xml:space="preserve"> изложить в следующей редакции:</w:t>
      </w:r>
    </w:p>
    <w:bookmarkStart w:name="z301" w:id="259"/>
    <w:p>
      <w:pPr>
        <w:spacing w:after="0"/>
        <w:ind w:left="0"/>
        <w:jc w:val="both"/>
      </w:pPr>
      <w:r>
        <w:rPr>
          <w:rFonts w:ascii="Times New Roman"/>
          <w:b w:val="false"/>
          <w:i w:val="false"/>
          <w:color w:val="000000"/>
          <w:sz w:val="28"/>
        </w:rPr>
        <w:t>
      "63-7. Брокер и (или) дилер осуществляет следующие банковские операции на основании соответствующей лицензии уполномоченного органа на осуществление отдельных видов банковских операций:</w:t>
      </w:r>
    </w:p>
    <w:bookmarkEnd w:id="259"/>
    <w:bookmarkStart w:name="z302" w:id="260"/>
    <w:p>
      <w:pPr>
        <w:spacing w:after="0"/>
        <w:ind w:left="0"/>
        <w:jc w:val="both"/>
      </w:pPr>
      <w:r>
        <w:rPr>
          <w:rFonts w:ascii="Times New Roman"/>
          <w:b w:val="false"/>
          <w:i w:val="false"/>
          <w:color w:val="000000"/>
          <w:sz w:val="28"/>
        </w:rPr>
        <w:t>
      1) открытие и ведение банковских счетов юридических лиц;</w:t>
      </w:r>
    </w:p>
    <w:bookmarkEnd w:id="260"/>
    <w:bookmarkStart w:name="z303" w:id="261"/>
    <w:p>
      <w:pPr>
        <w:spacing w:after="0"/>
        <w:ind w:left="0"/>
        <w:jc w:val="both"/>
      </w:pPr>
      <w:r>
        <w:rPr>
          <w:rFonts w:ascii="Times New Roman"/>
          <w:b w:val="false"/>
          <w:i w:val="false"/>
          <w:color w:val="000000"/>
          <w:sz w:val="28"/>
        </w:rPr>
        <w:t>
      2) открытие и ведение банковских счетов физических лиц;</w:t>
      </w:r>
    </w:p>
    <w:bookmarkEnd w:id="261"/>
    <w:bookmarkStart w:name="z304" w:id="262"/>
    <w:p>
      <w:pPr>
        <w:spacing w:after="0"/>
        <w:ind w:left="0"/>
        <w:jc w:val="both"/>
      </w:pPr>
      <w:r>
        <w:rPr>
          <w:rFonts w:ascii="Times New Roman"/>
          <w:b w:val="false"/>
          <w:i w:val="false"/>
          <w:color w:val="000000"/>
          <w:sz w:val="28"/>
        </w:rPr>
        <w:t>
      3) переводные операции: выполнение поручений физических и юридических лиц по платежам и переводам денег;</w:t>
      </w:r>
    </w:p>
    <w:bookmarkEnd w:id="262"/>
    <w:bookmarkStart w:name="z305" w:id="263"/>
    <w:p>
      <w:pPr>
        <w:spacing w:after="0"/>
        <w:ind w:left="0"/>
        <w:jc w:val="both"/>
      </w:pPr>
      <w:r>
        <w:rPr>
          <w:rFonts w:ascii="Times New Roman"/>
          <w:b w:val="false"/>
          <w:i w:val="false"/>
          <w:color w:val="000000"/>
          <w:sz w:val="28"/>
        </w:rPr>
        <w:t>
      4) банковские заемные операции на условиях платности, срочности и возвратности;</w:t>
      </w:r>
    </w:p>
    <w:bookmarkEnd w:id="263"/>
    <w:bookmarkStart w:name="z306" w:id="264"/>
    <w:p>
      <w:pPr>
        <w:spacing w:after="0"/>
        <w:ind w:left="0"/>
        <w:jc w:val="both"/>
      </w:pPr>
      <w:r>
        <w:rPr>
          <w:rFonts w:ascii="Times New Roman"/>
          <w:b w:val="false"/>
          <w:i w:val="false"/>
          <w:color w:val="000000"/>
          <w:sz w:val="28"/>
        </w:rPr>
        <w:t>
      5) обменные операции с иностранной валютой, за исключением обменных операций с наличной иностранной валютой.";</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63-8</w:t>
      </w:r>
      <w:r>
        <w:rPr>
          <w:rFonts w:ascii="Times New Roman"/>
          <w:b w:val="false"/>
          <w:i w:val="false"/>
          <w:color w:val="000000"/>
          <w:sz w:val="28"/>
        </w:rPr>
        <w:t xml:space="preserve"> изложить в следующей редакции:</w:t>
      </w:r>
    </w:p>
    <w:bookmarkStart w:name="z308" w:id="265"/>
    <w:p>
      <w:pPr>
        <w:spacing w:after="0"/>
        <w:ind w:left="0"/>
        <w:jc w:val="both"/>
      </w:pPr>
      <w:r>
        <w:rPr>
          <w:rFonts w:ascii="Times New Roman"/>
          <w:b w:val="false"/>
          <w:i w:val="false"/>
          <w:color w:val="000000"/>
          <w:sz w:val="28"/>
        </w:rPr>
        <w:t>
      "63-8. Клиентам - физическим лицам, признанным квалифицированными инвесторами, брокер и (или) дилер первой категории при наличии соответствующей лицензии уполномоченного органа предоставляет займы на условиях платности, срочности и возвратности исключительно в целях покупки ценных бумаг и иных финансовых инструментов, предусмотренных пунктом 63-9 Правил.</w:t>
      </w:r>
    </w:p>
    <w:bookmarkEnd w:id="265"/>
    <w:bookmarkStart w:name="z309" w:id="266"/>
    <w:p>
      <w:pPr>
        <w:spacing w:after="0"/>
        <w:ind w:left="0"/>
        <w:jc w:val="both"/>
      </w:pPr>
      <w:r>
        <w:rPr>
          <w:rFonts w:ascii="Times New Roman"/>
          <w:b w:val="false"/>
          <w:i w:val="false"/>
          <w:color w:val="000000"/>
          <w:sz w:val="28"/>
        </w:rPr>
        <w:t>
      При этом займы, указанные в настоящем пункте, предоставляются на сумму не более десяти миллионов тенге в отношении каждого клиента - физического лица, являющегося квалифицированным инвестором.</w:t>
      </w:r>
    </w:p>
    <w:bookmarkEnd w:id="266"/>
    <w:bookmarkStart w:name="z310" w:id="267"/>
    <w:p>
      <w:pPr>
        <w:spacing w:after="0"/>
        <w:ind w:left="0"/>
        <w:jc w:val="both"/>
      </w:pPr>
      <w:r>
        <w:rPr>
          <w:rFonts w:ascii="Times New Roman"/>
          <w:b w:val="false"/>
          <w:i w:val="false"/>
          <w:color w:val="000000"/>
          <w:sz w:val="28"/>
        </w:rPr>
        <w:t>
      Требования настоящего пункта не распространяются на случаи совершения маржинальных сделок, предусмотренных Главой 6 Правил.";</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313" w:id="268"/>
    <w:p>
      <w:pPr>
        <w:spacing w:after="0"/>
        <w:ind w:left="0"/>
        <w:jc w:val="both"/>
      </w:pPr>
      <w:r>
        <w:rPr>
          <w:rFonts w:ascii="Times New Roman"/>
          <w:b w:val="false"/>
          <w:i w:val="false"/>
          <w:color w:val="000000"/>
          <w:sz w:val="28"/>
        </w:rPr>
        <w:t>
      "67. Брокер и (или) дилер осуществляет в порядке, установленном внутренними документами данного брокера и (или) дилера, достоверный и актуальный (в день возникновения оснований для изменения данных учета) учет путем ведения журналов учета:</w:t>
      </w:r>
    </w:p>
    <w:bookmarkEnd w:id="268"/>
    <w:bookmarkStart w:name="z314" w:id="269"/>
    <w:p>
      <w:pPr>
        <w:spacing w:after="0"/>
        <w:ind w:left="0"/>
        <w:jc w:val="both"/>
      </w:pPr>
      <w:r>
        <w:rPr>
          <w:rFonts w:ascii="Times New Roman"/>
          <w:b w:val="false"/>
          <w:i w:val="false"/>
          <w:color w:val="000000"/>
          <w:sz w:val="28"/>
        </w:rPr>
        <w:t>
      1) клиентских заказов и их исполнения (неисполнения);</w:t>
      </w:r>
    </w:p>
    <w:bookmarkEnd w:id="269"/>
    <w:bookmarkStart w:name="z315" w:id="270"/>
    <w:p>
      <w:pPr>
        <w:spacing w:after="0"/>
        <w:ind w:left="0"/>
        <w:jc w:val="both"/>
      </w:pPr>
      <w:r>
        <w:rPr>
          <w:rFonts w:ascii="Times New Roman"/>
          <w:b w:val="false"/>
          <w:i w:val="false"/>
          <w:color w:val="000000"/>
          <w:sz w:val="28"/>
        </w:rPr>
        <w:t>
      2) заключенных сделок с финансовыми инструментами и их исполнения (неисполнения);</w:t>
      </w:r>
    </w:p>
    <w:bookmarkEnd w:id="270"/>
    <w:bookmarkStart w:name="z316" w:id="271"/>
    <w:p>
      <w:pPr>
        <w:spacing w:after="0"/>
        <w:ind w:left="0"/>
        <w:jc w:val="both"/>
      </w:pPr>
      <w:r>
        <w:rPr>
          <w:rFonts w:ascii="Times New Roman"/>
          <w:b w:val="false"/>
          <w:i w:val="false"/>
          <w:color w:val="000000"/>
          <w:sz w:val="28"/>
        </w:rPr>
        <w:t>
      3) финансовых инструментов на лицевых счетах и изменения их количества;</w:t>
      </w:r>
    </w:p>
    <w:bookmarkEnd w:id="271"/>
    <w:bookmarkStart w:name="z317" w:id="272"/>
    <w:p>
      <w:pPr>
        <w:spacing w:after="0"/>
        <w:ind w:left="0"/>
        <w:jc w:val="both"/>
      </w:pPr>
      <w:r>
        <w:rPr>
          <w:rFonts w:ascii="Times New Roman"/>
          <w:b w:val="false"/>
          <w:i w:val="false"/>
          <w:color w:val="000000"/>
          <w:sz w:val="28"/>
        </w:rPr>
        <w:t>
      4) денег на лицевых счетах и изменения их количества;</w:t>
      </w:r>
    </w:p>
    <w:bookmarkEnd w:id="272"/>
    <w:bookmarkStart w:name="z318" w:id="273"/>
    <w:p>
      <w:pPr>
        <w:spacing w:after="0"/>
        <w:ind w:left="0"/>
        <w:jc w:val="both"/>
      </w:pPr>
      <w:r>
        <w:rPr>
          <w:rFonts w:ascii="Times New Roman"/>
          <w:b w:val="false"/>
          <w:i w:val="false"/>
          <w:color w:val="000000"/>
          <w:sz w:val="28"/>
        </w:rPr>
        <w:t>
      5) поступлений и распределений доходов по финансовым инструментам;</w:t>
      </w:r>
    </w:p>
    <w:bookmarkEnd w:id="273"/>
    <w:bookmarkStart w:name="z319" w:id="274"/>
    <w:p>
      <w:pPr>
        <w:spacing w:after="0"/>
        <w:ind w:left="0"/>
        <w:jc w:val="both"/>
      </w:pPr>
      <w:r>
        <w:rPr>
          <w:rFonts w:ascii="Times New Roman"/>
          <w:b w:val="false"/>
          <w:i w:val="false"/>
          <w:color w:val="000000"/>
          <w:sz w:val="28"/>
        </w:rPr>
        <w:t>
      6) претензий клиентов и мерах по их удовлетворению;</w:t>
      </w:r>
    </w:p>
    <w:bookmarkEnd w:id="274"/>
    <w:bookmarkStart w:name="z320" w:id="275"/>
    <w:p>
      <w:pPr>
        <w:spacing w:after="0"/>
        <w:ind w:left="0"/>
        <w:jc w:val="both"/>
      </w:pPr>
      <w:r>
        <w:rPr>
          <w:rFonts w:ascii="Times New Roman"/>
          <w:b w:val="false"/>
          <w:i w:val="false"/>
          <w:color w:val="000000"/>
          <w:sz w:val="28"/>
        </w:rPr>
        <w:t>
      7) предоставляемых клиентам отчетов об исполнении клиентских заказов;</w:t>
      </w:r>
    </w:p>
    <w:bookmarkEnd w:id="275"/>
    <w:bookmarkStart w:name="z321" w:id="276"/>
    <w:p>
      <w:pPr>
        <w:spacing w:after="0"/>
        <w:ind w:left="0"/>
        <w:jc w:val="both"/>
      </w:pPr>
      <w:r>
        <w:rPr>
          <w:rFonts w:ascii="Times New Roman"/>
          <w:b w:val="false"/>
          <w:i w:val="false"/>
          <w:color w:val="000000"/>
          <w:sz w:val="28"/>
        </w:rPr>
        <w:t>
      8) заключенных брокерских договоров и договоров номинального держания;</w:t>
      </w:r>
    </w:p>
    <w:bookmarkEnd w:id="276"/>
    <w:bookmarkStart w:name="z322" w:id="277"/>
    <w:p>
      <w:pPr>
        <w:spacing w:after="0"/>
        <w:ind w:left="0"/>
        <w:jc w:val="both"/>
      </w:pPr>
      <w:r>
        <w:rPr>
          <w:rFonts w:ascii="Times New Roman"/>
          <w:b w:val="false"/>
          <w:i w:val="false"/>
          <w:color w:val="000000"/>
          <w:sz w:val="28"/>
        </w:rPr>
        <w:t>
      9) инвестиционных решений, принятых в отношении сделок, заключенных за счет собственных активов брокера и (или) дилера;</w:t>
      </w:r>
    </w:p>
    <w:bookmarkEnd w:id="277"/>
    <w:bookmarkStart w:name="z323" w:id="278"/>
    <w:p>
      <w:pPr>
        <w:spacing w:after="0"/>
        <w:ind w:left="0"/>
        <w:jc w:val="both"/>
      </w:pPr>
      <w:r>
        <w:rPr>
          <w:rFonts w:ascii="Times New Roman"/>
          <w:b w:val="false"/>
          <w:i w:val="false"/>
          <w:color w:val="000000"/>
          <w:sz w:val="28"/>
        </w:rPr>
        <w:t>
      10) приказов и (или) поручений на совершение сделок с финансовыми инструментами, переданных другому брокеру и (или) дилеру;</w:t>
      </w:r>
    </w:p>
    <w:bookmarkEnd w:id="278"/>
    <w:bookmarkStart w:name="z324" w:id="279"/>
    <w:p>
      <w:pPr>
        <w:spacing w:after="0"/>
        <w:ind w:left="0"/>
        <w:jc w:val="both"/>
      </w:pPr>
      <w:r>
        <w:rPr>
          <w:rFonts w:ascii="Times New Roman"/>
          <w:b w:val="false"/>
          <w:i w:val="false"/>
          <w:color w:val="000000"/>
          <w:sz w:val="28"/>
        </w:rPr>
        <w:t>
      11) доверенностей, выданных клиентами брокеру и (или) дилеру, и (или) его работнику (работникам) на совершение сделок с финансовыми инструментами за счет и в интересах таких клиентов;</w:t>
      </w:r>
    </w:p>
    <w:bookmarkEnd w:id="279"/>
    <w:bookmarkStart w:name="z325" w:id="280"/>
    <w:p>
      <w:pPr>
        <w:spacing w:after="0"/>
        <w:ind w:left="0"/>
        <w:jc w:val="both"/>
      </w:pPr>
      <w:r>
        <w:rPr>
          <w:rFonts w:ascii="Times New Roman"/>
          <w:b w:val="false"/>
          <w:i w:val="false"/>
          <w:color w:val="000000"/>
          <w:sz w:val="28"/>
        </w:rPr>
        <w:t>
      12) валютных договоров.</w:t>
      </w:r>
    </w:p>
    <w:bookmarkEnd w:id="280"/>
    <w:bookmarkStart w:name="z326" w:id="281"/>
    <w:p>
      <w:pPr>
        <w:spacing w:after="0"/>
        <w:ind w:left="0"/>
        <w:jc w:val="both"/>
      </w:pPr>
      <w:r>
        <w:rPr>
          <w:rFonts w:ascii="Times New Roman"/>
          <w:b w:val="false"/>
          <w:i w:val="false"/>
          <w:color w:val="000000"/>
          <w:sz w:val="28"/>
        </w:rPr>
        <w:t>
      Ведение журнала, указанного в подпункте 12) настоящего пункта, осуществляется брокером и (или) дилером при наличии лицензии уполномоченного органа на обменные операции с иностранной валютой.</w:t>
      </w:r>
    </w:p>
    <w:bookmarkEnd w:id="281"/>
    <w:bookmarkStart w:name="z327" w:id="282"/>
    <w:p>
      <w:pPr>
        <w:spacing w:after="0"/>
        <w:ind w:left="0"/>
        <w:jc w:val="both"/>
      </w:pPr>
      <w:r>
        <w:rPr>
          <w:rFonts w:ascii="Times New Roman"/>
          <w:b w:val="false"/>
          <w:i w:val="false"/>
          <w:color w:val="000000"/>
          <w:sz w:val="28"/>
        </w:rPr>
        <w:t>
      Допускается ведение журналов, перечисленных в настоящем пункте в форме электронного документа.";</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329" w:id="283"/>
    <w:p>
      <w:pPr>
        <w:spacing w:after="0"/>
        <w:ind w:left="0"/>
        <w:jc w:val="both"/>
      </w:pPr>
      <w:r>
        <w:rPr>
          <w:rFonts w:ascii="Times New Roman"/>
          <w:b w:val="false"/>
          <w:i w:val="false"/>
          <w:color w:val="000000"/>
          <w:sz w:val="28"/>
        </w:rPr>
        <w:t>
      "69. Брокер и (или) дилер, заключая сделки на международных (иностранных) рынках, обеспечивает хранение документов об исполнении заключенной сделки, а также подтверждающих максимальное и минимальное значения цен по данному финансовому инструменту, сложившиеся в день заключения сделки на международных (иностранных) рынках, и параметры рыночных котировок по данным ценным бумагам на дату и время заключения сделки.</w:t>
      </w:r>
    </w:p>
    <w:bookmarkEnd w:id="283"/>
    <w:bookmarkStart w:name="z330" w:id="284"/>
    <w:p>
      <w:pPr>
        <w:spacing w:after="0"/>
        <w:ind w:left="0"/>
        <w:jc w:val="both"/>
      </w:pPr>
      <w:r>
        <w:rPr>
          <w:rFonts w:ascii="Times New Roman"/>
          <w:b w:val="false"/>
          <w:i w:val="false"/>
          <w:color w:val="000000"/>
          <w:sz w:val="28"/>
        </w:rPr>
        <w:t>
      В качестве документа, подтверждающего рыночные котировки по финансовым инструментам, признается информация с информационно-аналитических систем Bloomberg или Reuters либо, в случае отсутствия таких котировок, предложения контрпартнеров, полученные посредством почтовой, электронной или факсимильной связи.";</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332" w:id="285"/>
    <w:p>
      <w:pPr>
        <w:spacing w:after="0"/>
        <w:ind w:left="0"/>
        <w:jc w:val="both"/>
      </w:pPr>
      <w:r>
        <w:rPr>
          <w:rFonts w:ascii="Times New Roman"/>
          <w:b w:val="false"/>
          <w:i w:val="false"/>
          <w:color w:val="000000"/>
          <w:sz w:val="28"/>
        </w:rPr>
        <w:t>
      "70. Если это предусмотрено брокерским договором и (или) внутренним документом брокера и (или) дилера, брокер и (или) дилер первой категории совершает на основании поручений клиентов сделки купли-продажи ценных бумаг или безналичной иностранной валюты, расчет по которым производится брокером и (или) дилером с использованием денег или ценных бумаг, предоставленных брокером и (или) дилером клиенту на условиях возвратности и платности (далее - маржинальные сделки).</w:t>
      </w:r>
    </w:p>
    <w:bookmarkEnd w:id="285"/>
    <w:bookmarkStart w:name="z333" w:id="286"/>
    <w:p>
      <w:pPr>
        <w:spacing w:after="0"/>
        <w:ind w:left="0"/>
        <w:jc w:val="both"/>
      </w:pPr>
      <w:r>
        <w:rPr>
          <w:rFonts w:ascii="Times New Roman"/>
          <w:b w:val="false"/>
          <w:i w:val="false"/>
          <w:color w:val="000000"/>
          <w:sz w:val="28"/>
        </w:rPr>
        <w:t>
      При этом брокерский договор содержит условия и порядок исполнения обязательств по возврату указанных денег, иностранной валюты или ценных бумаг, ответственность сторон, а также условия совершения маржинальных сделок.</w:t>
      </w:r>
    </w:p>
    <w:bookmarkEnd w:id="286"/>
    <w:bookmarkStart w:name="z334" w:id="287"/>
    <w:p>
      <w:pPr>
        <w:spacing w:after="0"/>
        <w:ind w:left="0"/>
        <w:jc w:val="both"/>
      </w:pPr>
      <w:r>
        <w:rPr>
          <w:rFonts w:ascii="Times New Roman"/>
          <w:b w:val="false"/>
          <w:i w:val="false"/>
          <w:color w:val="000000"/>
          <w:sz w:val="28"/>
        </w:rPr>
        <w:t>
      Клиентский заказ на совершение маржинальной сделки содержит, помимо сведений, указанных в пункте 36 Правил:</w:t>
      </w:r>
    </w:p>
    <w:bookmarkEnd w:id="287"/>
    <w:bookmarkStart w:name="z335" w:id="288"/>
    <w:p>
      <w:pPr>
        <w:spacing w:after="0"/>
        <w:ind w:left="0"/>
        <w:jc w:val="both"/>
      </w:pPr>
      <w:r>
        <w:rPr>
          <w:rFonts w:ascii="Times New Roman"/>
          <w:b w:val="false"/>
          <w:i w:val="false"/>
          <w:color w:val="000000"/>
          <w:sz w:val="28"/>
        </w:rPr>
        <w:t>
      срок предоставления брокером и (или) дилером денег, иностранной валюты или ценных бумаг клиенту;</w:t>
      </w:r>
    </w:p>
    <w:bookmarkEnd w:id="288"/>
    <w:bookmarkStart w:name="z336" w:id="289"/>
    <w:p>
      <w:pPr>
        <w:spacing w:after="0"/>
        <w:ind w:left="0"/>
        <w:jc w:val="both"/>
      </w:pPr>
      <w:r>
        <w:rPr>
          <w:rFonts w:ascii="Times New Roman"/>
          <w:b w:val="false"/>
          <w:i w:val="false"/>
          <w:color w:val="000000"/>
          <w:sz w:val="28"/>
        </w:rPr>
        <w:t>
      сумму денег или иностранной валюты или количество ценных бумаг, предоставляемых брокером и (или) дилером клиенту для совершения маржинальной сделки;</w:t>
      </w:r>
    </w:p>
    <w:bookmarkEnd w:id="289"/>
    <w:bookmarkStart w:name="z337" w:id="290"/>
    <w:p>
      <w:pPr>
        <w:spacing w:after="0"/>
        <w:ind w:left="0"/>
        <w:jc w:val="both"/>
      </w:pPr>
      <w:r>
        <w:rPr>
          <w:rFonts w:ascii="Times New Roman"/>
          <w:b w:val="false"/>
          <w:i w:val="false"/>
          <w:color w:val="000000"/>
          <w:sz w:val="28"/>
        </w:rPr>
        <w:t>
      сумму денег или иностранной валюты или количество ценных бумаг, предоставляемых клиентом в обеспечение исполнения своих обязательств перед брокером и (или) дилером, либо указание на то, что в качестве данного обеспечения клиентом предоставляются активы, учитываемые на лицевом счете клиента, открытом в системе учета номинального держания брокера и (или) дилера, и (или) на банковских счетах, предназначенных для учета и хранения денег клиентов;</w:t>
      </w:r>
    </w:p>
    <w:bookmarkEnd w:id="290"/>
    <w:bookmarkStart w:name="z338" w:id="291"/>
    <w:p>
      <w:pPr>
        <w:spacing w:after="0"/>
        <w:ind w:left="0"/>
        <w:jc w:val="both"/>
      </w:pPr>
      <w:r>
        <w:rPr>
          <w:rFonts w:ascii="Times New Roman"/>
          <w:b w:val="false"/>
          <w:i w:val="false"/>
          <w:color w:val="000000"/>
          <w:sz w:val="28"/>
        </w:rPr>
        <w:t>
      указание на покупку (продажу) финансового инструмента за счет денег или иностранной валюты или ценных бумаг, предоставленных клиентом в обеспечение исполнения своих обязательств перед брокером и (или) дилером, по рыночной цене и в количестве, необходимом для исполнения данных обязательств, в случае неисполнения клиентом требований пункта 80 Правил.";</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341" w:id="292"/>
    <w:p>
      <w:pPr>
        <w:spacing w:after="0"/>
        <w:ind w:left="0"/>
        <w:jc w:val="both"/>
      </w:pPr>
      <w:r>
        <w:rPr>
          <w:rFonts w:ascii="Times New Roman"/>
          <w:b w:val="false"/>
          <w:i w:val="false"/>
          <w:color w:val="000000"/>
          <w:sz w:val="28"/>
        </w:rPr>
        <w:t>
      "75. В качестве обеспечения обязательств клиента по маржинальной сделке принимаются:</w:t>
      </w:r>
    </w:p>
    <w:bookmarkEnd w:id="292"/>
    <w:bookmarkStart w:name="z342" w:id="293"/>
    <w:p>
      <w:pPr>
        <w:spacing w:after="0"/>
        <w:ind w:left="0"/>
        <w:jc w:val="both"/>
      </w:pPr>
      <w:r>
        <w:rPr>
          <w:rFonts w:ascii="Times New Roman"/>
          <w:b w:val="false"/>
          <w:i w:val="false"/>
          <w:color w:val="000000"/>
          <w:sz w:val="28"/>
        </w:rPr>
        <w:t>
      1) акции юридических лиц - резидентов Республики Казахстан, имеющих рейтинговую оценку не ниже "ВВ-" по международной шкале агентства Standard &amp; Poor's или рейтинг аналогичного уровня агентств Moody's Investors Service или Fitch, или рейтинговую оценку не ниже "kzA-" по национальной шкале Standard &amp; Poor's, или рейтинг аналогичного уровня по национальной шкале уровня агентств Moody's Investors Service или Fitch, за вычетом резервов на возможные потери;</w:t>
      </w:r>
    </w:p>
    <w:bookmarkEnd w:id="293"/>
    <w:bookmarkStart w:name="z343" w:id="294"/>
    <w:p>
      <w:pPr>
        <w:spacing w:after="0"/>
        <w:ind w:left="0"/>
        <w:jc w:val="both"/>
      </w:pPr>
      <w:r>
        <w:rPr>
          <w:rFonts w:ascii="Times New Roman"/>
          <w:b w:val="false"/>
          <w:i w:val="false"/>
          <w:color w:val="000000"/>
          <w:sz w:val="28"/>
        </w:rPr>
        <w:t>
      2)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(или) акции юридических лиц,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 или акции юридических лиц, находящиеся в представительском списке индекса фондовой биржи;</w:t>
      </w:r>
    </w:p>
    <w:bookmarkEnd w:id="294"/>
    <w:bookmarkStart w:name="z344" w:id="295"/>
    <w:p>
      <w:pPr>
        <w:spacing w:after="0"/>
        <w:ind w:left="0"/>
        <w:jc w:val="both"/>
      </w:pPr>
      <w:r>
        <w:rPr>
          <w:rFonts w:ascii="Times New Roman"/>
          <w:b w:val="false"/>
          <w:i w:val="false"/>
          <w:color w:val="000000"/>
          <w:sz w:val="28"/>
        </w:rPr>
        <w:t>
      3) негосударственные долговые ценные бумаги юридических лиц - резидентов Республики Казахстан, выпущенные в соответствии с законодательством Республики Казахстан о рынке ценных бумаг и других государств, имеющие рейтинговую оценку не ниже "В-" по международной шкале агентства Standard &amp; Poor's или рейтинга аналогичного уровня агентств Moody's Investors Service или Fitch, или рейтинговую оценку не ниже "kzBB-" по национальной шкале Standard &amp; Poor's, или рейтинг аналогичного уровня по национальной шкале агентств Moody's Investors Service или Fitch (с учетом сумм основного долга и начисленного вознаграждения), за вычетом резервов на возможные потери;</w:t>
      </w:r>
    </w:p>
    <w:bookmarkEnd w:id="295"/>
    <w:bookmarkStart w:name="z345" w:id="296"/>
    <w:p>
      <w:pPr>
        <w:spacing w:after="0"/>
        <w:ind w:left="0"/>
        <w:jc w:val="both"/>
      </w:pPr>
      <w:r>
        <w:rPr>
          <w:rFonts w:ascii="Times New Roman"/>
          <w:b w:val="false"/>
          <w:i w:val="false"/>
          <w:color w:val="000000"/>
          <w:sz w:val="28"/>
        </w:rPr>
        <w:t>
      4) негосударственные долговые ценные бумаги юридических лиц - резидентов Республики Казахстан, выпущенные в соответствии с законодательством Республики Казахстан о рынке ценных бумаг и других государств, включенные в сектор "долговые ценные бумаги" площадки "Основная" официального списка фондовой биржи, негосударственные долговые ценные бумаги юридических лиц - резидентов Республики Казахстан,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bookmarkEnd w:id="296"/>
    <w:bookmarkStart w:name="z346" w:id="297"/>
    <w:p>
      <w:pPr>
        <w:spacing w:after="0"/>
        <w:ind w:left="0"/>
        <w:jc w:val="both"/>
      </w:pPr>
      <w:r>
        <w:rPr>
          <w:rFonts w:ascii="Times New Roman"/>
          <w:b w:val="false"/>
          <w:i w:val="false"/>
          <w:color w:val="000000"/>
          <w:sz w:val="28"/>
        </w:rPr>
        <w:t>
      5) государственные ценные бумаги Республики Казахстан;</w:t>
      </w:r>
    </w:p>
    <w:bookmarkEnd w:id="297"/>
    <w:bookmarkStart w:name="z347" w:id="298"/>
    <w:p>
      <w:pPr>
        <w:spacing w:after="0"/>
        <w:ind w:left="0"/>
        <w:jc w:val="both"/>
      </w:pPr>
      <w:r>
        <w:rPr>
          <w:rFonts w:ascii="Times New Roman"/>
          <w:b w:val="false"/>
          <w:i w:val="false"/>
          <w:color w:val="000000"/>
          <w:sz w:val="28"/>
        </w:rPr>
        <w:t>
      6) государственные ценные бумаги иностранных государств, имеющих суверенный рейтинг не ниже "ВВВ-" по международной шкале агентства Standard &amp; Poor's или рейтинг аналогичного уровня агентств Moody's Investors Service или Fitch;</w:t>
      </w:r>
    </w:p>
    <w:bookmarkEnd w:id="298"/>
    <w:bookmarkStart w:name="z348" w:id="299"/>
    <w:p>
      <w:pPr>
        <w:spacing w:after="0"/>
        <w:ind w:left="0"/>
        <w:jc w:val="both"/>
      </w:pPr>
      <w:r>
        <w:rPr>
          <w:rFonts w:ascii="Times New Roman"/>
          <w:b w:val="false"/>
          <w:i w:val="false"/>
          <w:color w:val="000000"/>
          <w:sz w:val="28"/>
        </w:rPr>
        <w:t xml:space="preserve">
      7) деньги в национальной валюте и иностранная валюта стран, имеющих суверенный рейтинг не ниже "АА-" по международной шкале агентства Standard &amp; Poor's или рейтинг аналогичного уровня агентств Moody's Investors Service или Fitch; </w:t>
      </w:r>
    </w:p>
    <w:bookmarkEnd w:id="299"/>
    <w:bookmarkStart w:name="z349" w:id="300"/>
    <w:p>
      <w:pPr>
        <w:spacing w:after="0"/>
        <w:ind w:left="0"/>
        <w:jc w:val="both"/>
      </w:pPr>
      <w:r>
        <w:rPr>
          <w:rFonts w:ascii="Times New Roman"/>
          <w:b w:val="false"/>
          <w:i w:val="false"/>
          <w:color w:val="000000"/>
          <w:sz w:val="28"/>
        </w:rPr>
        <w:t>
      8) негосударственные долговые ценные бумаги юридических лиц - нерезидентов Республики Казахстан, выпущенные в соответствии с законодательством Республики Казахстан о рынке ценных бумаг и других государств, входящие в состав расчетных показателей (индексов), определенных пунктом 75-1 Правил, имеющие рейтинговую оценку не ниже "В-" по международной шкале агентства Standard &amp; Poor's или рейтинга аналогичного уровня агентств Moody's Investors Service или Fitch, или рейтинговую оценку не ниже "kzBB-" по национальной шкале Standard &amp; Poor's, или рейтинг аналогичного уровня по национальной шкале агентств Moody's Investors Service или Fitch (с учетом сумм основного долга и начисленного вознаграждения), за вычетом резервов на возможные потери;</w:t>
      </w:r>
    </w:p>
    <w:bookmarkEnd w:id="300"/>
    <w:bookmarkStart w:name="z350" w:id="301"/>
    <w:p>
      <w:pPr>
        <w:spacing w:after="0"/>
        <w:ind w:left="0"/>
        <w:jc w:val="both"/>
      </w:pPr>
      <w:r>
        <w:rPr>
          <w:rFonts w:ascii="Times New Roman"/>
          <w:b w:val="false"/>
          <w:i w:val="false"/>
          <w:color w:val="000000"/>
          <w:sz w:val="28"/>
        </w:rPr>
        <w:t>
      9) акции, входящие в состав расчетных показателей (индексов), определенных пунктом 75-1 Правил, имеющие рейтинговую оценку не ниже "В-" по международной шкале агентства Standard &amp; Poor's или рейтинга аналогичного уровня агентств Moody's Investors Service или Fitch, или рейтинговую оценку не ниже "kzBB-" по национальной шкале Standard &amp; Poor's, или рейтинг аналогичного уровня по национальной шкале агентств Moody's Investors Service или Fitch.";</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75-1</w:t>
      </w:r>
      <w:r>
        <w:rPr>
          <w:rFonts w:ascii="Times New Roman"/>
          <w:b w:val="false"/>
          <w:i w:val="false"/>
          <w:color w:val="000000"/>
          <w:sz w:val="28"/>
        </w:rPr>
        <w:t xml:space="preserve"> изложить в следующей редакции:</w:t>
      </w:r>
    </w:p>
    <w:bookmarkStart w:name="z352" w:id="302"/>
    <w:p>
      <w:pPr>
        <w:spacing w:after="0"/>
        <w:ind w:left="0"/>
        <w:jc w:val="both"/>
      </w:pPr>
      <w:r>
        <w:rPr>
          <w:rFonts w:ascii="Times New Roman"/>
          <w:b w:val="false"/>
          <w:i w:val="false"/>
          <w:color w:val="000000"/>
          <w:sz w:val="28"/>
        </w:rPr>
        <w:t>
      "75-1. В случае, если предметом маржинальной сделки являются ценные бумаги нерезидентов Республики Казахстан, данные ценные бумаги входят в состав одного из следующих расчетных показателей (индексов):</w:t>
      </w:r>
    </w:p>
    <w:bookmarkEnd w:id="302"/>
    <w:bookmarkStart w:name="z353" w:id="303"/>
    <w:p>
      <w:pPr>
        <w:spacing w:after="0"/>
        <w:ind w:left="0"/>
        <w:jc w:val="both"/>
      </w:pPr>
      <w:r>
        <w:rPr>
          <w:rFonts w:ascii="Times New Roman"/>
          <w:b w:val="false"/>
          <w:i w:val="false"/>
          <w:color w:val="000000"/>
          <w:sz w:val="28"/>
        </w:rPr>
        <w:t>
      AIX (Astana International Exchange)</w:t>
      </w:r>
    </w:p>
    <w:bookmarkEnd w:id="303"/>
    <w:bookmarkStart w:name="z354" w:id="304"/>
    <w:p>
      <w:pPr>
        <w:spacing w:after="0"/>
        <w:ind w:left="0"/>
        <w:jc w:val="both"/>
      </w:pPr>
      <w:r>
        <w:rPr>
          <w:rFonts w:ascii="Times New Roman"/>
          <w:b w:val="false"/>
          <w:i w:val="false"/>
          <w:color w:val="000000"/>
          <w:sz w:val="28"/>
        </w:rPr>
        <w:t>
      САС 40 (Compagnie des Agents de Change 40 Index)</w:t>
      </w:r>
    </w:p>
    <w:bookmarkEnd w:id="304"/>
    <w:bookmarkStart w:name="z355" w:id="305"/>
    <w:p>
      <w:pPr>
        <w:spacing w:after="0"/>
        <w:ind w:left="0"/>
        <w:jc w:val="both"/>
      </w:pPr>
      <w:r>
        <w:rPr>
          <w:rFonts w:ascii="Times New Roman"/>
          <w:b w:val="false"/>
          <w:i w:val="false"/>
          <w:color w:val="000000"/>
          <w:sz w:val="28"/>
        </w:rPr>
        <w:t>
      DAX (Deutscher Aktienindex)</w:t>
      </w:r>
    </w:p>
    <w:bookmarkEnd w:id="305"/>
    <w:bookmarkStart w:name="z356" w:id="306"/>
    <w:p>
      <w:pPr>
        <w:spacing w:after="0"/>
        <w:ind w:left="0"/>
        <w:jc w:val="both"/>
      </w:pPr>
      <w:r>
        <w:rPr>
          <w:rFonts w:ascii="Times New Roman"/>
          <w:b w:val="false"/>
          <w:i w:val="false"/>
          <w:color w:val="000000"/>
          <w:sz w:val="28"/>
        </w:rPr>
        <w:t>
      DJIA (Dow Jones Industrial Average)</w:t>
      </w:r>
    </w:p>
    <w:bookmarkEnd w:id="306"/>
    <w:bookmarkStart w:name="z357" w:id="307"/>
    <w:p>
      <w:pPr>
        <w:spacing w:after="0"/>
        <w:ind w:left="0"/>
        <w:jc w:val="both"/>
      </w:pPr>
      <w:r>
        <w:rPr>
          <w:rFonts w:ascii="Times New Roman"/>
          <w:b w:val="false"/>
          <w:i w:val="false"/>
          <w:color w:val="000000"/>
          <w:sz w:val="28"/>
        </w:rPr>
        <w:t>
      EURO STOXX 50 (EURO STOXX 50 Price Index)</w:t>
      </w:r>
    </w:p>
    <w:bookmarkEnd w:id="307"/>
    <w:bookmarkStart w:name="z358" w:id="308"/>
    <w:p>
      <w:pPr>
        <w:spacing w:after="0"/>
        <w:ind w:left="0"/>
        <w:jc w:val="both"/>
      </w:pPr>
      <w:r>
        <w:rPr>
          <w:rFonts w:ascii="Times New Roman"/>
          <w:b w:val="false"/>
          <w:i w:val="false"/>
          <w:color w:val="000000"/>
          <w:sz w:val="28"/>
        </w:rPr>
        <w:t>
      FTSE 100 (Financial Times Stock Exchange 100 Index)</w:t>
      </w:r>
    </w:p>
    <w:bookmarkEnd w:id="308"/>
    <w:bookmarkStart w:name="z359" w:id="309"/>
    <w:p>
      <w:pPr>
        <w:spacing w:after="0"/>
        <w:ind w:left="0"/>
        <w:jc w:val="both"/>
      </w:pPr>
      <w:r>
        <w:rPr>
          <w:rFonts w:ascii="Times New Roman"/>
          <w:b w:val="false"/>
          <w:i w:val="false"/>
          <w:color w:val="000000"/>
          <w:sz w:val="28"/>
        </w:rPr>
        <w:t>
      HSI (Hang Seng Index)</w:t>
      </w:r>
    </w:p>
    <w:bookmarkEnd w:id="309"/>
    <w:bookmarkStart w:name="z360" w:id="310"/>
    <w:p>
      <w:pPr>
        <w:spacing w:after="0"/>
        <w:ind w:left="0"/>
        <w:jc w:val="both"/>
      </w:pPr>
      <w:r>
        <w:rPr>
          <w:rFonts w:ascii="Times New Roman"/>
          <w:b w:val="false"/>
          <w:i w:val="false"/>
          <w:color w:val="000000"/>
          <w:sz w:val="28"/>
        </w:rPr>
        <w:t>
      KASE (Kazakhstan Stock Exchange Index)</w:t>
      </w:r>
    </w:p>
    <w:bookmarkEnd w:id="310"/>
    <w:bookmarkStart w:name="z361" w:id="311"/>
    <w:p>
      <w:pPr>
        <w:spacing w:after="0"/>
        <w:ind w:left="0"/>
        <w:jc w:val="both"/>
      </w:pPr>
      <w:r>
        <w:rPr>
          <w:rFonts w:ascii="Times New Roman"/>
          <w:b w:val="false"/>
          <w:i w:val="false"/>
          <w:color w:val="000000"/>
          <w:sz w:val="28"/>
        </w:rPr>
        <w:t>
      MSCI World Index (Morgan Stanley Capital International World Index)</w:t>
      </w:r>
    </w:p>
    <w:bookmarkEnd w:id="311"/>
    <w:bookmarkStart w:name="z362" w:id="312"/>
    <w:p>
      <w:pPr>
        <w:spacing w:after="0"/>
        <w:ind w:left="0"/>
        <w:jc w:val="both"/>
      </w:pPr>
      <w:r>
        <w:rPr>
          <w:rFonts w:ascii="Times New Roman"/>
          <w:b w:val="false"/>
          <w:i w:val="false"/>
          <w:color w:val="000000"/>
          <w:sz w:val="28"/>
        </w:rPr>
        <w:t>
      MOEX Russia (Moscow Exchange Russia Index)</w:t>
      </w:r>
    </w:p>
    <w:bookmarkEnd w:id="312"/>
    <w:bookmarkStart w:name="z363" w:id="313"/>
    <w:p>
      <w:pPr>
        <w:spacing w:after="0"/>
        <w:ind w:left="0"/>
        <w:jc w:val="both"/>
      </w:pPr>
      <w:r>
        <w:rPr>
          <w:rFonts w:ascii="Times New Roman"/>
          <w:b w:val="false"/>
          <w:i w:val="false"/>
          <w:color w:val="000000"/>
          <w:sz w:val="28"/>
        </w:rPr>
        <w:t>
      NIKKEI 225 (Nikkei-225 Stock Average Index )</w:t>
      </w:r>
    </w:p>
    <w:bookmarkEnd w:id="313"/>
    <w:bookmarkStart w:name="z364" w:id="314"/>
    <w:p>
      <w:pPr>
        <w:spacing w:after="0"/>
        <w:ind w:left="0"/>
        <w:jc w:val="both"/>
      </w:pPr>
      <w:r>
        <w:rPr>
          <w:rFonts w:ascii="Times New Roman"/>
          <w:b w:val="false"/>
          <w:i w:val="false"/>
          <w:color w:val="000000"/>
          <w:sz w:val="28"/>
        </w:rPr>
        <w:t>
      RTSI (Russian Trade System Index)</w:t>
      </w:r>
    </w:p>
    <w:bookmarkEnd w:id="314"/>
    <w:bookmarkStart w:name="z365" w:id="315"/>
    <w:p>
      <w:pPr>
        <w:spacing w:after="0"/>
        <w:ind w:left="0"/>
        <w:jc w:val="both"/>
      </w:pPr>
      <w:r>
        <w:rPr>
          <w:rFonts w:ascii="Times New Roman"/>
          <w:b w:val="false"/>
          <w:i w:val="false"/>
          <w:color w:val="000000"/>
          <w:sz w:val="28"/>
        </w:rPr>
        <w:t>
      S&amp;P 500 (Standard and Poor's 500 Index)</w:t>
      </w:r>
    </w:p>
    <w:bookmarkEnd w:id="315"/>
    <w:bookmarkStart w:name="z366" w:id="316"/>
    <w:p>
      <w:pPr>
        <w:spacing w:after="0"/>
        <w:ind w:left="0"/>
        <w:jc w:val="both"/>
      </w:pPr>
      <w:r>
        <w:rPr>
          <w:rFonts w:ascii="Times New Roman"/>
          <w:b w:val="false"/>
          <w:i w:val="false"/>
          <w:color w:val="000000"/>
          <w:sz w:val="28"/>
        </w:rPr>
        <w:t>
      TOPIX 100 (Tokyo Stock Price 100 Index)</w:t>
      </w:r>
    </w:p>
    <w:bookmarkEnd w:id="316"/>
    <w:bookmarkStart w:name="z367" w:id="317"/>
    <w:p>
      <w:pPr>
        <w:spacing w:after="0"/>
        <w:ind w:left="0"/>
        <w:jc w:val="both"/>
      </w:pPr>
      <w:r>
        <w:rPr>
          <w:rFonts w:ascii="Times New Roman"/>
          <w:b w:val="false"/>
          <w:i w:val="false"/>
          <w:color w:val="000000"/>
          <w:sz w:val="28"/>
        </w:rPr>
        <w:t>
      NASDAQ-100 (Nasdaq-100 Index)</w:t>
      </w:r>
    </w:p>
    <w:bookmarkEnd w:id="317"/>
    <w:bookmarkStart w:name="z368" w:id="318"/>
    <w:p>
      <w:pPr>
        <w:spacing w:after="0"/>
        <w:ind w:left="0"/>
        <w:jc w:val="both"/>
      </w:pPr>
      <w:r>
        <w:rPr>
          <w:rFonts w:ascii="Times New Roman"/>
          <w:b w:val="false"/>
          <w:i w:val="false"/>
          <w:color w:val="000000"/>
          <w:sz w:val="28"/>
        </w:rPr>
        <w:t xml:space="preserve">
      Брокеру и (или) дилеру не допускается предоставление денег клиенту для совершения маржинальной сделки с ценными бумагами, выпущенными в соответствии с законодательством государств, указанных в </w:t>
      </w:r>
      <w:r>
        <w:rPr>
          <w:rFonts w:ascii="Times New Roman"/>
          <w:b w:val="false"/>
          <w:i w:val="false"/>
          <w:color w:val="000000"/>
          <w:sz w:val="28"/>
        </w:rPr>
        <w:t>перечне</w:t>
      </w:r>
      <w:r>
        <w:rPr>
          <w:rFonts w:ascii="Times New Roman"/>
          <w:b w:val="false"/>
          <w:i w:val="false"/>
          <w:color w:val="000000"/>
          <w:sz w:val="28"/>
        </w:rPr>
        <w:t xml:space="preserve"> оффшорных зон для целей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утвержденному Приказом Министра финансов Республики Казахстан от 10 февраля 2010 года № 52 "Об утверждении Перечня оффшорных зон для целей Закона Республики Казахстан "О противодействии легализации (отмыванию) доходов, полученных преступным путем, и финансированию терроризма", зарегистрированным в Реестре государственной регистрации нормативных правовых актов Республики Казахстан 18 февраля 2010 года под № 6058.";</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370" w:id="319"/>
    <w:p>
      <w:pPr>
        <w:spacing w:after="0"/>
        <w:ind w:left="0"/>
        <w:jc w:val="both"/>
      </w:pPr>
      <w:r>
        <w:rPr>
          <w:rFonts w:ascii="Times New Roman"/>
          <w:b w:val="false"/>
          <w:i w:val="false"/>
          <w:color w:val="000000"/>
          <w:sz w:val="28"/>
        </w:rPr>
        <w:t>
      "76. В целях управления возникающими рисками брокер и (или) дилер рассчитывает уровень маржи в отношении всех маржинальных сделок клиента. Уровень маржи рассчитывается по следующей формуле:</w:t>
      </w:r>
    </w:p>
    <w:bookmarkEnd w:id="3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57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57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2" w:id="320"/>
    <w:p>
      <w:pPr>
        <w:spacing w:after="0"/>
        <w:ind w:left="0"/>
        <w:jc w:val="both"/>
      </w:pPr>
      <w:r>
        <w:rPr>
          <w:rFonts w:ascii="Times New Roman"/>
          <w:b w:val="false"/>
          <w:i w:val="false"/>
          <w:color w:val="000000"/>
          <w:sz w:val="28"/>
        </w:rPr>
        <w:t>
      где:</w:t>
      </w:r>
    </w:p>
    <w:bookmarkEnd w:id="320"/>
    <w:bookmarkStart w:name="z373" w:id="321"/>
    <w:p>
      <w:pPr>
        <w:spacing w:after="0"/>
        <w:ind w:left="0"/>
        <w:jc w:val="both"/>
      </w:pPr>
      <w:r>
        <w:rPr>
          <w:rFonts w:ascii="Times New Roman"/>
          <w:b w:val="false"/>
          <w:i w:val="false"/>
          <w:color w:val="000000"/>
          <w:sz w:val="28"/>
        </w:rPr>
        <w:t>
      УМ – уровень маржи, рассчитываемый при предоставлении брокером и (или) дилером денег, иностранной валюты или ценных бумаг клиенту для совершения маржинальной сделки;</w:t>
      </w:r>
    </w:p>
    <w:bookmarkEnd w:id="321"/>
    <w:bookmarkStart w:name="z374" w:id="322"/>
    <w:p>
      <w:pPr>
        <w:spacing w:after="0"/>
        <w:ind w:left="0"/>
        <w:jc w:val="both"/>
      </w:pPr>
      <w:r>
        <w:rPr>
          <w:rFonts w:ascii="Times New Roman"/>
          <w:b w:val="false"/>
          <w:i w:val="false"/>
          <w:color w:val="000000"/>
          <w:sz w:val="28"/>
        </w:rPr>
        <w:t>
      САк – сумма денег, иностранной валюты и (или) стоимости ценных бумаг, предоставляемых клиентом в качестве обеспечения для совершения маржинальной сделки;</w:t>
      </w:r>
    </w:p>
    <w:bookmarkEnd w:id="322"/>
    <w:bookmarkStart w:name="z375" w:id="323"/>
    <w:p>
      <w:pPr>
        <w:spacing w:after="0"/>
        <w:ind w:left="0"/>
        <w:jc w:val="both"/>
      </w:pPr>
      <w:r>
        <w:rPr>
          <w:rFonts w:ascii="Times New Roman"/>
          <w:b w:val="false"/>
          <w:i w:val="false"/>
          <w:color w:val="000000"/>
          <w:sz w:val="28"/>
        </w:rPr>
        <w:t>
      СЦБк – текущая рыночная стоимость ценных бумаг или иностранной валюты клиента, приобретенных либо реализованных в результате совершения маржинальной сделки.";</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377" w:id="324"/>
    <w:p>
      <w:pPr>
        <w:spacing w:after="0"/>
        <w:ind w:left="0"/>
        <w:jc w:val="both"/>
      </w:pPr>
      <w:r>
        <w:rPr>
          <w:rFonts w:ascii="Times New Roman"/>
          <w:b w:val="false"/>
          <w:i w:val="false"/>
          <w:color w:val="000000"/>
          <w:sz w:val="28"/>
        </w:rPr>
        <w:t>
      "77. Брокер и (или) дилер не заключает маржинальные сделки в случае отсутствия внутреннего документа, содержащего порядок совершения таких сделок, включая порядок расчета и значения ограничительного уровня маржи в отношении его клиентов для организованного, неорганизованного и международного (иностранного) рынков ценных бумаг, порядок управления рисками, возникающими при заключении маржинальных сделок, требования к программно-техническому оборудованию для осуществления маржинальных сделок, а также требования к заключению маржинальных сделок, установленных Правилами.";</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379" w:id="325"/>
    <w:p>
      <w:pPr>
        <w:spacing w:after="0"/>
        <w:ind w:left="0"/>
        <w:jc w:val="both"/>
      </w:pPr>
      <w:r>
        <w:rPr>
          <w:rFonts w:ascii="Times New Roman"/>
          <w:b w:val="false"/>
          <w:i w:val="false"/>
          <w:color w:val="000000"/>
          <w:sz w:val="28"/>
        </w:rPr>
        <w:t>
      "81. Брокер и (или) дилер осуществляет реализацию принадлежащих клиенту ценных бумаг, составляющих обеспечение, или покупку ценных бумаг за счет денег клиента, составляющих обеспечение, на основании клиентского заказа на совершение маржинальной сделки, соответствующего требованиям, установленным пунктом 70 Правил.".</w:t>
      </w:r>
    </w:p>
    <w:bookmarkEnd w:id="325"/>
    <w:bookmarkStart w:name="z380" w:id="326"/>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октября 2014 года № 210 "Об утверждении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(зарегистрировано в Реестре государственной регистрации нормативных правовых актов под № 9876, опубликовано 28 ноября 2014 года в информационно-правовой системе "Әділет") следующие изменения и дополнение:</w:t>
      </w:r>
    </w:p>
    <w:bookmarkEnd w:id="326"/>
    <w:bookmarkStart w:name="z381" w:id="3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утвержденных указанным постановлением:</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83" w:id="328"/>
    <w:p>
      <w:pPr>
        <w:spacing w:after="0"/>
        <w:ind w:left="0"/>
        <w:jc w:val="both"/>
      </w:pPr>
      <w:r>
        <w:rPr>
          <w:rFonts w:ascii="Times New Roman"/>
          <w:b w:val="false"/>
          <w:i w:val="false"/>
          <w:color w:val="000000"/>
          <w:sz w:val="28"/>
        </w:rPr>
        <w:t>
      "8. Открытие лицевого счета физическому лицу в системе учета номинального держания осуществляется номинальным держателем на основании приказа на открытие лицевого счета, документа, удостоверяющего личность, и договора о номинальном держании.</w:t>
      </w:r>
    </w:p>
    <w:bookmarkEnd w:id="328"/>
    <w:bookmarkStart w:name="z384" w:id="329"/>
    <w:p>
      <w:pPr>
        <w:spacing w:after="0"/>
        <w:ind w:left="0"/>
        <w:jc w:val="both"/>
      </w:pPr>
      <w:r>
        <w:rPr>
          <w:rFonts w:ascii="Times New Roman"/>
          <w:b w:val="false"/>
          <w:i w:val="false"/>
          <w:color w:val="000000"/>
          <w:sz w:val="28"/>
        </w:rPr>
        <w:t>
      При подаче приказа на открытие лицевого счета физическому лицу в форме электронного документа или иной электронно-цифровой форме, удостоверенной посредством динамической и (или) биометрической идентификации клиента, (в случае обращения клиента номинального держателя за получением электронных услуг) с использованием информационных систем к электронному приказу физического лица прикрепляется электронная копия документа, удостоверяющего личность данного физического лица, или данные документа, удостоверяющего личность физического лица, и его индивидуальный идентификационный номер.";</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86" w:id="330"/>
    <w:p>
      <w:pPr>
        <w:spacing w:after="0"/>
        <w:ind w:left="0"/>
        <w:jc w:val="both"/>
      </w:pPr>
      <w:r>
        <w:rPr>
          <w:rFonts w:ascii="Times New Roman"/>
          <w:b w:val="false"/>
          <w:i w:val="false"/>
          <w:color w:val="000000"/>
          <w:sz w:val="28"/>
        </w:rPr>
        <w:t>
      "9. Открытие лицевого счета юридическому лицу в системе учета номинального держания осуществляется номинальным держателем на основании следующих документов:</w:t>
      </w:r>
    </w:p>
    <w:bookmarkEnd w:id="330"/>
    <w:bookmarkStart w:name="z387" w:id="331"/>
    <w:p>
      <w:pPr>
        <w:spacing w:after="0"/>
        <w:ind w:left="0"/>
        <w:jc w:val="both"/>
      </w:pPr>
      <w:r>
        <w:rPr>
          <w:rFonts w:ascii="Times New Roman"/>
          <w:b w:val="false"/>
          <w:i w:val="false"/>
          <w:color w:val="000000"/>
          <w:sz w:val="28"/>
        </w:rPr>
        <w:t>
      1) приказа на открытие лицевого счета;</w:t>
      </w:r>
    </w:p>
    <w:bookmarkEnd w:id="331"/>
    <w:bookmarkStart w:name="z388" w:id="332"/>
    <w:p>
      <w:pPr>
        <w:spacing w:after="0"/>
        <w:ind w:left="0"/>
        <w:jc w:val="both"/>
      </w:pPr>
      <w:r>
        <w:rPr>
          <w:rFonts w:ascii="Times New Roman"/>
          <w:b w:val="false"/>
          <w:i w:val="false"/>
          <w:color w:val="000000"/>
          <w:sz w:val="28"/>
        </w:rPr>
        <w:t>
      2) копии справки или свидетельства о государственной регистрации (перерегистрации) юридического лица;</w:t>
      </w:r>
    </w:p>
    <w:bookmarkEnd w:id="332"/>
    <w:bookmarkStart w:name="z389" w:id="333"/>
    <w:p>
      <w:pPr>
        <w:spacing w:after="0"/>
        <w:ind w:left="0"/>
        <w:jc w:val="both"/>
      </w:pPr>
      <w:r>
        <w:rPr>
          <w:rFonts w:ascii="Times New Roman"/>
          <w:b w:val="false"/>
          <w:i w:val="false"/>
          <w:color w:val="000000"/>
          <w:sz w:val="28"/>
        </w:rPr>
        <w:t>
      3) договора о номинальном держании;</w:t>
      </w:r>
    </w:p>
    <w:bookmarkEnd w:id="333"/>
    <w:bookmarkStart w:name="z390" w:id="334"/>
    <w:p>
      <w:pPr>
        <w:spacing w:after="0"/>
        <w:ind w:left="0"/>
        <w:jc w:val="both"/>
      </w:pPr>
      <w:r>
        <w:rPr>
          <w:rFonts w:ascii="Times New Roman"/>
          <w:b w:val="false"/>
          <w:i w:val="false"/>
          <w:color w:val="000000"/>
          <w:sz w:val="28"/>
        </w:rPr>
        <w:t>
      4) для юридического лица-резидента Республики Казахстан:</w:t>
      </w:r>
    </w:p>
    <w:bookmarkEnd w:id="334"/>
    <w:bookmarkStart w:name="z391" w:id="335"/>
    <w:p>
      <w:pPr>
        <w:spacing w:after="0"/>
        <w:ind w:left="0"/>
        <w:jc w:val="both"/>
      </w:pPr>
      <w:r>
        <w:rPr>
          <w:rFonts w:ascii="Times New Roman"/>
          <w:b w:val="false"/>
          <w:i w:val="false"/>
          <w:color w:val="000000"/>
          <w:sz w:val="28"/>
        </w:rPr>
        <w:t>
      документа, содержащего нотариально засвидетельствованные образцы подписей представителей юридического лица, обладающих правом подписывать документы на регистрацию операций по лицевым счетам и информационных операций, включающего сведения о (об):</w:t>
      </w:r>
    </w:p>
    <w:bookmarkEnd w:id="335"/>
    <w:bookmarkStart w:name="z392" w:id="336"/>
    <w:p>
      <w:pPr>
        <w:spacing w:after="0"/>
        <w:ind w:left="0"/>
        <w:jc w:val="both"/>
      </w:pPr>
      <w:r>
        <w:rPr>
          <w:rFonts w:ascii="Times New Roman"/>
          <w:b w:val="false"/>
          <w:i w:val="false"/>
          <w:color w:val="000000"/>
          <w:sz w:val="28"/>
        </w:rPr>
        <w:t>
      наименовании номинального держателя;</w:t>
      </w:r>
    </w:p>
    <w:bookmarkEnd w:id="336"/>
    <w:bookmarkStart w:name="z393" w:id="337"/>
    <w:p>
      <w:pPr>
        <w:spacing w:after="0"/>
        <w:ind w:left="0"/>
        <w:jc w:val="both"/>
      </w:pPr>
      <w:r>
        <w:rPr>
          <w:rFonts w:ascii="Times New Roman"/>
          <w:b w:val="false"/>
          <w:i w:val="false"/>
          <w:color w:val="000000"/>
          <w:sz w:val="28"/>
        </w:rPr>
        <w:t>
      наименовании юридического лица - клиента номинального держателя, предоставляющего право на подписание документа;</w:t>
      </w:r>
    </w:p>
    <w:bookmarkEnd w:id="337"/>
    <w:bookmarkStart w:name="z394" w:id="338"/>
    <w:p>
      <w:pPr>
        <w:spacing w:after="0"/>
        <w:ind w:left="0"/>
        <w:jc w:val="both"/>
      </w:pPr>
      <w:r>
        <w:rPr>
          <w:rFonts w:ascii="Times New Roman"/>
          <w:b w:val="false"/>
          <w:i w:val="false"/>
          <w:color w:val="000000"/>
          <w:sz w:val="28"/>
        </w:rPr>
        <w:t>
      должности, фамилии, имени, отчестве (при его наличии) представителя клиента номинального держателя, данных документа, удостоверяющего личность;</w:t>
      </w:r>
    </w:p>
    <w:bookmarkEnd w:id="338"/>
    <w:bookmarkStart w:name="z395" w:id="339"/>
    <w:p>
      <w:pPr>
        <w:spacing w:after="0"/>
        <w:ind w:left="0"/>
        <w:jc w:val="both"/>
      </w:pPr>
      <w:r>
        <w:rPr>
          <w:rFonts w:ascii="Times New Roman"/>
          <w:b w:val="false"/>
          <w:i w:val="false"/>
          <w:color w:val="000000"/>
          <w:sz w:val="28"/>
        </w:rPr>
        <w:t>
      указании на то, что образцы подписей, содержащиеся в данном документе, считаются обязательными при осуществлении всех операций по лицевому счету клиента, открытому в системе номинального держания;</w:t>
      </w:r>
    </w:p>
    <w:bookmarkEnd w:id="339"/>
    <w:bookmarkStart w:name="z396" w:id="340"/>
    <w:p>
      <w:pPr>
        <w:spacing w:after="0"/>
        <w:ind w:left="0"/>
        <w:jc w:val="both"/>
      </w:pPr>
      <w:r>
        <w:rPr>
          <w:rFonts w:ascii="Times New Roman"/>
          <w:b w:val="false"/>
          <w:i w:val="false"/>
          <w:color w:val="000000"/>
          <w:sz w:val="28"/>
        </w:rPr>
        <w:t>
      для юридического лица-нерезидента Республики Казахстан:</w:t>
      </w:r>
    </w:p>
    <w:bookmarkEnd w:id="340"/>
    <w:bookmarkStart w:name="z397" w:id="341"/>
    <w:p>
      <w:pPr>
        <w:spacing w:after="0"/>
        <w:ind w:left="0"/>
        <w:jc w:val="both"/>
      </w:pPr>
      <w:r>
        <w:rPr>
          <w:rFonts w:ascii="Times New Roman"/>
          <w:b w:val="false"/>
          <w:i w:val="false"/>
          <w:color w:val="000000"/>
          <w:sz w:val="28"/>
        </w:rPr>
        <w:t>
      документа с образцами подписей представителей юридического лица, обладающих правом подписывать документы на регистрацию операций по лицевым счетам и информационных операций;</w:t>
      </w:r>
    </w:p>
    <w:bookmarkEnd w:id="341"/>
    <w:bookmarkStart w:name="z398" w:id="342"/>
    <w:p>
      <w:pPr>
        <w:spacing w:after="0"/>
        <w:ind w:left="0"/>
        <w:jc w:val="both"/>
      </w:pPr>
      <w:r>
        <w:rPr>
          <w:rFonts w:ascii="Times New Roman"/>
          <w:b w:val="false"/>
          <w:i w:val="false"/>
          <w:color w:val="000000"/>
          <w:sz w:val="28"/>
        </w:rPr>
        <w:t>
      доверенности или решения уполномоченного органа юридического лица, подтверждающих полномочия представителя юридического лица подписывать документы на регистрацию операций по лицевым счетам и информационных операций.</w:t>
      </w:r>
    </w:p>
    <w:bookmarkEnd w:id="342"/>
    <w:bookmarkStart w:name="z399" w:id="343"/>
    <w:p>
      <w:pPr>
        <w:spacing w:after="0"/>
        <w:ind w:left="0"/>
        <w:jc w:val="both"/>
      </w:pPr>
      <w:r>
        <w:rPr>
          <w:rFonts w:ascii="Times New Roman"/>
          <w:b w:val="false"/>
          <w:i w:val="false"/>
          <w:color w:val="000000"/>
          <w:sz w:val="28"/>
        </w:rPr>
        <w:t>
      В случае открытия юридическому лицу в системе номинального держания двух и более лицевых счетов, документы, перечисленные в подпунктах 2), 3), 4) настоящего пункта, предоставляются при открытии первого лицевого счета.";</w:t>
      </w:r>
    </w:p>
    <w:bookmarkEnd w:id="343"/>
    <w:bookmarkStart w:name="z400" w:id="344"/>
    <w:p>
      <w:pPr>
        <w:spacing w:after="0"/>
        <w:ind w:left="0"/>
        <w:jc w:val="both"/>
      </w:pPr>
      <w:r>
        <w:rPr>
          <w:rFonts w:ascii="Times New Roman"/>
          <w:b w:val="false"/>
          <w:i w:val="false"/>
          <w:color w:val="000000"/>
          <w:sz w:val="28"/>
        </w:rPr>
        <w:t>
      дополнить пунктом 26-1 следующего содержания:</w:t>
      </w:r>
    </w:p>
    <w:bookmarkEnd w:id="344"/>
    <w:bookmarkStart w:name="z401" w:id="345"/>
    <w:p>
      <w:pPr>
        <w:spacing w:after="0"/>
        <w:ind w:left="0"/>
        <w:jc w:val="both"/>
      </w:pPr>
      <w:r>
        <w:rPr>
          <w:rFonts w:ascii="Times New Roman"/>
          <w:b w:val="false"/>
          <w:i w:val="false"/>
          <w:color w:val="000000"/>
          <w:sz w:val="28"/>
        </w:rPr>
        <w:t>
      "26-1. Номинальный держатель в порядке, определенном сводом правил центрального депозитария, не реже одного раза в год осуществляет сверку данных о клиентах, содержащихся в системе учета номинального держателя, с данными о таких клиентах, содержащимися в системе учета центрального депозитария.</w:t>
      </w:r>
    </w:p>
    <w:bookmarkEnd w:id="345"/>
    <w:bookmarkStart w:name="z402" w:id="346"/>
    <w:p>
      <w:pPr>
        <w:spacing w:after="0"/>
        <w:ind w:left="0"/>
        <w:jc w:val="both"/>
      </w:pPr>
      <w:r>
        <w:rPr>
          <w:rFonts w:ascii="Times New Roman"/>
          <w:b w:val="false"/>
          <w:i w:val="false"/>
          <w:color w:val="000000"/>
          <w:sz w:val="28"/>
        </w:rPr>
        <w:t>
      При выявлении по итогам данной сверки расхождения данных о клиенте в системе учета номинального держателя с данными о таком клиенте в системе учета центрального депозитария, номинальный держатель в порядке, предусмотренном его внутренними документами, определяет необходимость актуализации данных о клиенте и внесения соответствующих изменений в свою систему учета, после чего направляет такому клиенту уведомление в случае обновления его данных на основе информации, полученной от центрального депозитария, в порядке, сроки и способом, установленными внутренними документами номинального держателя.";</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404" w:id="347"/>
    <w:p>
      <w:pPr>
        <w:spacing w:after="0"/>
        <w:ind w:left="0"/>
        <w:jc w:val="both"/>
      </w:pPr>
      <w:r>
        <w:rPr>
          <w:rFonts w:ascii="Times New Roman"/>
          <w:b w:val="false"/>
          <w:i w:val="false"/>
          <w:color w:val="000000"/>
          <w:sz w:val="28"/>
        </w:rPr>
        <w:t>
      "27. Номинальный держатель оформляет отказ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с указанием причин неисполнения приказа в следующих случаях:</w:t>
      </w:r>
    </w:p>
    <w:bookmarkEnd w:id="347"/>
    <w:bookmarkStart w:name="z405" w:id="348"/>
    <w:p>
      <w:pPr>
        <w:spacing w:after="0"/>
        <w:ind w:left="0"/>
        <w:jc w:val="both"/>
      </w:pPr>
      <w:r>
        <w:rPr>
          <w:rFonts w:ascii="Times New Roman"/>
          <w:b w:val="false"/>
          <w:i w:val="false"/>
          <w:color w:val="000000"/>
          <w:sz w:val="28"/>
        </w:rPr>
        <w:t>
      1) несоответствия подписей на приказах образцам, засвидетельствованным нотариально;</w:t>
      </w:r>
    </w:p>
    <w:bookmarkEnd w:id="348"/>
    <w:bookmarkStart w:name="z406" w:id="349"/>
    <w:p>
      <w:pPr>
        <w:spacing w:after="0"/>
        <w:ind w:left="0"/>
        <w:jc w:val="both"/>
      </w:pPr>
      <w:r>
        <w:rPr>
          <w:rFonts w:ascii="Times New Roman"/>
          <w:b w:val="false"/>
          <w:i w:val="false"/>
          <w:color w:val="000000"/>
          <w:sz w:val="28"/>
        </w:rPr>
        <w:t>
      2) непредставления встречного приказа в течение 2 (двух) календарных дней после даты получения приказа на совершение операции;</w:t>
      </w:r>
    </w:p>
    <w:bookmarkEnd w:id="349"/>
    <w:bookmarkStart w:name="z407" w:id="350"/>
    <w:p>
      <w:pPr>
        <w:spacing w:after="0"/>
        <w:ind w:left="0"/>
        <w:jc w:val="both"/>
      </w:pPr>
      <w:r>
        <w:rPr>
          <w:rFonts w:ascii="Times New Roman"/>
          <w:b w:val="false"/>
          <w:i w:val="false"/>
          <w:color w:val="000000"/>
          <w:sz w:val="28"/>
        </w:rPr>
        <w:t>
      3) несоответствия реквизитов приказов реквизитам, установленным Правилами, или реквизитам лицевого счета (субсчета);</w:t>
      </w:r>
    </w:p>
    <w:bookmarkEnd w:id="350"/>
    <w:bookmarkStart w:name="z408" w:id="351"/>
    <w:p>
      <w:pPr>
        <w:spacing w:after="0"/>
        <w:ind w:left="0"/>
        <w:jc w:val="both"/>
      </w:pPr>
      <w:r>
        <w:rPr>
          <w:rFonts w:ascii="Times New Roman"/>
          <w:b w:val="false"/>
          <w:i w:val="false"/>
          <w:color w:val="000000"/>
          <w:sz w:val="28"/>
        </w:rPr>
        <w:t>
      4) отсутствия необходимого количества ценных бумаг (прав требования по обязательствам эмитента по эмиссионным ценным бумагам) и (или) денег на счетах (субсчетах) клиентов;</w:t>
      </w:r>
    </w:p>
    <w:bookmarkEnd w:id="351"/>
    <w:bookmarkStart w:name="z409" w:id="352"/>
    <w:p>
      <w:pPr>
        <w:spacing w:after="0"/>
        <w:ind w:left="0"/>
        <w:jc w:val="both"/>
      </w:pPr>
      <w:r>
        <w:rPr>
          <w:rFonts w:ascii="Times New Roman"/>
          <w:b w:val="false"/>
          <w:i w:val="false"/>
          <w:color w:val="000000"/>
          <w:sz w:val="28"/>
        </w:rPr>
        <w:t>
      5) несоответствия содержания сделки гражданскому законодательству Республики Казахстан;</w:t>
      </w:r>
    </w:p>
    <w:bookmarkEnd w:id="352"/>
    <w:bookmarkStart w:name="z410" w:id="353"/>
    <w:p>
      <w:pPr>
        <w:spacing w:after="0"/>
        <w:ind w:left="0"/>
        <w:jc w:val="both"/>
      </w:pPr>
      <w:r>
        <w:rPr>
          <w:rFonts w:ascii="Times New Roman"/>
          <w:b w:val="false"/>
          <w:i w:val="false"/>
          <w:color w:val="000000"/>
          <w:sz w:val="28"/>
        </w:rPr>
        <w:t>
      6) непредставления клиентом в срок, установленный для регистрации сделки, документа, подтверждающего согласие уполномоченного органа на приобретение статуса крупного участника, в случаях, предусмотренных законодательными актами Республики Казахстан;</w:t>
      </w:r>
    </w:p>
    <w:bookmarkEnd w:id="353"/>
    <w:bookmarkStart w:name="z411" w:id="354"/>
    <w:p>
      <w:pPr>
        <w:spacing w:after="0"/>
        <w:ind w:left="0"/>
        <w:jc w:val="both"/>
      </w:pPr>
      <w:r>
        <w:rPr>
          <w:rFonts w:ascii="Times New Roman"/>
          <w:b w:val="false"/>
          <w:i w:val="false"/>
          <w:color w:val="000000"/>
          <w:sz w:val="28"/>
        </w:rPr>
        <w:t>
      7) наличия решения соответствующих государственных органов либо суда о приостановлении или прекращении обращения ценных бумаг;</w:t>
      </w:r>
    </w:p>
    <w:bookmarkEnd w:id="354"/>
    <w:bookmarkStart w:name="z412" w:id="355"/>
    <w:p>
      <w:pPr>
        <w:spacing w:after="0"/>
        <w:ind w:left="0"/>
        <w:jc w:val="both"/>
      </w:pPr>
      <w:r>
        <w:rPr>
          <w:rFonts w:ascii="Times New Roman"/>
          <w:b w:val="false"/>
          <w:i w:val="false"/>
          <w:color w:val="000000"/>
          <w:sz w:val="28"/>
        </w:rPr>
        <w:t xml:space="preserve">
      8) ценные бумаги и (или) лицевой счет или субсчет, указанные в приказе, заблокированы, за исключением, случаев, указанных в пункте 6-1 </w:t>
      </w:r>
      <w:r>
        <w:rPr>
          <w:rFonts w:ascii="Times New Roman"/>
          <w:b w:val="false"/>
          <w:i w:val="false"/>
          <w:color w:val="000000"/>
          <w:sz w:val="28"/>
        </w:rPr>
        <w:t>статьи 65</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 об исполнительном производстве);</w:t>
      </w:r>
    </w:p>
    <w:bookmarkEnd w:id="355"/>
    <w:bookmarkStart w:name="z413" w:id="356"/>
    <w:p>
      <w:pPr>
        <w:spacing w:after="0"/>
        <w:ind w:left="0"/>
        <w:jc w:val="both"/>
      </w:pPr>
      <w:r>
        <w:rPr>
          <w:rFonts w:ascii="Times New Roman"/>
          <w:b w:val="false"/>
          <w:i w:val="false"/>
          <w:color w:val="000000"/>
          <w:sz w:val="28"/>
        </w:rPr>
        <w:t xml:space="preserve">
      9) обременения ценных бумаг (прав требования по обязательствам эмитента по эмиссионным ценным бумагам), указанных в приказе, за исключением проведения операций по списанию (зачислению) ценных бумаг с (на) лицевых (лицевые) счетов (счета) (субсчетов (субсчета)) зарегистрированных лиц при реорганизации банков в форме присоединения, в отношении одного из которых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о банках);</w:t>
      </w:r>
    </w:p>
    <w:bookmarkEnd w:id="356"/>
    <w:bookmarkStart w:name="z414" w:id="357"/>
    <w:p>
      <w:pPr>
        <w:spacing w:after="0"/>
        <w:ind w:left="0"/>
        <w:jc w:val="both"/>
      </w:pPr>
      <w:r>
        <w:rPr>
          <w:rFonts w:ascii="Times New Roman"/>
          <w:b w:val="false"/>
          <w:i w:val="false"/>
          <w:color w:val="000000"/>
          <w:sz w:val="28"/>
        </w:rPr>
        <w:t>
      10) истечения срока действия документа, удостоверяющего личность клиента, на момент принятия приказа и (или) в период действия данного приказа;</w:t>
      </w:r>
    </w:p>
    <w:bookmarkEnd w:id="357"/>
    <w:bookmarkStart w:name="z415" w:id="358"/>
    <w:p>
      <w:pPr>
        <w:spacing w:after="0"/>
        <w:ind w:left="0"/>
        <w:jc w:val="both"/>
      </w:pPr>
      <w:r>
        <w:rPr>
          <w:rFonts w:ascii="Times New Roman"/>
          <w:b w:val="false"/>
          <w:i w:val="false"/>
          <w:color w:val="000000"/>
          <w:sz w:val="28"/>
        </w:rPr>
        <w:t>
      11) случаях, предусмотренных внутренним документом номинального держателя.";</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417" w:id="359"/>
    <w:p>
      <w:pPr>
        <w:spacing w:after="0"/>
        <w:ind w:left="0"/>
        <w:jc w:val="both"/>
      </w:pPr>
      <w:r>
        <w:rPr>
          <w:rFonts w:ascii="Times New Roman"/>
          <w:b w:val="false"/>
          <w:i w:val="false"/>
          <w:color w:val="000000"/>
          <w:sz w:val="28"/>
        </w:rPr>
        <w:t>
      "29. Операция по изменению сведений о держателе, содержащихся в лицевом счете, проводится номинальным держателем на основании приказа указанного лица на изменение сведений о нем и документов, подтверждающих эти изменения, перечень которых устанавливается внутренними документами номинального держателя.</w:t>
      </w:r>
    </w:p>
    <w:bookmarkEnd w:id="359"/>
    <w:bookmarkStart w:name="z418" w:id="360"/>
    <w:p>
      <w:pPr>
        <w:spacing w:after="0"/>
        <w:ind w:left="0"/>
        <w:jc w:val="both"/>
      </w:pPr>
      <w:r>
        <w:rPr>
          <w:rFonts w:ascii="Times New Roman"/>
          <w:b w:val="false"/>
          <w:i w:val="false"/>
          <w:color w:val="000000"/>
          <w:sz w:val="28"/>
        </w:rPr>
        <w:t>
      В случае перевода денег клиентов номинального держателя, предназначенных для осуществления расчетов по сделкам с ценными бумагами, с корреспондентского счета номинального держателя, открытого в Национальном Банке Республики Казахстан на его корреспондентский счет, открытый в центральном депозитарии, операция по изменению сведений о держателе в части изменения банковских реквизитов держателей ценных бумаг, предназначенных для осуществления расчетов по сделкам с ценными бумагами, осуществляется на основании приказа данного номинального держателя.</w:t>
      </w:r>
    </w:p>
    <w:bookmarkEnd w:id="360"/>
    <w:bookmarkStart w:name="z419" w:id="361"/>
    <w:p>
      <w:pPr>
        <w:spacing w:after="0"/>
        <w:ind w:left="0"/>
        <w:jc w:val="both"/>
      </w:pPr>
      <w:r>
        <w:rPr>
          <w:rFonts w:ascii="Times New Roman"/>
          <w:b w:val="false"/>
          <w:i w:val="false"/>
          <w:color w:val="000000"/>
          <w:sz w:val="28"/>
        </w:rPr>
        <w:t>
      Операция по изменению сведений о паевом инвестиционном фонде, содержащихся в лицевом счете, проводится номинальным держателем на основании приказа управляющей компании данного фонда на изменение сведений о фонде и документов, подтверждающих эти изменения, перечень которых устанавливается внутренним документом номинального держателя.</w:t>
      </w:r>
    </w:p>
    <w:bookmarkEnd w:id="361"/>
    <w:bookmarkStart w:name="z420" w:id="362"/>
    <w:p>
      <w:pPr>
        <w:spacing w:after="0"/>
        <w:ind w:left="0"/>
        <w:jc w:val="both"/>
      </w:pPr>
      <w:r>
        <w:rPr>
          <w:rFonts w:ascii="Times New Roman"/>
          <w:b w:val="false"/>
          <w:i w:val="false"/>
          <w:color w:val="000000"/>
          <w:sz w:val="28"/>
        </w:rPr>
        <w:t>
      Требования частей первой и третьей настоящего пункта не распространяются на случаи актуализации данных о клиентах центральным депозитарием, проводимой в рамках сверки данных о клиентах, содержащихся в системе учета центрального депозитария, с данными о таких клиентах, содержащихся в информации, представляемой ЦОИД или кредитным бюро с государственным участием.";</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422" w:id="363"/>
    <w:p>
      <w:pPr>
        <w:spacing w:after="0"/>
        <w:ind w:left="0"/>
        <w:jc w:val="both"/>
      </w:pPr>
      <w:r>
        <w:rPr>
          <w:rFonts w:ascii="Times New Roman"/>
          <w:b w:val="false"/>
          <w:i w:val="false"/>
          <w:color w:val="000000"/>
          <w:sz w:val="28"/>
        </w:rPr>
        <w:t>
      "38. Приказы держателей ценных бумаг на проведение операций по лицевым счетам содержат следующие сведения:</w:t>
      </w:r>
    </w:p>
    <w:bookmarkEnd w:id="363"/>
    <w:bookmarkStart w:name="z423" w:id="364"/>
    <w:p>
      <w:pPr>
        <w:spacing w:after="0"/>
        <w:ind w:left="0"/>
        <w:jc w:val="both"/>
      </w:pPr>
      <w:r>
        <w:rPr>
          <w:rFonts w:ascii="Times New Roman"/>
          <w:b w:val="false"/>
          <w:i w:val="false"/>
          <w:color w:val="000000"/>
          <w:sz w:val="28"/>
        </w:rPr>
        <w:t>
      1) номер, дата и время регистрации приказа;</w:t>
      </w:r>
    </w:p>
    <w:bookmarkEnd w:id="364"/>
    <w:bookmarkStart w:name="z424" w:id="365"/>
    <w:p>
      <w:pPr>
        <w:spacing w:after="0"/>
        <w:ind w:left="0"/>
        <w:jc w:val="both"/>
      </w:pPr>
      <w:r>
        <w:rPr>
          <w:rFonts w:ascii="Times New Roman"/>
          <w:b w:val="false"/>
          <w:i w:val="false"/>
          <w:color w:val="000000"/>
          <w:sz w:val="28"/>
        </w:rPr>
        <w:t>
      2) наименование эмитента или паевого инвестиционного фонда;</w:t>
      </w:r>
    </w:p>
    <w:bookmarkEnd w:id="365"/>
    <w:bookmarkStart w:name="z425" w:id="366"/>
    <w:p>
      <w:pPr>
        <w:spacing w:after="0"/>
        <w:ind w:left="0"/>
        <w:jc w:val="both"/>
      </w:pPr>
      <w:r>
        <w:rPr>
          <w:rFonts w:ascii="Times New Roman"/>
          <w:b w:val="false"/>
          <w:i w:val="false"/>
          <w:color w:val="000000"/>
          <w:sz w:val="28"/>
        </w:rPr>
        <w:t>
      3) сведения о лицах, участвующих в сделке;</w:t>
      </w:r>
    </w:p>
    <w:bookmarkEnd w:id="366"/>
    <w:bookmarkStart w:name="z426" w:id="367"/>
    <w:p>
      <w:pPr>
        <w:spacing w:after="0"/>
        <w:ind w:left="0"/>
        <w:jc w:val="both"/>
      </w:pPr>
      <w:r>
        <w:rPr>
          <w:rFonts w:ascii="Times New Roman"/>
          <w:b w:val="false"/>
          <w:i w:val="false"/>
          <w:color w:val="000000"/>
          <w:sz w:val="28"/>
        </w:rPr>
        <w:t>
      4) номера лицевых счетов лиц, участвующих в сделке;</w:t>
      </w:r>
    </w:p>
    <w:bookmarkEnd w:id="367"/>
    <w:bookmarkStart w:name="z427" w:id="368"/>
    <w:p>
      <w:pPr>
        <w:spacing w:after="0"/>
        <w:ind w:left="0"/>
        <w:jc w:val="both"/>
      </w:pPr>
      <w:r>
        <w:rPr>
          <w:rFonts w:ascii="Times New Roman"/>
          <w:b w:val="false"/>
          <w:i w:val="false"/>
          <w:color w:val="000000"/>
          <w:sz w:val="28"/>
        </w:rPr>
        <w:t>
      5) вид, международный идентификационный номер (код ISIN) ценных бумаг (идентификатор прав требования по обязательствам эмитента по эмиссионным ценным бумагам);</w:t>
      </w:r>
    </w:p>
    <w:bookmarkEnd w:id="368"/>
    <w:bookmarkStart w:name="z428" w:id="369"/>
    <w:p>
      <w:pPr>
        <w:spacing w:after="0"/>
        <w:ind w:left="0"/>
        <w:jc w:val="both"/>
      </w:pPr>
      <w:r>
        <w:rPr>
          <w:rFonts w:ascii="Times New Roman"/>
          <w:b w:val="false"/>
          <w:i w:val="false"/>
          <w:color w:val="000000"/>
          <w:sz w:val="28"/>
        </w:rPr>
        <w:t>
      6) количество ценных бумаг (прав требования по обязательствам эмитента по эмиссионным ценным бумагам), предназначенных для проведения операции;</w:t>
      </w:r>
    </w:p>
    <w:bookmarkEnd w:id="369"/>
    <w:bookmarkStart w:name="z429" w:id="370"/>
    <w:p>
      <w:pPr>
        <w:spacing w:after="0"/>
        <w:ind w:left="0"/>
        <w:jc w:val="both"/>
      </w:pPr>
      <w:r>
        <w:rPr>
          <w:rFonts w:ascii="Times New Roman"/>
          <w:b w:val="false"/>
          <w:i w:val="false"/>
          <w:color w:val="000000"/>
          <w:sz w:val="28"/>
        </w:rPr>
        <w:t>
      7) указание на вид сделки (операции) в отношении ценных бумаг;</w:t>
      </w:r>
    </w:p>
    <w:bookmarkEnd w:id="370"/>
    <w:bookmarkStart w:name="z430" w:id="371"/>
    <w:p>
      <w:pPr>
        <w:spacing w:after="0"/>
        <w:ind w:left="0"/>
        <w:jc w:val="both"/>
      </w:pPr>
      <w:r>
        <w:rPr>
          <w:rFonts w:ascii="Times New Roman"/>
          <w:b w:val="false"/>
          <w:i w:val="false"/>
          <w:color w:val="000000"/>
          <w:sz w:val="28"/>
        </w:rPr>
        <w:t>
      8) сведения в отношении прав по ценным бумагам (правам требования по обязательствам эмитента по эмиссионным ценным бумагам), передаваемых залогодержателю при регистрации сделки залога;</w:t>
      </w:r>
    </w:p>
    <w:bookmarkEnd w:id="371"/>
    <w:bookmarkStart w:name="z431" w:id="372"/>
    <w:p>
      <w:pPr>
        <w:spacing w:after="0"/>
        <w:ind w:left="0"/>
        <w:jc w:val="both"/>
      </w:pPr>
      <w:r>
        <w:rPr>
          <w:rFonts w:ascii="Times New Roman"/>
          <w:b w:val="false"/>
          <w:i w:val="false"/>
          <w:color w:val="000000"/>
          <w:sz w:val="28"/>
        </w:rPr>
        <w:t>
      9) сведения о цене одной ценной бумаги (права требования по обязательствам эмитента по одной эмиссионной ценной бумаге), являющейся предметом сделки или сумме сделки;</w:t>
      </w:r>
    </w:p>
    <w:bookmarkEnd w:id="372"/>
    <w:bookmarkStart w:name="z432" w:id="373"/>
    <w:p>
      <w:pPr>
        <w:spacing w:after="0"/>
        <w:ind w:left="0"/>
        <w:jc w:val="both"/>
      </w:pPr>
      <w:r>
        <w:rPr>
          <w:rFonts w:ascii="Times New Roman"/>
          <w:b w:val="false"/>
          <w:i w:val="false"/>
          <w:color w:val="000000"/>
          <w:sz w:val="28"/>
        </w:rPr>
        <w:t>
      10) иные сведения, предусмотренные внутренними документами номинального держателя.</w:t>
      </w:r>
    </w:p>
    <w:bookmarkEnd w:id="373"/>
    <w:bookmarkStart w:name="z433" w:id="374"/>
    <w:p>
      <w:pPr>
        <w:spacing w:after="0"/>
        <w:ind w:left="0"/>
        <w:jc w:val="both"/>
      </w:pPr>
      <w:r>
        <w:rPr>
          <w:rFonts w:ascii="Times New Roman"/>
          <w:b w:val="false"/>
          <w:i w:val="false"/>
          <w:color w:val="000000"/>
          <w:sz w:val="28"/>
        </w:rPr>
        <w:t>
      Сведения, предусмотренные подпунктом 9) части первой настоящего пункта, не отражаются в приказах держателей ценных бумаг на проведение операций списания и зачисления ценных бумаг (права требования по обязательствам эмитента по одной эмиссионной ценной бумаге), не предусматривающих переход права собственности на данные ценные бумаги (права требования по обязательствам эмитента по одной эмиссионной ценной бумаге), а также связанных с дарением и наследованием ценных бумаг (прав требования по обязательствам эмитента по эмиссионным ценным бумагам).";</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435" w:id="375"/>
    <w:p>
      <w:pPr>
        <w:spacing w:after="0"/>
        <w:ind w:left="0"/>
        <w:jc w:val="both"/>
      </w:pPr>
      <w:r>
        <w:rPr>
          <w:rFonts w:ascii="Times New Roman"/>
          <w:b w:val="false"/>
          <w:i w:val="false"/>
          <w:color w:val="000000"/>
          <w:sz w:val="28"/>
        </w:rPr>
        <w:t>
      "39. Приказ на проведение операции по лицевым счетам подписывается лицом, участвующим в сделке, или его представителем, или номинальным держателем в случае, указанном в пункте 35 Правил.</w:t>
      </w:r>
    </w:p>
    <w:bookmarkEnd w:id="375"/>
    <w:bookmarkStart w:name="z436" w:id="376"/>
    <w:p>
      <w:pPr>
        <w:spacing w:after="0"/>
        <w:ind w:left="0"/>
        <w:jc w:val="both"/>
      </w:pPr>
      <w:r>
        <w:rPr>
          <w:rFonts w:ascii="Times New Roman"/>
          <w:b w:val="false"/>
          <w:i w:val="false"/>
          <w:color w:val="000000"/>
          <w:sz w:val="28"/>
        </w:rPr>
        <w:t>
      Приказ управляющей компании паевого инвестиционного фонда на проведение операций с паями, за исключением информационных, подписывается ее представителем, а также подписывается руководителем подразделения кастодиана, обеспечивающего учет активов паевого инвестиционного фонда, либо подтверждается кастодианом путем направления им номинальному держателю своего подтверждения приказа управляющей компании паевого инвестиционного фонда на проведение операций с паями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за исключением информационных.</w:t>
      </w:r>
    </w:p>
    <w:bookmarkEnd w:id="376"/>
    <w:bookmarkStart w:name="z437" w:id="377"/>
    <w:p>
      <w:pPr>
        <w:spacing w:after="0"/>
        <w:ind w:left="0"/>
        <w:jc w:val="both"/>
      </w:pPr>
      <w:r>
        <w:rPr>
          <w:rFonts w:ascii="Times New Roman"/>
          <w:b w:val="false"/>
          <w:i w:val="false"/>
          <w:color w:val="000000"/>
          <w:sz w:val="28"/>
        </w:rPr>
        <w:t>
      Форма и содержание подтверждения кастодиана приказа управляющей компании, определяются в соответствии с внутренними документами номинального держателя.</w:t>
      </w:r>
    </w:p>
    <w:bookmarkEnd w:id="377"/>
    <w:bookmarkStart w:name="z438" w:id="378"/>
    <w:p>
      <w:pPr>
        <w:spacing w:after="0"/>
        <w:ind w:left="0"/>
        <w:jc w:val="both"/>
      </w:pPr>
      <w:r>
        <w:rPr>
          <w:rFonts w:ascii="Times New Roman"/>
          <w:b w:val="false"/>
          <w:i w:val="false"/>
          <w:color w:val="000000"/>
          <w:sz w:val="28"/>
        </w:rPr>
        <w:t>
      В случае обращения клиента номинального держателя за получением электронных услуг допускается подача приказов в форме электронного документа или иной электронно-цифровой форме, удостоверенной посредством динамической и (или) биометрической идентификации клиента, а также с использованием систем SWIFT, Bloomberg, Reuters. Порядок и условия подачи приказов, а также их форматы определяются внутренними документами номинального держателя.";</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44-3</w:t>
      </w:r>
      <w:r>
        <w:rPr>
          <w:rFonts w:ascii="Times New Roman"/>
          <w:b w:val="false"/>
          <w:i w:val="false"/>
          <w:color w:val="000000"/>
          <w:sz w:val="28"/>
        </w:rPr>
        <w:t xml:space="preserve"> изложить в следующей редакции:</w:t>
      </w:r>
    </w:p>
    <w:bookmarkStart w:name="z440" w:id="379"/>
    <w:p>
      <w:pPr>
        <w:spacing w:after="0"/>
        <w:ind w:left="0"/>
        <w:jc w:val="both"/>
      </w:pPr>
      <w:r>
        <w:rPr>
          <w:rFonts w:ascii="Times New Roman"/>
          <w:b w:val="false"/>
          <w:i w:val="false"/>
          <w:color w:val="000000"/>
          <w:sz w:val="28"/>
        </w:rPr>
        <w:t>
      "44-3. Операции "репо" регистрируются в порядке, определенном сводом правил центрального депозитария.";</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44-4</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и </w:t>
      </w:r>
      <w:r>
        <w:rPr>
          <w:rFonts w:ascii="Times New Roman"/>
          <w:b w:val="false"/>
          <w:i w:val="false"/>
          <w:color w:val="000000"/>
          <w:sz w:val="28"/>
        </w:rPr>
        <w:t>44-6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443" w:id="380"/>
    <w:p>
      <w:pPr>
        <w:spacing w:after="0"/>
        <w:ind w:left="0"/>
        <w:jc w:val="both"/>
      </w:pPr>
      <w:r>
        <w:rPr>
          <w:rFonts w:ascii="Times New Roman"/>
          <w:b w:val="false"/>
          <w:i w:val="false"/>
          <w:color w:val="000000"/>
          <w:sz w:val="28"/>
        </w:rPr>
        <w:t>
      "47. Операция по закрытию лицевого счета держателя ценных бумаг проводится номинальным держателем:</w:t>
      </w:r>
    </w:p>
    <w:bookmarkEnd w:id="380"/>
    <w:bookmarkStart w:name="z444" w:id="381"/>
    <w:p>
      <w:pPr>
        <w:spacing w:after="0"/>
        <w:ind w:left="0"/>
        <w:jc w:val="both"/>
      </w:pPr>
      <w:r>
        <w:rPr>
          <w:rFonts w:ascii="Times New Roman"/>
          <w:b w:val="false"/>
          <w:i w:val="false"/>
          <w:color w:val="000000"/>
          <w:sz w:val="28"/>
        </w:rPr>
        <w:t>
      1) на основании приказа клиента на закрытие лицевого счета;</w:t>
      </w:r>
    </w:p>
    <w:bookmarkEnd w:id="381"/>
    <w:bookmarkStart w:name="z445" w:id="382"/>
    <w:p>
      <w:pPr>
        <w:spacing w:after="0"/>
        <w:ind w:left="0"/>
        <w:jc w:val="both"/>
      </w:pPr>
      <w:r>
        <w:rPr>
          <w:rFonts w:ascii="Times New Roman"/>
          <w:b w:val="false"/>
          <w:i w:val="false"/>
          <w:color w:val="000000"/>
          <w:sz w:val="28"/>
        </w:rPr>
        <w:t>
      2) при возврате активов клиенту в случае лишения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w:t>
      </w:r>
    </w:p>
    <w:bookmarkEnd w:id="382"/>
    <w:bookmarkStart w:name="z446" w:id="383"/>
    <w:p>
      <w:pPr>
        <w:spacing w:after="0"/>
        <w:ind w:left="0"/>
        <w:jc w:val="both"/>
      </w:pPr>
      <w:r>
        <w:rPr>
          <w:rFonts w:ascii="Times New Roman"/>
          <w:b w:val="false"/>
          <w:i w:val="false"/>
          <w:color w:val="000000"/>
          <w:sz w:val="28"/>
        </w:rPr>
        <w:t>
      Допускается закрытие лицевого счета держателя ценных бумаг при отсутствии на данном лицевом счете ценных бумаг (прав требований по обязательствам эмитента по эмиссионным ценным бумагам) в течение последних двенадцати месяцев на основании решения исполнительного органа номинального держателя, если данное решение не противоречит условиям договора о номинальном держании, заключенного с данным держателем.</w:t>
      </w:r>
    </w:p>
    <w:bookmarkEnd w:id="383"/>
    <w:bookmarkStart w:name="z447" w:id="384"/>
    <w:p>
      <w:pPr>
        <w:spacing w:after="0"/>
        <w:ind w:left="0"/>
        <w:jc w:val="both"/>
      </w:pPr>
      <w:r>
        <w:rPr>
          <w:rFonts w:ascii="Times New Roman"/>
          <w:b w:val="false"/>
          <w:i w:val="false"/>
          <w:color w:val="000000"/>
          <w:sz w:val="28"/>
        </w:rPr>
        <w:t>
      Операция по закрытию лицевых счетов юридических лиц, в отношении которых завершена процедура банкротства и ликвидации и при отсутствии на таких лицевых счетах ценных бумаг, осуществляется на основании сведений Национального реестра бизнес-идентификационных номеров, подтверждающих прекращение деятельности юридического лица.</w:t>
      </w:r>
    </w:p>
    <w:bookmarkEnd w:id="384"/>
    <w:bookmarkStart w:name="z448" w:id="385"/>
    <w:p>
      <w:pPr>
        <w:spacing w:after="0"/>
        <w:ind w:left="0"/>
        <w:jc w:val="both"/>
      </w:pPr>
      <w:r>
        <w:rPr>
          <w:rFonts w:ascii="Times New Roman"/>
          <w:b w:val="false"/>
          <w:i w:val="false"/>
          <w:color w:val="000000"/>
          <w:sz w:val="28"/>
        </w:rPr>
        <w:t>
      Лицевой счет физического лица, признанного умершим либо объявленным умершим, закрывается номинальным держателем при отсутствии на таком лицевом счете ценных бумаг, на основании свидетельства о смерти и (или) соответствующего решения суда.</w:t>
      </w:r>
    </w:p>
    <w:bookmarkEnd w:id="385"/>
    <w:bookmarkStart w:name="z449" w:id="386"/>
    <w:p>
      <w:pPr>
        <w:spacing w:after="0"/>
        <w:ind w:left="0"/>
        <w:jc w:val="both"/>
      </w:pPr>
      <w:r>
        <w:rPr>
          <w:rFonts w:ascii="Times New Roman"/>
          <w:b w:val="false"/>
          <w:i w:val="false"/>
          <w:color w:val="000000"/>
          <w:sz w:val="28"/>
        </w:rPr>
        <w:t>
      При закрытии лицевого счета держателя ценных бумаг клиенту направляется соответствующее уведомление по форме, установленной внутренним документом номинального держателя, за исключением случаев, установленных частями третьей и четвертой настоящего пункта.";</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451" w:id="387"/>
    <w:p>
      <w:pPr>
        <w:spacing w:after="0"/>
        <w:ind w:left="0"/>
        <w:jc w:val="both"/>
      </w:pPr>
      <w:r>
        <w:rPr>
          <w:rFonts w:ascii="Times New Roman"/>
          <w:b w:val="false"/>
          <w:i w:val="false"/>
          <w:color w:val="000000"/>
          <w:sz w:val="28"/>
        </w:rPr>
        <w:t>
      "48. Проведение информационной операции осуществляется номинальным держателем на основании письменных распоряжений (приказов) держателя ценных бумаг или запросов государственных органов, в случаях предусмотренных законодательством Республики Казахстан о рынке ценных бумаг.</w:t>
      </w:r>
    </w:p>
    <w:bookmarkEnd w:id="387"/>
    <w:bookmarkStart w:name="z452" w:id="388"/>
    <w:p>
      <w:pPr>
        <w:spacing w:after="0"/>
        <w:ind w:left="0"/>
        <w:jc w:val="both"/>
      </w:pPr>
      <w:r>
        <w:rPr>
          <w:rFonts w:ascii="Times New Roman"/>
          <w:b w:val="false"/>
          <w:i w:val="false"/>
          <w:color w:val="000000"/>
          <w:sz w:val="28"/>
        </w:rPr>
        <w:t>
      В случае обращения клиента номинального держателя за получением электронных услуг и в случаях, предусмотренных внутренними документами номинального держателя, распоряжение (приказ) держателя ценных бумаг составляется и передается в форме электронного документа или иной электронно-цифровой форме, удостоверенной посредством динамической и (или) биометрической идентификации клиента, с использованием информационных систем.".</w:t>
      </w:r>
    </w:p>
    <w:bookmarkEnd w:id="388"/>
    <w:bookmarkStart w:name="z453" w:id="389"/>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19 декабря 2015 года № 249 "Об утверждении Требований к организационной структуре организатора торгов и составу листинговой комиссии фондовой биржи, а также Правил осуществления деятельности структурного подразделения организатора торгов, осуществляющего деятельность по надзору за совершаемыми сделками в торговой системе фондовой биржи" (зарегистрировано в Реестре государственной регистрации нормативных правовых актов под № 12998, опубликовано 01 марта 2016 года в информационно-правовой системе "Әділет") следующее изменение:</w:t>
      </w:r>
    </w:p>
    <w:bookmarkEnd w:id="389"/>
    <w:bookmarkStart w:name="z454" w:id="3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структурного подразделения организатора торгов, осуществляющего деятельность по надзору за совершаемыми сделками в торговой системе фондовой биржи, утвержденных указанным постановлением:</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56" w:id="391"/>
    <w:p>
      <w:pPr>
        <w:spacing w:after="0"/>
        <w:ind w:left="0"/>
        <w:jc w:val="both"/>
      </w:pPr>
      <w:r>
        <w:rPr>
          <w:rFonts w:ascii="Times New Roman"/>
          <w:b w:val="false"/>
          <w:i w:val="false"/>
          <w:color w:val="000000"/>
          <w:sz w:val="28"/>
        </w:rPr>
        <w:t xml:space="preserve">
      "5. Отчет о подозрительной сделке составляется в сроки, установленные внутренними документами фондовой биржи, и направляется в уполномоченный орган в сроки, определенные Правилами признания сделок с ценными бумагами и иными финансовыми инструментами, заключенных на организованном и неорганизованном рынках ценных бумаг, как совершенных в целях манипулирования, создания и работы экспертного комитета, а также его количественным составом,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декабря 2018 года № 319, зарегистрированным в Реестре государственной регистрации нормативных правовых актов под № 18169.".</w:t>
      </w:r>
    </w:p>
    <w:bookmarkEnd w:id="391"/>
    <w:bookmarkStart w:name="z457" w:id="392"/>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19 декабря 2015 года № 252 "Об утверждении Правил формирования системы управления рисками и внутреннего контроля для фондовой биржи" (зарегистрировано в Реестре государственной регистрации нормативных правовых актов под № 12999, опубликовано 29 февраля 2016 года в информационно-правовой системе "Әділет") следующие изменения и дополнение:</w:t>
      </w:r>
    </w:p>
    <w:bookmarkEnd w:id="392"/>
    <w:bookmarkStart w:name="z458" w:id="3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фондовой биржи, утвержденных указанным постановлением:</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60" w:id="394"/>
    <w:p>
      <w:pPr>
        <w:spacing w:after="0"/>
        <w:ind w:left="0"/>
        <w:jc w:val="both"/>
      </w:pPr>
      <w:r>
        <w:rPr>
          <w:rFonts w:ascii="Times New Roman"/>
          <w:b w:val="false"/>
          <w:i w:val="false"/>
          <w:color w:val="000000"/>
          <w:sz w:val="28"/>
        </w:rPr>
        <w:t>
      "5. Фондовая биржа не реже одного раза в квартал проводит стресс-тестинг по основным видам рисков (ценовому риску, процентному риску, операционному риску, валютному риску по инвестированным фондовой биржей в финансовые инструменты активам) в порядке, предусмотренном политикой фондовой биржи по управлению рисками.</w:t>
      </w:r>
    </w:p>
    <w:bookmarkEnd w:id="394"/>
    <w:bookmarkStart w:name="z461" w:id="395"/>
    <w:p>
      <w:pPr>
        <w:spacing w:after="0"/>
        <w:ind w:left="0"/>
        <w:jc w:val="both"/>
      </w:pPr>
      <w:r>
        <w:rPr>
          <w:rFonts w:ascii="Times New Roman"/>
          <w:b w:val="false"/>
          <w:i w:val="false"/>
          <w:color w:val="000000"/>
          <w:sz w:val="28"/>
        </w:rPr>
        <w:t>
      Стресс-тестинг по операционному риску в части организации и проведения торгов проводится путем тестирования торговой системы фондовой биржи на моделирование стрессовых ситуаций функционирования элементов торговой системы, включающих в себя количество пользовательских подключений, пропускную способность потоков информации, скорость подачи заявок и заключения сделок, отказ компонентов торговой системы на основных и (или) вспомогательных серверах.";</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bookmarkStart w:name="z463" w:id="396"/>
    <w:p>
      <w:pPr>
        <w:spacing w:after="0"/>
        <w:ind w:left="0"/>
        <w:jc w:val="both"/>
      </w:pPr>
      <w:r>
        <w:rPr>
          <w:rFonts w:ascii="Times New Roman"/>
          <w:b w:val="false"/>
          <w:i w:val="false"/>
          <w:color w:val="000000"/>
          <w:sz w:val="28"/>
        </w:rPr>
        <w:t>
      дополнить пунктом 7-1 следующего содержания:</w:t>
      </w:r>
    </w:p>
    <w:bookmarkEnd w:id="396"/>
    <w:bookmarkStart w:name="z464" w:id="397"/>
    <w:p>
      <w:pPr>
        <w:spacing w:after="0"/>
        <w:ind w:left="0"/>
        <w:jc w:val="both"/>
      </w:pPr>
      <w:r>
        <w:rPr>
          <w:rFonts w:ascii="Times New Roman"/>
          <w:b w:val="false"/>
          <w:i w:val="false"/>
          <w:color w:val="000000"/>
          <w:sz w:val="28"/>
        </w:rPr>
        <w:t>
      "7-1. Результаты стресс-тестинга по ценовому риску, процентному риску, валютному риску, операционному риску оформляются в порядке, определенном политикой фондовой биржи по управлению рисками, и содержат описание сценария стресс-теста, обоснование выбранного сценария стресс-теста и рекомендации по результатам стресс-тестинга.";</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466" w:id="398"/>
    <w:p>
      <w:pPr>
        <w:spacing w:after="0"/>
        <w:ind w:left="0"/>
        <w:jc w:val="both"/>
      </w:pPr>
      <w:r>
        <w:rPr>
          <w:rFonts w:ascii="Times New Roman"/>
          <w:b w:val="false"/>
          <w:i w:val="false"/>
          <w:color w:val="000000"/>
          <w:sz w:val="28"/>
        </w:rPr>
        <w:t>
      "8. Наличие системы управления рисками на фондовой бирже предусматривает соответствие деятельности фондовой биржи требованиям по корпоративному управлению, наличию практики проведения операций в рамках лицензируемого вида деятельности, функционированию торговой системы.</w:t>
      </w:r>
    </w:p>
    <w:bookmarkEnd w:id="398"/>
    <w:bookmarkStart w:name="z467" w:id="399"/>
    <w:p>
      <w:pPr>
        <w:spacing w:after="0"/>
        <w:ind w:left="0"/>
        <w:jc w:val="both"/>
      </w:pPr>
      <w:r>
        <w:rPr>
          <w:rFonts w:ascii="Times New Roman"/>
          <w:b w:val="false"/>
          <w:i w:val="false"/>
          <w:color w:val="000000"/>
          <w:sz w:val="28"/>
        </w:rPr>
        <w:t>
      Система управления рисками фондовой биржи обеспечивает контроль, мониторинг и минимизацию рисков, присущих ее деятельности.";</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469" w:id="400"/>
    <w:p>
      <w:pPr>
        <w:spacing w:after="0"/>
        <w:ind w:left="0"/>
        <w:jc w:val="both"/>
      </w:pPr>
      <w:r>
        <w:rPr>
          <w:rFonts w:ascii="Times New Roman"/>
          <w:b w:val="false"/>
          <w:i w:val="false"/>
          <w:color w:val="000000"/>
          <w:sz w:val="28"/>
        </w:rPr>
        <w:t>
      "40. Совет директоров фондовой биржи обеспечивает предоставление информации о технических сбоях и обстоятельствах, повлекших нарушение процесса торговли финансовыми инструментами, в уполномоченный орган в течение рабочего дня, следующего за днем их наступления.</w:t>
      </w:r>
    </w:p>
    <w:bookmarkEnd w:id="400"/>
    <w:bookmarkStart w:name="z470" w:id="401"/>
    <w:p>
      <w:pPr>
        <w:spacing w:after="0"/>
        <w:ind w:left="0"/>
        <w:jc w:val="both"/>
      </w:pPr>
      <w:r>
        <w:rPr>
          <w:rFonts w:ascii="Times New Roman"/>
          <w:b w:val="false"/>
          <w:i w:val="false"/>
          <w:color w:val="000000"/>
          <w:sz w:val="28"/>
        </w:rPr>
        <w:t>
      41. Подразделением фондовой биржи по управлению рисками ежеквартально составляется отчет совету директоров и правлению, включающий в себя сведения о количестве случаев наступления рисков и размере ущерба, понесенном в результате наступления рисков, а также предоставляется план мероприятий по минимизации как самих рисков, так и последствий от их наступления.".</w:t>
      </w:r>
    </w:p>
    <w:bookmarkEnd w:id="401"/>
    <w:bookmarkStart w:name="z471" w:id="402"/>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27 "Об утверждении Правил предоставления номинальными держателями электронных услуг" (зарегистрировано в Реестре государственной регистрации нормативных правовых актов под № 13310, опубликовано 4 апреля 2016 года в информационно-правовой системе "Әділет") следующие изменения и дополнение:</w:t>
      </w:r>
    </w:p>
    <w:bookmarkEnd w:id="402"/>
    <w:bookmarkStart w:name="z472" w:id="4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номинальными держателями электронных услуг, утвержденных указанным постановлением:</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74" w:id="404"/>
    <w:p>
      <w:pPr>
        <w:spacing w:after="0"/>
        <w:ind w:left="0"/>
        <w:jc w:val="both"/>
      </w:pPr>
      <w:r>
        <w:rPr>
          <w:rFonts w:ascii="Times New Roman"/>
          <w:b w:val="false"/>
          <w:i w:val="false"/>
          <w:color w:val="000000"/>
          <w:sz w:val="28"/>
        </w:rPr>
        <w:t>
      "2. В Правилах используются следующие понятия:</w:t>
      </w:r>
    </w:p>
    <w:bookmarkEnd w:id="404"/>
    <w:bookmarkStart w:name="z475" w:id="405"/>
    <w:p>
      <w:pPr>
        <w:spacing w:after="0"/>
        <w:ind w:left="0"/>
        <w:jc w:val="both"/>
      </w:pPr>
      <w:r>
        <w:rPr>
          <w:rFonts w:ascii="Times New Roman"/>
          <w:b w:val="false"/>
          <w:i w:val="false"/>
          <w:color w:val="000000"/>
          <w:sz w:val="28"/>
        </w:rPr>
        <w:t>
      1) информационная операция - операция в системе учета номинального держания по:</w:t>
      </w:r>
    </w:p>
    <w:bookmarkEnd w:id="405"/>
    <w:bookmarkStart w:name="z476" w:id="406"/>
    <w:p>
      <w:pPr>
        <w:spacing w:after="0"/>
        <w:ind w:left="0"/>
        <w:jc w:val="both"/>
      </w:pPr>
      <w:r>
        <w:rPr>
          <w:rFonts w:ascii="Times New Roman"/>
          <w:b w:val="false"/>
          <w:i w:val="false"/>
          <w:color w:val="000000"/>
          <w:sz w:val="28"/>
        </w:rPr>
        <w:t>
      выдаче выписки с лицевого счета клиента;</w:t>
      </w:r>
    </w:p>
    <w:bookmarkEnd w:id="406"/>
    <w:bookmarkStart w:name="z477" w:id="407"/>
    <w:p>
      <w:pPr>
        <w:spacing w:after="0"/>
        <w:ind w:left="0"/>
        <w:jc w:val="both"/>
      </w:pPr>
      <w:r>
        <w:rPr>
          <w:rFonts w:ascii="Times New Roman"/>
          <w:b w:val="false"/>
          <w:i w:val="false"/>
          <w:color w:val="000000"/>
          <w:sz w:val="28"/>
        </w:rPr>
        <w:t>
      выдаче отчета о проведенных операциях;</w:t>
      </w:r>
    </w:p>
    <w:bookmarkEnd w:id="407"/>
    <w:bookmarkStart w:name="z478" w:id="408"/>
    <w:p>
      <w:pPr>
        <w:spacing w:after="0"/>
        <w:ind w:left="0"/>
        <w:jc w:val="both"/>
      </w:pPr>
      <w:r>
        <w:rPr>
          <w:rFonts w:ascii="Times New Roman"/>
          <w:b w:val="false"/>
          <w:i w:val="false"/>
          <w:color w:val="000000"/>
          <w:sz w:val="28"/>
        </w:rPr>
        <w:t>
      подготовке и выдаче других отчетов по запросу клиента;</w:t>
      </w:r>
    </w:p>
    <w:bookmarkEnd w:id="408"/>
    <w:bookmarkStart w:name="z479" w:id="409"/>
    <w:p>
      <w:pPr>
        <w:spacing w:after="0"/>
        <w:ind w:left="0"/>
        <w:jc w:val="both"/>
      </w:pPr>
      <w:r>
        <w:rPr>
          <w:rFonts w:ascii="Times New Roman"/>
          <w:b w:val="false"/>
          <w:i w:val="false"/>
          <w:color w:val="000000"/>
          <w:sz w:val="28"/>
        </w:rPr>
        <w:t>
      2) аутентификация - подтверждение личности клиента, подлинности и правильности составления электронного документа путем использования процедуры безопасности, установленной брокером;</w:t>
      </w:r>
    </w:p>
    <w:bookmarkEnd w:id="409"/>
    <w:bookmarkStart w:name="z480" w:id="410"/>
    <w:p>
      <w:pPr>
        <w:spacing w:after="0"/>
        <w:ind w:left="0"/>
        <w:jc w:val="both"/>
      </w:pPr>
      <w:r>
        <w:rPr>
          <w:rFonts w:ascii="Times New Roman"/>
          <w:b w:val="false"/>
          <w:i w:val="false"/>
          <w:color w:val="000000"/>
          <w:sz w:val="28"/>
        </w:rPr>
        <w:t xml:space="preserve">
      3) биометрическая идентификация – процедура установления личности клиента с целью однозначного подтверждения его прав на получение электронных услуг на основе его физиологических и биологических особенностей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персональных данных и их защите;</w:t>
      </w:r>
    </w:p>
    <w:bookmarkEnd w:id="410"/>
    <w:bookmarkStart w:name="z481" w:id="411"/>
    <w:p>
      <w:pPr>
        <w:spacing w:after="0"/>
        <w:ind w:left="0"/>
        <w:jc w:val="both"/>
      </w:pPr>
      <w:r>
        <w:rPr>
          <w:rFonts w:ascii="Times New Roman"/>
          <w:b w:val="false"/>
          <w:i w:val="false"/>
          <w:color w:val="000000"/>
          <w:sz w:val="28"/>
        </w:rPr>
        <w:t>
      4) торговая платформа брокера - совокупность программных и технических средств брокера, включая его информационные системы, обеспечивающая получение информации об операциях с финансовыми инструментами в торговой системе фондовой биржи и (или) на международном рынке ценных бумаг, об операциях с иностранной валютой (в части организации обменных операций с безналичной иностранной валютой) в торговой системе фондовой биржи, портфеле ценных бумаг и иных финансовых инструментах клиента, иной информации, а также предоставление клиенту электронных услуг;</w:t>
      </w:r>
    </w:p>
    <w:bookmarkEnd w:id="411"/>
    <w:bookmarkStart w:name="z482" w:id="412"/>
    <w:p>
      <w:pPr>
        <w:spacing w:after="0"/>
        <w:ind w:left="0"/>
        <w:jc w:val="both"/>
      </w:pPr>
      <w:r>
        <w:rPr>
          <w:rFonts w:ascii="Times New Roman"/>
          <w:b w:val="false"/>
          <w:i w:val="false"/>
          <w:color w:val="000000"/>
          <w:sz w:val="28"/>
        </w:rPr>
        <w:t>
      5) внутренние правила брокера - правила брокера, устанавливающие особенности предоставления электронных услуг брокером, содержащие порядок и условия представления электронных услуг брокером, описание процедур безопасности, организационные меры и программно-технические средства, обеспечивающие информационную безопасность при предоставлении электронных услуг брокером;</w:t>
      </w:r>
    </w:p>
    <w:bookmarkEnd w:id="412"/>
    <w:bookmarkStart w:name="z483" w:id="413"/>
    <w:p>
      <w:pPr>
        <w:spacing w:after="0"/>
        <w:ind w:left="0"/>
        <w:jc w:val="both"/>
      </w:pPr>
      <w:r>
        <w:rPr>
          <w:rFonts w:ascii="Times New Roman"/>
          <w:b w:val="false"/>
          <w:i w:val="false"/>
          <w:color w:val="000000"/>
          <w:sz w:val="28"/>
        </w:rPr>
        <w:t>
      6) одноразовый (единовременный) код - уникальная последовательность электронных цифровых символов, создаваемая программно-аппаратными средствами по запросу клиента и предназначенная для одноразового использования при предоставлении доступа клиенту к электронным услугам брокера;</w:t>
      </w:r>
    </w:p>
    <w:bookmarkEnd w:id="413"/>
    <w:bookmarkStart w:name="z484" w:id="414"/>
    <w:p>
      <w:pPr>
        <w:spacing w:after="0"/>
        <w:ind w:left="0"/>
        <w:jc w:val="both"/>
      </w:pPr>
      <w:r>
        <w:rPr>
          <w:rFonts w:ascii="Times New Roman"/>
          <w:b w:val="false"/>
          <w:i w:val="false"/>
          <w:color w:val="000000"/>
          <w:sz w:val="28"/>
        </w:rPr>
        <w:t>
      7) личный кабинет - интерактивный сервис в торговой платформе брокера, посредством которого клиент направляет поручения брокеру на предоставление электронных услуг, получает электронные услуги;</w:t>
      </w:r>
    </w:p>
    <w:bookmarkEnd w:id="414"/>
    <w:bookmarkStart w:name="z485" w:id="415"/>
    <w:p>
      <w:pPr>
        <w:spacing w:after="0"/>
        <w:ind w:left="0"/>
        <w:jc w:val="both"/>
      </w:pPr>
      <w:r>
        <w:rPr>
          <w:rFonts w:ascii="Times New Roman"/>
          <w:b w:val="false"/>
          <w:i w:val="false"/>
          <w:color w:val="000000"/>
          <w:sz w:val="28"/>
        </w:rPr>
        <w:t>
      8) операция по лицевому счету - операция в системе учета</w:t>
      </w:r>
    </w:p>
    <w:bookmarkEnd w:id="415"/>
    <w:bookmarkStart w:name="z486" w:id="416"/>
    <w:p>
      <w:pPr>
        <w:spacing w:after="0"/>
        <w:ind w:left="0"/>
        <w:jc w:val="both"/>
      </w:pPr>
      <w:r>
        <w:rPr>
          <w:rFonts w:ascii="Times New Roman"/>
          <w:b w:val="false"/>
          <w:i w:val="false"/>
          <w:color w:val="000000"/>
          <w:sz w:val="28"/>
        </w:rPr>
        <w:t>
      номинального держания по:</w:t>
      </w:r>
    </w:p>
    <w:bookmarkEnd w:id="416"/>
    <w:bookmarkStart w:name="z487" w:id="417"/>
    <w:p>
      <w:pPr>
        <w:spacing w:after="0"/>
        <w:ind w:left="0"/>
        <w:jc w:val="both"/>
      </w:pPr>
      <w:r>
        <w:rPr>
          <w:rFonts w:ascii="Times New Roman"/>
          <w:b w:val="false"/>
          <w:i w:val="false"/>
          <w:color w:val="000000"/>
          <w:sz w:val="28"/>
        </w:rPr>
        <w:t>
      открытию лицевого счета физическому лицу;</w:t>
      </w:r>
    </w:p>
    <w:bookmarkEnd w:id="417"/>
    <w:bookmarkStart w:name="z488" w:id="418"/>
    <w:p>
      <w:pPr>
        <w:spacing w:after="0"/>
        <w:ind w:left="0"/>
        <w:jc w:val="both"/>
      </w:pPr>
      <w:r>
        <w:rPr>
          <w:rFonts w:ascii="Times New Roman"/>
          <w:b w:val="false"/>
          <w:i w:val="false"/>
          <w:color w:val="000000"/>
          <w:sz w:val="28"/>
        </w:rPr>
        <w:t>
      изменению сведений о клиенте (прав требования по обязательствам эмитента по эмиссионным ценным бумагам);</w:t>
      </w:r>
    </w:p>
    <w:bookmarkEnd w:id="418"/>
    <w:bookmarkStart w:name="z489" w:id="419"/>
    <w:p>
      <w:pPr>
        <w:spacing w:after="0"/>
        <w:ind w:left="0"/>
        <w:jc w:val="both"/>
      </w:pPr>
      <w:r>
        <w:rPr>
          <w:rFonts w:ascii="Times New Roman"/>
          <w:b w:val="false"/>
          <w:i w:val="false"/>
          <w:color w:val="000000"/>
          <w:sz w:val="28"/>
        </w:rPr>
        <w:t>
      списанию (зачислению) ценных бумаг со (на) счетов (счета) клиента;</w:t>
      </w:r>
    </w:p>
    <w:bookmarkEnd w:id="419"/>
    <w:bookmarkStart w:name="z490" w:id="420"/>
    <w:p>
      <w:pPr>
        <w:spacing w:after="0"/>
        <w:ind w:left="0"/>
        <w:jc w:val="both"/>
      </w:pPr>
      <w:r>
        <w:rPr>
          <w:rFonts w:ascii="Times New Roman"/>
          <w:b w:val="false"/>
          <w:i w:val="false"/>
          <w:color w:val="000000"/>
          <w:sz w:val="28"/>
        </w:rPr>
        <w:t>
      списанию (зачислению) прав требования по обязательствам эмитента по эмиссионным ценным бумагам с (на) лицевых (лицевые) счетов (счета) клиента;</w:t>
      </w:r>
    </w:p>
    <w:bookmarkEnd w:id="420"/>
    <w:bookmarkStart w:name="z491" w:id="421"/>
    <w:p>
      <w:pPr>
        <w:spacing w:after="0"/>
        <w:ind w:left="0"/>
        <w:jc w:val="both"/>
      </w:pPr>
      <w:r>
        <w:rPr>
          <w:rFonts w:ascii="Times New Roman"/>
          <w:b w:val="false"/>
          <w:i w:val="false"/>
          <w:color w:val="000000"/>
          <w:sz w:val="28"/>
        </w:rPr>
        <w:t>
      обременению ценных бумаг (прав требования по обязательствам эмитента по эмиссионным ценным бумагам) и снятию обременения;</w:t>
      </w:r>
    </w:p>
    <w:bookmarkEnd w:id="421"/>
    <w:bookmarkStart w:name="z492" w:id="422"/>
    <w:p>
      <w:pPr>
        <w:spacing w:after="0"/>
        <w:ind w:left="0"/>
        <w:jc w:val="both"/>
      </w:pPr>
      <w:r>
        <w:rPr>
          <w:rFonts w:ascii="Times New Roman"/>
          <w:b w:val="false"/>
          <w:i w:val="false"/>
          <w:color w:val="000000"/>
          <w:sz w:val="28"/>
        </w:rPr>
        <w:t>
      внесению записей о доверительном управляющем и удалению записей о доверительном управляющем;</w:t>
      </w:r>
    </w:p>
    <w:bookmarkEnd w:id="422"/>
    <w:bookmarkStart w:name="z493" w:id="423"/>
    <w:p>
      <w:pPr>
        <w:spacing w:after="0"/>
        <w:ind w:left="0"/>
        <w:jc w:val="both"/>
      </w:pPr>
      <w:r>
        <w:rPr>
          <w:rFonts w:ascii="Times New Roman"/>
          <w:b w:val="false"/>
          <w:i w:val="false"/>
          <w:color w:val="000000"/>
          <w:sz w:val="28"/>
        </w:rPr>
        <w:t>
      9) клиент - физическое или юридическое лицо, заключившее с брокером договор о предоставлении брокерских услуг, содержащий условия и порядок предоставления электронных услуг;</w:t>
      </w:r>
    </w:p>
    <w:bookmarkEnd w:id="423"/>
    <w:bookmarkStart w:name="z494" w:id="424"/>
    <w:p>
      <w:pPr>
        <w:spacing w:after="0"/>
        <w:ind w:left="0"/>
        <w:jc w:val="both"/>
      </w:pPr>
      <w:r>
        <w:rPr>
          <w:rFonts w:ascii="Times New Roman"/>
          <w:b w:val="false"/>
          <w:i w:val="false"/>
          <w:color w:val="000000"/>
          <w:sz w:val="28"/>
        </w:rPr>
        <w:t>
      10) динамическая идентификация клиента - процедура установления подлинности клиента с целью однозначного подтверждения его прав на получение электронных услуг путем использования одноразового (единовременного) или многоразового кода;</w:t>
      </w:r>
    </w:p>
    <w:bookmarkEnd w:id="424"/>
    <w:bookmarkStart w:name="z495" w:id="425"/>
    <w:p>
      <w:pPr>
        <w:spacing w:after="0"/>
        <w:ind w:left="0"/>
        <w:jc w:val="both"/>
      </w:pPr>
      <w:r>
        <w:rPr>
          <w:rFonts w:ascii="Times New Roman"/>
          <w:b w:val="false"/>
          <w:i w:val="false"/>
          <w:color w:val="000000"/>
          <w:sz w:val="28"/>
        </w:rPr>
        <w:t xml:space="preserve">
       11) поручение клиента - инструкция клиента брокеру на предоставление электронных услуг, составленная в форме электронного документа или иной электронно-цифровой форме, удостоверенной посредством динамической и (или) биометрической идентификации клиента; </w:t>
      </w:r>
    </w:p>
    <w:bookmarkEnd w:id="425"/>
    <w:bookmarkStart w:name="z496" w:id="426"/>
    <w:p>
      <w:pPr>
        <w:spacing w:after="0"/>
        <w:ind w:left="0"/>
        <w:jc w:val="both"/>
      </w:pPr>
      <w:r>
        <w:rPr>
          <w:rFonts w:ascii="Times New Roman"/>
          <w:b w:val="false"/>
          <w:i w:val="false"/>
          <w:color w:val="000000"/>
          <w:sz w:val="28"/>
        </w:rPr>
        <w:t>
      12) многоразовый код - уникальная последовательность электронных цифровых символов, создаваемая программно-аппаратными средствами по запросу клиента и предназначенная для многоразового использования в течение определенного периода времени при предоставлении доступа клиенту к электронным услугам брокера;</w:t>
      </w:r>
    </w:p>
    <w:bookmarkEnd w:id="426"/>
    <w:bookmarkStart w:name="z497" w:id="427"/>
    <w:p>
      <w:pPr>
        <w:spacing w:after="0"/>
        <w:ind w:left="0"/>
        <w:jc w:val="both"/>
      </w:pPr>
      <w:r>
        <w:rPr>
          <w:rFonts w:ascii="Times New Roman"/>
          <w:b w:val="false"/>
          <w:i w:val="false"/>
          <w:color w:val="000000"/>
          <w:sz w:val="28"/>
        </w:rPr>
        <w:t>
      13) процедура безопасности - комплекс организационных мер и программно-технических средств защиты информации, предназначенных для идентификации клиента при составлении, передаче и получении его поручений с целью установления его права на получение электронных услуг и обнаружения ошибок и (или) изменений в содержании передаваемых и получаемых поручений клиента;</w:t>
      </w:r>
    </w:p>
    <w:bookmarkEnd w:id="427"/>
    <w:bookmarkStart w:name="z498" w:id="428"/>
    <w:p>
      <w:pPr>
        <w:spacing w:after="0"/>
        <w:ind w:left="0"/>
        <w:jc w:val="both"/>
      </w:pPr>
      <w:r>
        <w:rPr>
          <w:rFonts w:ascii="Times New Roman"/>
          <w:b w:val="false"/>
          <w:i w:val="false"/>
          <w:color w:val="000000"/>
          <w:sz w:val="28"/>
        </w:rPr>
        <w:t>
      14) торговая система фондовой биржи - комплекс материально-технических средств, внутренних документов фондовой биржи и иных необходимых активов и процедур, с использованием которых заключаются сделки с эмиссионными ценными бумагами и иными финансовыми инструментами между членами данной фондовой биржи;</w:t>
      </w:r>
    </w:p>
    <w:bookmarkEnd w:id="428"/>
    <w:bookmarkStart w:name="z499" w:id="429"/>
    <w:p>
      <w:pPr>
        <w:spacing w:after="0"/>
        <w:ind w:left="0"/>
        <w:jc w:val="both"/>
      </w:pPr>
      <w:r>
        <w:rPr>
          <w:rFonts w:ascii="Times New Roman"/>
          <w:b w:val="false"/>
          <w:i w:val="false"/>
          <w:color w:val="000000"/>
          <w:sz w:val="28"/>
        </w:rPr>
        <w:t>
      15) торговая операция - операция, осуществляемая брокером в соответствии с поручением клиента по:</w:t>
      </w:r>
    </w:p>
    <w:bookmarkEnd w:id="429"/>
    <w:bookmarkStart w:name="z500" w:id="430"/>
    <w:p>
      <w:pPr>
        <w:spacing w:after="0"/>
        <w:ind w:left="0"/>
        <w:jc w:val="both"/>
      </w:pPr>
      <w:r>
        <w:rPr>
          <w:rFonts w:ascii="Times New Roman"/>
          <w:b w:val="false"/>
          <w:i w:val="false"/>
          <w:color w:val="000000"/>
          <w:sz w:val="28"/>
        </w:rPr>
        <w:t>
      покупке или продаже финансового инструмента, осуществляемая через торговую платформу брокера в торговой системе фондовой биржи и (или) на международном рынке ценных бумаг;</w:t>
      </w:r>
    </w:p>
    <w:bookmarkEnd w:id="430"/>
    <w:bookmarkStart w:name="z501" w:id="431"/>
    <w:p>
      <w:pPr>
        <w:spacing w:after="0"/>
        <w:ind w:left="0"/>
        <w:jc w:val="both"/>
      </w:pPr>
      <w:r>
        <w:rPr>
          <w:rFonts w:ascii="Times New Roman"/>
          <w:b w:val="false"/>
          <w:i w:val="false"/>
          <w:color w:val="000000"/>
          <w:sz w:val="28"/>
        </w:rPr>
        <w:t>
      покупке или продаже финансового инструмента на неорганизованном рынке, предусматривающей расчеты между продавцом и покупателем финансового инструмента по принципу "поставка против платежа;</w:t>
      </w:r>
    </w:p>
    <w:bookmarkEnd w:id="431"/>
    <w:bookmarkStart w:name="z502" w:id="432"/>
    <w:p>
      <w:pPr>
        <w:spacing w:after="0"/>
        <w:ind w:left="0"/>
        <w:jc w:val="both"/>
      </w:pPr>
      <w:r>
        <w:rPr>
          <w:rFonts w:ascii="Times New Roman"/>
          <w:b w:val="false"/>
          <w:i w:val="false"/>
          <w:color w:val="000000"/>
          <w:sz w:val="28"/>
        </w:rPr>
        <w:t>
      покупке или продаже безналичной иностранной валюты, осуществляемая через торговую платформу брокера в торговой системе фондовой биржи;</w:t>
      </w:r>
    </w:p>
    <w:bookmarkEnd w:id="432"/>
    <w:bookmarkStart w:name="z503" w:id="433"/>
    <w:p>
      <w:pPr>
        <w:spacing w:after="0"/>
        <w:ind w:left="0"/>
        <w:jc w:val="both"/>
      </w:pPr>
      <w:r>
        <w:rPr>
          <w:rFonts w:ascii="Times New Roman"/>
          <w:b w:val="false"/>
          <w:i w:val="false"/>
          <w:color w:val="000000"/>
          <w:sz w:val="28"/>
        </w:rPr>
        <w:t>
      списанию (зачислению) денег и (или) ценных бумаг со (на) счетов (счета) клиента;</w:t>
      </w:r>
    </w:p>
    <w:bookmarkEnd w:id="433"/>
    <w:bookmarkStart w:name="z504" w:id="434"/>
    <w:p>
      <w:pPr>
        <w:spacing w:after="0"/>
        <w:ind w:left="0"/>
        <w:jc w:val="both"/>
      </w:pPr>
      <w:r>
        <w:rPr>
          <w:rFonts w:ascii="Times New Roman"/>
          <w:b w:val="false"/>
          <w:i w:val="false"/>
          <w:color w:val="000000"/>
          <w:sz w:val="28"/>
        </w:rPr>
        <w:t xml:space="preserve">
      16) центр обмена идентификационными данными (далее – ЦОИД) – операционный центр межбанковской системы переводов денег, обеспечивающий взаимодействие с брокерами и (или) дилерами по обмену данными клиентов из доступных источников для проведения процедур идентификации клиентов; </w:t>
      </w:r>
    </w:p>
    <w:bookmarkEnd w:id="434"/>
    <w:bookmarkStart w:name="z505" w:id="435"/>
    <w:p>
      <w:pPr>
        <w:spacing w:after="0"/>
        <w:ind w:left="0"/>
        <w:jc w:val="both"/>
      </w:pPr>
      <w:r>
        <w:rPr>
          <w:rFonts w:ascii="Times New Roman"/>
          <w:b w:val="false"/>
          <w:i w:val="false"/>
          <w:color w:val="000000"/>
          <w:sz w:val="28"/>
        </w:rPr>
        <w:t>
      17) электронные услуги - услуги, предоставляемые брокером клиенту через торговую платформу брокера, по осуществлению торговых операций, операций по лицевому счету и (или) информационных операций, а также иные услуги, предоставляемые брокером в соответствии с законодательством Республики Казахстан о рынке ценных бумаг и внутренними правилами брокера.";</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07" w:id="436"/>
    <w:p>
      <w:pPr>
        <w:spacing w:after="0"/>
        <w:ind w:left="0"/>
        <w:jc w:val="both"/>
      </w:pPr>
      <w:r>
        <w:rPr>
          <w:rFonts w:ascii="Times New Roman"/>
          <w:b w:val="false"/>
          <w:i w:val="false"/>
          <w:color w:val="000000"/>
          <w:sz w:val="28"/>
        </w:rPr>
        <w:t>
      "7. При предоставлении брокером электронных услуг клиенту осуществление торговых операций, операций по лицевому счету и информационных операций производится на основании поручения клиента с использованием электронной цифровой подписи клиента и (или) посредством динамической и (или) биометрической идентификации клиента.";</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bookmarkStart w:name="z509" w:id="437"/>
    <w:p>
      <w:pPr>
        <w:spacing w:after="0"/>
        <w:ind w:left="0"/>
        <w:jc w:val="both"/>
      </w:pPr>
      <w:r>
        <w:rPr>
          <w:rFonts w:ascii="Times New Roman"/>
          <w:b w:val="false"/>
          <w:i w:val="false"/>
          <w:color w:val="000000"/>
          <w:sz w:val="28"/>
        </w:rPr>
        <w:t>
      дополнить пунктом 8-1 следующего содержания:</w:t>
      </w:r>
    </w:p>
    <w:bookmarkEnd w:id="437"/>
    <w:bookmarkStart w:name="z510" w:id="438"/>
    <w:p>
      <w:pPr>
        <w:spacing w:after="0"/>
        <w:ind w:left="0"/>
        <w:jc w:val="both"/>
      </w:pPr>
      <w:r>
        <w:rPr>
          <w:rFonts w:ascii="Times New Roman"/>
          <w:b w:val="false"/>
          <w:i w:val="false"/>
          <w:color w:val="000000"/>
          <w:sz w:val="28"/>
        </w:rPr>
        <w:t>
      "8-1. Допускается использование услуг ЦОИД и (или) кредитного бюро с государственным участием при идентификации клиента, являющегося физическим лицом, с использованием средств дистанционной идентификации.</w:t>
      </w:r>
    </w:p>
    <w:bookmarkEnd w:id="438"/>
    <w:bookmarkStart w:name="z511" w:id="439"/>
    <w:p>
      <w:pPr>
        <w:spacing w:after="0"/>
        <w:ind w:left="0"/>
        <w:jc w:val="both"/>
      </w:pPr>
      <w:r>
        <w:rPr>
          <w:rFonts w:ascii="Times New Roman"/>
          <w:b w:val="false"/>
          <w:i w:val="false"/>
          <w:color w:val="000000"/>
          <w:sz w:val="28"/>
        </w:rPr>
        <w:t>
      Использование в качестве средств биометрической идентификации клиента функций мобильных устройств (смартфонов) или приложений, позволяющих считывать физиологические и биологические особенности клиента не является подтверждением личности клиента без проведения сверки данных физиологических и биологических особенностей с ЦОИД и (или) кредитным бюро с государственным участием.";</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513" w:id="440"/>
    <w:p>
      <w:pPr>
        <w:spacing w:after="0"/>
        <w:ind w:left="0"/>
        <w:jc w:val="both"/>
      </w:pPr>
      <w:r>
        <w:rPr>
          <w:rFonts w:ascii="Times New Roman"/>
          <w:b w:val="false"/>
          <w:i w:val="false"/>
          <w:color w:val="000000"/>
          <w:sz w:val="28"/>
        </w:rPr>
        <w:t>
      "10. Торговая платформа брокера предусматривает:</w:t>
      </w:r>
    </w:p>
    <w:bookmarkEnd w:id="440"/>
    <w:bookmarkStart w:name="z514" w:id="441"/>
    <w:p>
      <w:pPr>
        <w:spacing w:after="0"/>
        <w:ind w:left="0"/>
        <w:jc w:val="both"/>
      </w:pPr>
      <w:r>
        <w:rPr>
          <w:rFonts w:ascii="Times New Roman"/>
          <w:b w:val="false"/>
          <w:i w:val="false"/>
          <w:color w:val="000000"/>
          <w:sz w:val="28"/>
        </w:rPr>
        <w:t>
      1) осуществление торговых операций, операций по лицевому счету и (или) информационных операций;</w:t>
      </w:r>
    </w:p>
    <w:bookmarkEnd w:id="441"/>
    <w:bookmarkStart w:name="z515" w:id="442"/>
    <w:p>
      <w:pPr>
        <w:spacing w:after="0"/>
        <w:ind w:left="0"/>
        <w:jc w:val="both"/>
      </w:pPr>
      <w:r>
        <w:rPr>
          <w:rFonts w:ascii="Times New Roman"/>
          <w:b w:val="false"/>
          <w:i w:val="false"/>
          <w:color w:val="000000"/>
          <w:sz w:val="28"/>
        </w:rPr>
        <w:t xml:space="preserve">
      2) формирование клиентских заказов, содержание которых включает в себя реквизиты, установленные </w:t>
      </w:r>
      <w:r>
        <w:rPr>
          <w:rFonts w:ascii="Times New Roman"/>
          <w:b w:val="false"/>
          <w:i w:val="false"/>
          <w:color w:val="000000"/>
          <w:sz w:val="28"/>
        </w:rPr>
        <w:t>Правилами</w:t>
      </w:r>
      <w:r>
        <w:rPr>
          <w:rFonts w:ascii="Times New Roman"/>
          <w:b w:val="false"/>
          <w:i w:val="false"/>
          <w:color w:val="000000"/>
          <w:sz w:val="28"/>
        </w:rPr>
        <w:t xml:space="preserve"> осуществления брокерской и (или) дилерской деятельности на рынке ценных бумаг, порядком проведения брокером и (или) дилером банковских операций,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 февраля 2014 года № 9, зарегистрированным в Реестре государственной регистрации нормативных правовых актов под № 9249 (далее - Правила № 9), при осуществлении торговой операции;</w:t>
      </w:r>
    </w:p>
    <w:bookmarkEnd w:id="442"/>
    <w:bookmarkStart w:name="z516" w:id="443"/>
    <w:p>
      <w:pPr>
        <w:spacing w:after="0"/>
        <w:ind w:left="0"/>
        <w:jc w:val="both"/>
      </w:pPr>
      <w:r>
        <w:rPr>
          <w:rFonts w:ascii="Times New Roman"/>
          <w:b w:val="false"/>
          <w:i w:val="false"/>
          <w:color w:val="000000"/>
          <w:sz w:val="28"/>
        </w:rPr>
        <w:t>
      3) формирование отчетов об исполнении клиентских заказов;</w:t>
      </w:r>
    </w:p>
    <w:bookmarkEnd w:id="443"/>
    <w:bookmarkStart w:name="z517" w:id="444"/>
    <w:p>
      <w:pPr>
        <w:spacing w:after="0"/>
        <w:ind w:left="0"/>
        <w:jc w:val="both"/>
      </w:pPr>
      <w:r>
        <w:rPr>
          <w:rFonts w:ascii="Times New Roman"/>
          <w:b w:val="false"/>
          <w:i w:val="false"/>
          <w:color w:val="000000"/>
          <w:sz w:val="28"/>
        </w:rPr>
        <w:t xml:space="preserve">
      4) формирование приказов клиента, содержание которых включает в себя информацию, определенную </w:t>
      </w:r>
      <w:r>
        <w:rPr>
          <w:rFonts w:ascii="Times New Roman"/>
          <w:b w:val="false"/>
          <w:i w:val="false"/>
          <w:color w:val="000000"/>
          <w:sz w:val="28"/>
        </w:rPr>
        <w:t>Правилами</w:t>
      </w:r>
      <w:r>
        <w:rPr>
          <w:rFonts w:ascii="Times New Roman"/>
          <w:b w:val="false"/>
          <w:i w:val="false"/>
          <w:color w:val="000000"/>
          <w:sz w:val="28"/>
        </w:rPr>
        <w:t xml:space="preserve">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утвержденными постановлением Правления Национального Банка Республики Казахстан от 22 октября 2014 года № 210, зарегистрированным в Реестре государственной регистрации нормативных правовых актов под № 9876, (далее - Правила № 210); </w:t>
      </w:r>
    </w:p>
    <w:bookmarkEnd w:id="444"/>
    <w:bookmarkStart w:name="z518" w:id="445"/>
    <w:p>
      <w:pPr>
        <w:spacing w:after="0"/>
        <w:ind w:left="0"/>
        <w:jc w:val="both"/>
      </w:pPr>
      <w:r>
        <w:rPr>
          <w:rFonts w:ascii="Times New Roman"/>
          <w:b w:val="false"/>
          <w:i w:val="false"/>
          <w:color w:val="000000"/>
          <w:sz w:val="28"/>
        </w:rPr>
        <w:t xml:space="preserve">
      5) формирование выписки с лицевого счета клиента, содержащей сведения, определенные </w:t>
      </w:r>
      <w:r>
        <w:rPr>
          <w:rFonts w:ascii="Times New Roman"/>
          <w:b w:val="false"/>
          <w:i w:val="false"/>
          <w:color w:val="000000"/>
          <w:sz w:val="28"/>
        </w:rPr>
        <w:t>пунктом 49</w:t>
      </w:r>
      <w:r>
        <w:rPr>
          <w:rFonts w:ascii="Times New Roman"/>
          <w:b w:val="false"/>
          <w:i w:val="false"/>
          <w:color w:val="000000"/>
          <w:sz w:val="28"/>
        </w:rPr>
        <w:t xml:space="preserve"> Правил № 210;</w:t>
      </w:r>
    </w:p>
    <w:bookmarkEnd w:id="445"/>
    <w:bookmarkStart w:name="z519" w:id="446"/>
    <w:p>
      <w:pPr>
        <w:spacing w:after="0"/>
        <w:ind w:left="0"/>
        <w:jc w:val="both"/>
      </w:pPr>
      <w:r>
        <w:rPr>
          <w:rFonts w:ascii="Times New Roman"/>
          <w:b w:val="false"/>
          <w:i w:val="false"/>
          <w:color w:val="000000"/>
          <w:sz w:val="28"/>
        </w:rPr>
        <w:t>
      6) формирование отчетов о проведенных операциях и других отчетов по запросу клиента;</w:t>
      </w:r>
    </w:p>
    <w:bookmarkEnd w:id="446"/>
    <w:bookmarkStart w:name="z520" w:id="447"/>
    <w:p>
      <w:pPr>
        <w:spacing w:after="0"/>
        <w:ind w:left="0"/>
        <w:jc w:val="both"/>
      </w:pPr>
      <w:r>
        <w:rPr>
          <w:rFonts w:ascii="Times New Roman"/>
          <w:b w:val="false"/>
          <w:i w:val="false"/>
          <w:color w:val="000000"/>
          <w:sz w:val="28"/>
        </w:rPr>
        <w:t>
      7) формирование отказа в исполнении поручения клиента в случаях, предусмотренных законодательством Республики Казахстан о рынке ценных бумаг;</w:t>
      </w:r>
    </w:p>
    <w:bookmarkEnd w:id="447"/>
    <w:bookmarkStart w:name="z521" w:id="448"/>
    <w:p>
      <w:pPr>
        <w:spacing w:after="0"/>
        <w:ind w:left="0"/>
        <w:jc w:val="both"/>
      </w:pPr>
      <w:r>
        <w:rPr>
          <w:rFonts w:ascii="Times New Roman"/>
          <w:b w:val="false"/>
          <w:i w:val="false"/>
          <w:color w:val="000000"/>
          <w:sz w:val="28"/>
        </w:rPr>
        <w:t>
      8) сохранность изменяемых данных и поиск клиента, в том числе по прежним данным, сохранность информации по всем торговым операциям, операциям по лицевому счету и (или) информационным операциям за весь период при изменении фамилии, имени, отчества (при его наличии) или полного наименования клиента брокера;</w:t>
      </w:r>
    </w:p>
    <w:bookmarkEnd w:id="448"/>
    <w:bookmarkStart w:name="z522" w:id="449"/>
    <w:p>
      <w:pPr>
        <w:spacing w:after="0"/>
        <w:ind w:left="0"/>
        <w:jc w:val="both"/>
      </w:pPr>
      <w:r>
        <w:rPr>
          <w:rFonts w:ascii="Times New Roman"/>
          <w:b w:val="false"/>
          <w:i w:val="false"/>
          <w:color w:val="000000"/>
          <w:sz w:val="28"/>
        </w:rPr>
        <w:t>
      9) поиск информации по индивидуальному запросу и по любым критериям с сохранением запроса, а также сортировку информации по любым параметрам и возможность просмотра информации за предыдущие даты;</w:t>
      </w:r>
    </w:p>
    <w:bookmarkEnd w:id="449"/>
    <w:bookmarkStart w:name="z523" w:id="450"/>
    <w:p>
      <w:pPr>
        <w:spacing w:after="0"/>
        <w:ind w:left="0"/>
        <w:jc w:val="both"/>
      </w:pPr>
      <w:r>
        <w:rPr>
          <w:rFonts w:ascii="Times New Roman"/>
          <w:b w:val="false"/>
          <w:i w:val="false"/>
          <w:color w:val="000000"/>
          <w:sz w:val="28"/>
        </w:rPr>
        <w:t>
      10) обработку и хранение информации по всем операциям по датам без сокращений.</w:t>
      </w:r>
    </w:p>
    <w:bookmarkEnd w:id="450"/>
    <w:bookmarkStart w:name="z524" w:id="451"/>
    <w:p>
      <w:pPr>
        <w:spacing w:after="0"/>
        <w:ind w:left="0"/>
        <w:jc w:val="both"/>
      </w:pPr>
      <w:r>
        <w:rPr>
          <w:rFonts w:ascii="Times New Roman"/>
          <w:b w:val="false"/>
          <w:i w:val="false"/>
          <w:color w:val="000000"/>
          <w:sz w:val="28"/>
        </w:rPr>
        <w:t>
      Внутренними правилами брокера и (или) договором определяются дополнительные электронные услуги, предоставляемые брокером посредством торговой платформы, а также условия и порядок предоставления таких услуг.".</w:t>
      </w:r>
    </w:p>
    <w:bookmarkEnd w:id="451"/>
    <w:bookmarkStart w:name="z525" w:id="452"/>
    <w:p>
      <w:pPr>
        <w:spacing w:after="0"/>
        <w:ind w:left="0"/>
        <w:jc w:val="both"/>
      </w:pPr>
      <w:r>
        <w:rPr>
          <w:rFonts w:ascii="Times New Roman"/>
          <w:b w:val="false"/>
          <w:i w:val="false"/>
          <w:color w:val="000000"/>
          <w:sz w:val="28"/>
        </w:rPr>
        <w:t xml:space="preserve">
      11.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11 "Об утверждении Требований к системе управления рисками центрального контрагента, условиям и порядку мониторинга, контроля и управления рисками центрального контрагента" (зарегистрировано в Реестре государственной регистрации нормативных правовых актов под № 13314, опубликовано 14 марта 2016 года в информационно-правовой системе "Әділет") следующие изменения:</w:t>
      </w:r>
    </w:p>
    <w:bookmarkEnd w:id="452"/>
    <w:bookmarkStart w:name="z526" w:id="4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системе управления рисками центрального контрагента, условиям и порядку мониторинга, контроля и управления рисками центрального контрагента, утвержденных указанным постановлением:</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528" w:id="454"/>
    <w:p>
      <w:pPr>
        <w:spacing w:after="0"/>
        <w:ind w:left="0"/>
        <w:jc w:val="both"/>
      </w:pPr>
      <w:r>
        <w:rPr>
          <w:rFonts w:ascii="Times New Roman"/>
          <w:b w:val="false"/>
          <w:i w:val="false"/>
          <w:color w:val="000000"/>
          <w:sz w:val="28"/>
        </w:rPr>
        <w:t>
      "6. Центральный контрагент не реже одного раза в квартал проводит стресс-тестинг по видам рисков, указанных в подпунктах 1), 2), 3), 4), 5) и 6) пункта 30 Требований, в порядке, предусмотренном политикой центрального контрагента по управлению рисками.</w:t>
      </w:r>
    </w:p>
    <w:bookmarkEnd w:id="454"/>
    <w:bookmarkStart w:name="z529" w:id="455"/>
    <w:p>
      <w:pPr>
        <w:spacing w:after="0"/>
        <w:ind w:left="0"/>
        <w:jc w:val="both"/>
      </w:pPr>
      <w:r>
        <w:rPr>
          <w:rFonts w:ascii="Times New Roman"/>
          <w:b w:val="false"/>
          <w:i w:val="false"/>
          <w:color w:val="000000"/>
          <w:sz w:val="28"/>
        </w:rPr>
        <w:t>
      7. Результаты стресс-тестинга по рискам, указанным в подпунктах 1), 2), 3), 4), 5) и 6) пункта 30 Требований оформляются в порядке, определенном политикой центрального контрагента по управлению рисками, и содержат описание сценария стресс-теста, обоснование выбранного сценария стресс-теста и рекомендации по результатам стресс-тестинга.";</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532" w:id="456"/>
    <w:p>
      <w:pPr>
        <w:spacing w:after="0"/>
        <w:ind w:left="0"/>
        <w:jc w:val="both"/>
      </w:pPr>
      <w:r>
        <w:rPr>
          <w:rFonts w:ascii="Times New Roman"/>
          <w:b w:val="false"/>
          <w:i w:val="false"/>
          <w:color w:val="000000"/>
          <w:sz w:val="28"/>
        </w:rPr>
        <w:t>
      "9. Наличие системы управления рисками центрального контрагента предусматривает соответствие деятельности центрального контрагента требованиям по корпоративному управлению, наличию практики проведения операций в рамках осуществляемого профессионального вида деятельности на рынке ценных бумаг.</w:t>
      </w:r>
    </w:p>
    <w:bookmarkEnd w:id="456"/>
    <w:bookmarkStart w:name="z533" w:id="457"/>
    <w:p>
      <w:pPr>
        <w:spacing w:after="0"/>
        <w:ind w:left="0"/>
        <w:jc w:val="both"/>
      </w:pPr>
      <w:r>
        <w:rPr>
          <w:rFonts w:ascii="Times New Roman"/>
          <w:b w:val="false"/>
          <w:i w:val="false"/>
          <w:color w:val="000000"/>
          <w:sz w:val="28"/>
        </w:rPr>
        <w:t>
      Система управления рисками центрального контрагента обеспечивает контроль, мониторинг, а также минимизацию рисков, присущих его деятельности.";</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535" w:id="458"/>
    <w:p>
      <w:pPr>
        <w:spacing w:after="0"/>
        <w:ind w:left="0"/>
        <w:jc w:val="both"/>
      </w:pPr>
      <w:r>
        <w:rPr>
          <w:rFonts w:ascii="Times New Roman"/>
          <w:b w:val="false"/>
          <w:i w:val="false"/>
          <w:color w:val="000000"/>
          <w:sz w:val="28"/>
        </w:rPr>
        <w:t>
      "16. Порядок и условия формирования, а также использования резервных, гарантийных фондов, маржевых взносов и иного обеспечения клиринговых участников включают:</w:t>
      </w:r>
    </w:p>
    <w:bookmarkEnd w:id="458"/>
    <w:bookmarkStart w:name="z536" w:id="459"/>
    <w:p>
      <w:pPr>
        <w:spacing w:after="0"/>
        <w:ind w:left="0"/>
        <w:jc w:val="both"/>
      </w:pPr>
      <w:r>
        <w:rPr>
          <w:rFonts w:ascii="Times New Roman"/>
          <w:b w:val="false"/>
          <w:i w:val="false"/>
          <w:color w:val="000000"/>
          <w:sz w:val="28"/>
        </w:rPr>
        <w:t>
      1) методику определения и оценки размеров резервных или гарантийных фондов центрального контрагента, маржевых взносов и иного обеспечения клиринговых участников;</w:t>
      </w:r>
    </w:p>
    <w:bookmarkEnd w:id="459"/>
    <w:bookmarkStart w:name="z537" w:id="460"/>
    <w:p>
      <w:pPr>
        <w:spacing w:after="0"/>
        <w:ind w:left="0"/>
        <w:jc w:val="both"/>
      </w:pPr>
      <w:r>
        <w:rPr>
          <w:rFonts w:ascii="Times New Roman"/>
          <w:b w:val="false"/>
          <w:i w:val="false"/>
          <w:color w:val="000000"/>
          <w:sz w:val="28"/>
        </w:rPr>
        <w:t>
      2) порядок и условия уплаты маржевых взносов и иного обеспечения клиринговых участников, взносов клиринговых участников в гарантийный фонд центрального контрагента, формирования резервного фонда центрального контрагента;</w:t>
      </w:r>
    </w:p>
    <w:bookmarkEnd w:id="460"/>
    <w:bookmarkStart w:name="z538" w:id="461"/>
    <w:p>
      <w:pPr>
        <w:spacing w:after="0"/>
        <w:ind w:left="0"/>
        <w:jc w:val="both"/>
      </w:pPr>
      <w:r>
        <w:rPr>
          <w:rFonts w:ascii="Times New Roman"/>
          <w:b w:val="false"/>
          <w:i w:val="false"/>
          <w:color w:val="000000"/>
          <w:sz w:val="28"/>
        </w:rPr>
        <w:t>
      3) порядок и условия осуществления выплат из резервных или гарантийных фондов центрального контрагента;</w:t>
      </w:r>
    </w:p>
    <w:bookmarkEnd w:id="461"/>
    <w:bookmarkStart w:name="z539" w:id="462"/>
    <w:p>
      <w:pPr>
        <w:spacing w:after="0"/>
        <w:ind w:left="0"/>
        <w:jc w:val="both"/>
      </w:pPr>
      <w:r>
        <w:rPr>
          <w:rFonts w:ascii="Times New Roman"/>
          <w:b w:val="false"/>
          <w:i w:val="false"/>
          <w:color w:val="000000"/>
          <w:sz w:val="28"/>
        </w:rPr>
        <w:t>
      4) порядок и условия инвестирования активов резервных или гарантийных фондов центрального контрагента:</w:t>
      </w:r>
    </w:p>
    <w:bookmarkEnd w:id="462"/>
    <w:bookmarkStart w:name="z540" w:id="463"/>
    <w:p>
      <w:pPr>
        <w:spacing w:after="0"/>
        <w:ind w:left="0"/>
        <w:jc w:val="both"/>
      </w:pPr>
      <w:r>
        <w:rPr>
          <w:rFonts w:ascii="Times New Roman"/>
          <w:b w:val="false"/>
          <w:i w:val="false"/>
          <w:color w:val="000000"/>
          <w:sz w:val="28"/>
        </w:rPr>
        <w:t>
      в деньги на корреспондентском счете, открытом в Национальном Банке Республики Казахстан, или на банковском счете, открытом в Акционерном обществе "Центральный депозитарий ценных бумаг";</w:t>
      </w:r>
    </w:p>
    <w:bookmarkEnd w:id="463"/>
    <w:bookmarkStart w:name="z541" w:id="464"/>
    <w:p>
      <w:pPr>
        <w:spacing w:after="0"/>
        <w:ind w:left="0"/>
        <w:jc w:val="both"/>
      </w:pPr>
      <w:r>
        <w:rPr>
          <w:rFonts w:ascii="Times New Roman"/>
          <w:b w:val="false"/>
          <w:i w:val="false"/>
          <w:color w:val="000000"/>
          <w:sz w:val="28"/>
        </w:rPr>
        <w:t>
      в деньги на счетах в иностранных банках-корреспондентах, имеющих долгосрочный международный рейтинг не ниже "ВВВ-" по международной шкале агентства Standard &amp; Poor's или рейтинг аналогичного уровня по международной шкале агентств Fitch или Moody's Investors Service;</w:t>
      </w:r>
    </w:p>
    <w:bookmarkEnd w:id="464"/>
    <w:bookmarkStart w:name="z542" w:id="465"/>
    <w:p>
      <w:pPr>
        <w:spacing w:after="0"/>
        <w:ind w:left="0"/>
        <w:jc w:val="both"/>
      </w:pPr>
      <w:r>
        <w:rPr>
          <w:rFonts w:ascii="Times New Roman"/>
          <w:b w:val="false"/>
          <w:i w:val="false"/>
          <w:color w:val="000000"/>
          <w:sz w:val="28"/>
        </w:rPr>
        <w:t>
      в деньги на текущих счетах в банках второго уровня Республики Казахстан, имеющих долгосрочный рейтинг не ниже "В+" по международной шкале агентства Standard &amp; Poor's или рейтинг аналогичного уровня по международной шкале агентств Fitch или Moody's Investors Service;</w:t>
      </w:r>
    </w:p>
    <w:bookmarkEnd w:id="465"/>
    <w:bookmarkStart w:name="z543" w:id="466"/>
    <w:p>
      <w:pPr>
        <w:spacing w:after="0"/>
        <w:ind w:left="0"/>
        <w:jc w:val="both"/>
      </w:pPr>
      <w:r>
        <w:rPr>
          <w:rFonts w:ascii="Times New Roman"/>
          <w:b w:val="false"/>
          <w:i w:val="false"/>
          <w:color w:val="000000"/>
          <w:sz w:val="28"/>
        </w:rPr>
        <w:t>
      в государственные ценные бумаги Республики Казахстан;</w:t>
      </w:r>
    </w:p>
    <w:bookmarkEnd w:id="466"/>
    <w:bookmarkStart w:name="z544" w:id="467"/>
    <w:p>
      <w:pPr>
        <w:spacing w:after="0"/>
        <w:ind w:left="0"/>
        <w:jc w:val="both"/>
      </w:pPr>
      <w:r>
        <w:rPr>
          <w:rFonts w:ascii="Times New Roman"/>
          <w:b w:val="false"/>
          <w:i w:val="false"/>
          <w:color w:val="000000"/>
          <w:sz w:val="28"/>
        </w:rPr>
        <w:t>
      в государственные облигации иностранных государств, имеющих долгосрочный международный рейтинг не ниже "АА" по международной шкале агентства Standard &amp; Poor's или рейтинг аналогичного уровня по международной шкале агентств Fitch или Moody's Investors Service;</w:t>
      </w:r>
    </w:p>
    <w:bookmarkEnd w:id="467"/>
    <w:bookmarkStart w:name="z545" w:id="468"/>
    <w:p>
      <w:pPr>
        <w:spacing w:after="0"/>
        <w:ind w:left="0"/>
        <w:jc w:val="both"/>
      </w:pPr>
      <w:r>
        <w:rPr>
          <w:rFonts w:ascii="Times New Roman"/>
          <w:b w:val="false"/>
          <w:i w:val="false"/>
          <w:color w:val="000000"/>
          <w:sz w:val="28"/>
        </w:rPr>
        <w:t>
      в инструменты репо, осуществляемые "автоматическим" способом;</w:t>
      </w:r>
    </w:p>
    <w:bookmarkEnd w:id="468"/>
    <w:bookmarkStart w:name="z546" w:id="469"/>
    <w:p>
      <w:pPr>
        <w:spacing w:after="0"/>
        <w:ind w:left="0"/>
        <w:jc w:val="both"/>
      </w:pPr>
      <w:r>
        <w:rPr>
          <w:rFonts w:ascii="Times New Roman"/>
          <w:b w:val="false"/>
          <w:i w:val="false"/>
          <w:color w:val="000000"/>
          <w:sz w:val="28"/>
        </w:rPr>
        <w:t>
      в депозиты в банках второго уровня Республики Казахстан, имеющих долгосрочный рейтинг не ниже "ВB+" по международной шкале агентства Standard &amp; Poor's или рейтинг аналогичного уровня по международной шкале агентств Fitch или Moody's Investors Service;</w:t>
      </w:r>
    </w:p>
    <w:bookmarkEnd w:id="469"/>
    <w:bookmarkStart w:name="z547" w:id="470"/>
    <w:p>
      <w:pPr>
        <w:spacing w:after="0"/>
        <w:ind w:left="0"/>
        <w:jc w:val="both"/>
      </w:pPr>
      <w:r>
        <w:rPr>
          <w:rFonts w:ascii="Times New Roman"/>
          <w:b w:val="false"/>
          <w:i w:val="false"/>
          <w:color w:val="000000"/>
          <w:sz w:val="28"/>
        </w:rPr>
        <w:t>
      в депозиты в банках-нерезидентах, имеющих долгосрочный международный рейтинг не ниже "ВВВ-" по международной шкале агентства Standard &amp; Poor's или рейтинг аналогичного уровня по международной шкале агентств Fitch или Moody's Investors Service;</w:t>
      </w:r>
    </w:p>
    <w:bookmarkEnd w:id="470"/>
    <w:bookmarkStart w:name="z548" w:id="471"/>
    <w:p>
      <w:pPr>
        <w:spacing w:after="0"/>
        <w:ind w:left="0"/>
        <w:jc w:val="both"/>
      </w:pPr>
      <w:r>
        <w:rPr>
          <w:rFonts w:ascii="Times New Roman"/>
          <w:b w:val="false"/>
          <w:i w:val="false"/>
          <w:color w:val="000000"/>
          <w:sz w:val="28"/>
        </w:rPr>
        <w:t>
      в корпоративные облигации (в том числе купонные международные облигации), имеющие рейтинг не ниже "BВ-" по международной шкале агентства Standard &amp; Poor's или рейтинг аналогичного уровня по международной шкале агентств Fitch или Moody's Investors Service;</w:t>
      </w:r>
    </w:p>
    <w:bookmarkEnd w:id="471"/>
    <w:bookmarkStart w:name="z549" w:id="472"/>
    <w:p>
      <w:pPr>
        <w:spacing w:after="0"/>
        <w:ind w:left="0"/>
        <w:jc w:val="both"/>
      </w:pPr>
      <w:r>
        <w:rPr>
          <w:rFonts w:ascii="Times New Roman"/>
          <w:b w:val="false"/>
          <w:i w:val="false"/>
          <w:color w:val="000000"/>
          <w:sz w:val="28"/>
        </w:rPr>
        <w:t>
      в квазигосударственные долговые ценные бумаги резидентов Республики Казахстан, имеющих долгосрочный международный рейтинг не ниже "ВВ+" по международной шкале агентства Standard &amp; Poor's или рейтинг аналогичного уровня по международной шкале агентств Fitch или Moody's Investors Service;</w:t>
      </w:r>
    </w:p>
    <w:bookmarkEnd w:id="472"/>
    <w:bookmarkStart w:name="z550" w:id="473"/>
    <w:p>
      <w:pPr>
        <w:spacing w:after="0"/>
        <w:ind w:left="0"/>
        <w:jc w:val="both"/>
      </w:pPr>
      <w:r>
        <w:rPr>
          <w:rFonts w:ascii="Times New Roman"/>
          <w:b w:val="false"/>
          <w:i w:val="false"/>
          <w:color w:val="000000"/>
          <w:sz w:val="28"/>
        </w:rPr>
        <w:t>
      5) порядок и условия инвестирования денег, внесенных в уплату маржевых взносов и (или) в качестве иного обеспечения:</w:t>
      </w:r>
    </w:p>
    <w:bookmarkEnd w:id="473"/>
    <w:bookmarkStart w:name="z551" w:id="474"/>
    <w:p>
      <w:pPr>
        <w:spacing w:after="0"/>
        <w:ind w:left="0"/>
        <w:jc w:val="both"/>
      </w:pPr>
      <w:r>
        <w:rPr>
          <w:rFonts w:ascii="Times New Roman"/>
          <w:b w:val="false"/>
          <w:i w:val="false"/>
          <w:color w:val="000000"/>
          <w:sz w:val="28"/>
        </w:rPr>
        <w:t>
      в деньги на корреспондентском счете, открытом в Национальном Банке Республики Казахстан, и (или) на банковском счете, открытом в Акционерном обществе "Центральный депозитарий ценных бумаг";</w:t>
      </w:r>
    </w:p>
    <w:bookmarkEnd w:id="474"/>
    <w:bookmarkStart w:name="z552" w:id="475"/>
    <w:p>
      <w:pPr>
        <w:spacing w:after="0"/>
        <w:ind w:left="0"/>
        <w:jc w:val="both"/>
      </w:pPr>
      <w:r>
        <w:rPr>
          <w:rFonts w:ascii="Times New Roman"/>
          <w:b w:val="false"/>
          <w:i w:val="false"/>
          <w:color w:val="000000"/>
          <w:sz w:val="28"/>
        </w:rPr>
        <w:t>
      в деньги на счетах в иностранных банках-корреспондентах, имеющих долгосрочный международный рейтинг не ниже "ВВВ-" по международной шкале агентства Standard &amp; Poor's или рейтинг аналогичного уровня по международной шкале агентств Fitch или Moody's Investors Service;</w:t>
      </w:r>
    </w:p>
    <w:bookmarkEnd w:id="475"/>
    <w:bookmarkStart w:name="z553" w:id="476"/>
    <w:p>
      <w:pPr>
        <w:spacing w:after="0"/>
        <w:ind w:left="0"/>
        <w:jc w:val="both"/>
      </w:pPr>
      <w:r>
        <w:rPr>
          <w:rFonts w:ascii="Times New Roman"/>
          <w:b w:val="false"/>
          <w:i w:val="false"/>
          <w:color w:val="000000"/>
          <w:sz w:val="28"/>
        </w:rPr>
        <w:t>
      в деньги на текущих счетах в банках второго уровня Республики Казахстан, имеющих долгосрочный рейтинг не ниже "В+" по международной шкале агентства Standard &amp; Poor's или рейтинг аналогичного уровня по международной шкале агентств Fitch или Moody's Investors Service;</w:t>
      </w:r>
    </w:p>
    <w:bookmarkEnd w:id="476"/>
    <w:bookmarkStart w:name="z554" w:id="477"/>
    <w:p>
      <w:pPr>
        <w:spacing w:after="0"/>
        <w:ind w:left="0"/>
        <w:jc w:val="both"/>
      </w:pPr>
      <w:r>
        <w:rPr>
          <w:rFonts w:ascii="Times New Roman"/>
          <w:b w:val="false"/>
          <w:i w:val="false"/>
          <w:color w:val="000000"/>
          <w:sz w:val="28"/>
        </w:rPr>
        <w:t>
      в государственные ценные бумаги Республики Казахстан;</w:t>
      </w:r>
    </w:p>
    <w:bookmarkEnd w:id="477"/>
    <w:bookmarkStart w:name="z555" w:id="478"/>
    <w:p>
      <w:pPr>
        <w:spacing w:after="0"/>
        <w:ind w:left="0"/>
        <w:jc w:val="both"/>
      </w:pPr>
      <w:r>
        <w:rPr>
          <w:rFonts w:ascii="Times New Roman"/>
          <w:b w:val="false"/>
          <w:i w:val="false"/>
          <w:color w:val="000000"/>
          <w:sz w:val="28"/>
        </w:rPr>
        <w:t>
      в государственные облигации иностранных государств, имеющих долгосрочный международный рейтинг не ниже "АА" по международной шкале агентства Standard &amp; Poor's или рейтинг аналогичного уровня по международной шкале агентств Fitch или Moody's Investors Service;</w:t>
      </w:r>
    </w:p>
    <w:bookmarkEnd w:id="478"/>
    <w:bookmarkStart w:name="z556" w:id="479"/>
    <w:p>
      <w:pPr>
        <w:spacing w:after="0"/>
        <w:ind w:left="0"/>
        <w:jc w:val="both"/>
      </w:pPr>
      <w:r>
        <w:rPr>
          <w:rFonts w:ascii="Times New Roman"/>
          <w:b w:val="false"/>
          <w:i w:val="false"/>
          <w:color w:val="000000"/>
          <w:sz w:val="28"/>
        </w:rPr>
        <w:t>
      в долговые ценные бумаги (в том числе купонные международные облигации), имеющие рейтинг не ниже "BВ-" по международной шкале агентства Standard &amp; Poor's или рейтинг аналогичного уровня по международной шкале агентств Fitch или Moody's Investors Service;</w:t>
      </w:r>
    </w:p>
    <w:bookmarkEnd w:id="479"/>
    <w:bookmarkStart w:name="z557" w:id="480"/>
    <w:p>
      <w:pPr>
        <w:spacing w:after="0"/>
        <w:ind w:left="0"/>
        <w:jc w:val="both"/>
      </w:pPr>
      <w:r>
        <w:rPr>
          <w:rFonts w:ascii="Times New Roman"/>
          <w:b w:val="false"/>
          <w:i w:val="false"/>
          <w:color w:val="000000"/>
          <w:sz w:val="28"/>
        </w:rPr>
        <w:t>
      в инструменты репо, осуществляемые "автоматическим" способом;</w:t>
      </w:r>
    </w:p>
    <w:bookmarkEnd w:id="480"/>
    <w:bookmarkStart w:name="z558" w:id="481"/>
    <w:p>
      <w:pPr>
        <w:spacing w:after="0"/>
        <w:ind w:left="0"/>
        <w:jc w:val="both"/>
      </w:pPr>
      <w:r>
        <w:rPr>
          <w:rFonts w:ascii="Times New Roman"/>
          <w:b w:val="false"/>
          <w:i w:val="false"/>
          <w:color w:val="000000"/>
          <w:sz w:val="28"/>
        </w:rPr>
        <w:t>
      в операции СВОП;</w:t>
      </w:r>
    </w:p>
    <w:bookmarkEnd w:id="481"/>
    <w:bookmarkStart w:name="z559" w:id="482"/>
    <w:p>
      <w:pPr>
        <w:spacing w:after="0"/>
        <w:ind w:left="0"/>
        <w:jc w:val="both"/>
      </w:pPr>
      <w:r>
        <w:rPr>
          <w:rFonts w:ascii="Times New Roman"/>
          <w:b w:val="false"/>
          <w:i w:val="false"/>
          <w:color w:val="000000"/>
          <w:sz w:val="28"/>
        </w:rPr>
        <w:t>
      в депозиты в банках-нерезидентах Республики Казахстан, имеющих долгосрочный международный рейтинг не ниже "ВВВ-" по международной шкале агентства Standard &amp; Poor's или рейтинг аналогичного уровня по международной шкале агентств Fitch или Moody's Investors Service;</w:t>
      </w:r>
    </w:p>
    <w:bookmarkEnd w:id="482"/>
    <w:bookmarkStart w:name="z560" w:id="483"/>
    <w:p>
      <w:pPr>
        <w:spacing w:after="0"/>
        <w:ind w:left="0"/>
        <w:jc w:val="both"/>
      </w:pPr>
      <w:r>
        <w:rPr>
          <w:rFonts w:ascii="Times New Roman"/>
          <w:b w:val="false"/>
          <w:i w:val="false"/>
          <w:color w:val="000000"/>
          <w:sz w:val="28"/>
        </w:rPr>
        <w:t>
      в депозиты в банках второго уровня Республики Казахстан, имеющих долгосрочный рейтинг не ниже "ВB-" по международной шкале агентства Standard &amp; Poor's или рейтинг аналогичного уровня по международной шкале агентств Fitch или Moody's Investors Service.</w:t>
      </w:r>
    </w:p>
    <w:bookmarkEnd w:id="483"/>
    <w:bookmarkStart w:name="z561" w:id="484"/>
    <w:p>
      <w:pPr>
        <w:spacing w:after="0"/>
        <w:ind w:left="0"/>
        <w:jc w:val="both"/>
      </w:pPr>
      <w:r>
        <w:rPr>
          <w:rFonts w:ascii="Times New Roman"/>
          <w:b w:val="false"/>
          <w:i w:val="false"/>
          <w:color w:val="000000"/>
          <w:sz w:val="28"/>
        </w:rPr>
        <w:t>
      Перечень инструментов, предусмотренный подпунктом 5) настоящего пункта, не распространяется на случаи приобретения центральным контрагентом финансовых инструментов в целях урегулирования факта неисполнения обязательств одним из клиринговых участников.";</w:t>
      </w:r>
    </w:p>
    <w:bookmarkEnd w:id="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563" w:id="485"/>
    <w:p>
      <w:pPr>
        <w:spacing w:after="0"/>
        <w:ind w:left="0"/>
        <w:jc w:val="both"/>
      </w:pPr>
      <w:r>
        <w:rPr>
          <w:rFonts w:ascii="Times New Roman"/>
          <w:b w:val="false"/>
          <w:i w:val="false"/>
          <w:color w:val="000000"/>
          <w:sz w:val="28"/>
        </w:rPr>
        <w:t>
      "39. Подразделение центрального контрагента по управлению рисками уведомляет совет директоров и правление о технических сбоях, а также обстоятельствах, повлекших нарушение исполнения центральным контрагентом обязательств перед его клиентами в течение рабочего дня, следующего за днем возникновения такого нарушения.</w:t>
      </w:r>
    </w:p>
    <w:bookmarkEnd w:id="485"/>
    <w:bookmarkStart w:name="z564" w:id="486"/>
    <w:p>
      <w:pPr>
        <w:spacing w:after="0"/>
        <w:ind w:left="0"/>
        <w:jc w:val="both"/>
      </w:pPr>
      <w:r>
        <w:rPr>
          <w:rFonts w:ascii="Times New Roman"/>
          <w:b w:val="false"/>
          <w:i w:val="false"/>
          <w:color w:val="000000"/>
          <w:sz w:val="28"/>
        </w:rPr>
        <w:t>
      40. Совет директоров центрального контрагента обеспечивает предоставление информации об обстоятельствах, указанных в пункте 39 настоящих Требований, в уполномоченный орган не позднее рабочего дня, следующего за днем возникновения такого нарушения.</w:t>
      </w:r>
    </w:p>
    <w:bookmarkEnd w:id="486"/>
    <w:bookmarkStart w:name="z565" w:id="487"/>
    <w:p>
      <w:pPr>
        <w:spacing w:after="0"/>
        <w:ind w:left="0"/>
        <w:jc w:val="both"/>
      </w:pPr>
      <w:r>
        <w:rPr>
          <w:rFonts w:ascii="Times New Roman"/>
          <w:b w:val="false"/>
          <w:i w:val="false"/>
          <w:color w:val="000000"/>
          <w:sz w:val="28"/>
        </w:rPr>
        <w:t>
      41. Подразделением центрального контрагента по управлению рисками ежеквартально составляется отчет совету директоров и правлению, включающий в себя сведения о количестве случаев наступления рисков и размере ущерба, понесенном в результате наступления рисков, а также предоставляется план мероприятий по минимизации как самих рисков, так и последствий от их наступления.".</w:t>
      </w:r>
    </w:p>
    <w:bookmarkEnd w:id="487"/>
    <w:bookmarkStart w:name="z566" w:id="488"/>
    <w:p>
      <w:pPr>
        <w:spacing w:after="0"/>
        <w:ind w:left="0"/>
        <w:jc w:val="both"/>
      </w:pPr>
      <w:r>
        <w:rPr>
          <w:rFonts w:ascii="Times New Roman"/>
          <w:b w:val="false"/>
          <w:i w:val="false"/>
          <w:color w:val="000000"/>
          <w:sz w:val="28"/>
        </w:rPr>
        <w:t xml:space="preserve">
      12.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марта 2017 года № 54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15175, опубликовано 14 июня 2017 года в Эталонном контрольном банке нормативных правовых актов Республики Казахстан) следующие изменения:</w:t>
      </w:r>
    </w:p>
    <w:bookmarkEnd w:id="488"/>
    <w:bookmarkStart w:name="z567" w:id="4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эмитентам и их ценным бумагам, допускаемым (допущенным) к обращению на фондовой бирже, а также к отдельным категориям списка фондовой биржи, утвержденных указанным постановлением:</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569" w:id="490"/>
    <w:p>
      <w:pPr>
        <w:spacing w:after="0"/>
        <w:ind w:left="0"/>
        <w:jc w:val="both"/>
      </w:pPr>
      <w:r>
        <w:rPr>
          <w:rFonts w:ascii="Times New Roman"/>
          <w:b w:val="false"/>
          <w:i w:val="false"/>
          <w:color w:val="000000"/>
          <w:sz w:val="28"/>
        </w:rPr>
        <w:t>
      "38. Для включения ценных бумаг эмитентов в официальный список фондовой биржи и их нахождения в нем по упрощенной процедуре данные ценные бумаги и их эмитент соответствуют следующим требованиям:</w:t>
      </w:r>
    </w:p>
    <w:bookmarkEnd w:id="490"/>
    <w:bookmarkStart w:name="z570" w:id="491"/>
    <w:p>
      <w:pPr>
        <w:spacing w:after="0"/>
        <w:ind w:left="0"/>
        <w:jc w:val="both"/>
      </w:pPr>
      <w:r>
        <w:rPr>
          <w:rFonts w:ascii="Times New Roman"/>
          <w:b w:val="false"/>
          <w:i w:val="false"/>
          <w:color w:val="000000"/>
          <w:sz w:val="28"/>
        </w:rPr>
        <w:t>
      1) данные ценные бумаги включены в официальный список одной из фондовых бирж, входящих в перечень бирж, признаваемых фондовой биржей, либо если ценными бумагами являются депозитарные расписки, то данные депозитарные расписки или акции, которые являются их базовым активом, предварительно включаются в официальный список одной из фондовых бирж, входящих в перечень бирж, признаваемых фондовой биржей;</w:t>
      </w:r>
    </w:p>
    <w:bookmarkEnd w:id="491"/>
    <w:bookmarkStart w:name="z571" w:id="492"/>
    <w:p>
      <w:pPr>
        <w:spacing w:after="0"/>
        <w:ind w:left="0"/>
        <w:jc w:val="both"/>
      </w:pPr>
      <w:r>
        <w:rPr>
          <w:rFonts w:ascii="Times New Roman"/>
          <w:b w:val="false"/>
          <w:i w:val="false"/>
          <w:color w:val="000000"/>
          <w:sz w:val="28"/>
        </w:rPr>
        <w:t>
      2) раскрытие информации об эмитентах данных ценных бумаг осуществляется в соответствии с законодательством страны-регистрации данных фондовых бирж в качестве юридического лица и внутренними документами данных фондовых бирж.</w:t>
      </w:r>
    </w:p>
    <w:bookmarkEnd w:id="492"/>
    <w:bookmarkStart w:name="z572" w:id="493"/>
    <w:p>
      <w:pPr>
        <w:spacing w:after="0"/>
        <w:ind w:left="0"/>
        <w:jc w:val="both"/>
      </w:pPr>
      <w:r>
        <w:rPr>
          <w:rFonts w:ascii="Times New Roman"/>
          <w:b w:val="false"/>
          <w:i w:val="false"/>
          <w:color w:val="000000"/>
          <w:sz w:val="28"/>
        </w:rPr>
        <w:t>
      Если в официальный список фондовой биржи по упрощенной процедуре включаются депозитарные расписки, требование абзаца первого настоящего подпункта применяется к эмитенту акций, которые являются базовым активом данных депозитарных расписок, а не к эмитенту депозитарных расписок;</w:t>
      </w:r>
    </w:p>
    <w:bookmarkEnd w:id="493"/>
    <w:bookmarkStart w:name="z573" w:id="494"/>
    <w:p>
      <w:pPr>
        <w:spacing w:after="0"/>
        <w:ind w:left="0"/>
        <w:jc w:val="both"/>
      </w:pPr>
      <w:r>
        <w:rPr>
          <w:rFonts w:ascii="Times New Roman"/>
          <w:b w:val="false"/>
          <w:i w:val="false"/>
          <w:color w:val="000000"/>
          <w:sz w:val="28"/>
        </w:rPr>
        <w:t>
      3) в учредительных документах эмитента и (или) проспекте выпуска ценных бумаг, в том числе депозитарных расписок, не содержится норм, которые ущемляют или ограничивают права собственников ценных бумаг на их отчуждение (передачу).</w:t>
      </w:r>
    </w:p>
    <w:bookmarkEnd w:id="494"/>
    <w:bookmarkStart w:name="z574" w:id="495"/>
    <w:p>
      <w:pPr>
        <w:spacing w:after="0"/>
        <w:ind w:left="0"/>
        <w:jc w:val="both"/>
      </w:pPr>
      <w:r>
        <w:rPr>
          <w:rFonts w:ascii="Times New Roman"/>
          <w:b w:val="false"/>
          <w:i w:val="false"/>
          <w:color w:val="000000"/>
          <w:sz w:val="28"/>
        </w:rPr>
        <w:t>
      Требование настоящего подпункта не применяется к ценным бумагам эмитентов-нерезидентов, выпущенных в соответствии с законодательством иностранного государства.</w:t>
      </w:r>
    </w:p>
    <w:bookmarkEnd w:id="495"/>
    <w:bookmarkStart w:name="z575" w:id="496"/>
    <w:p>
      <w:pPr>
        <w:spacing w:after="0"/>
        <w:ind w:left="0"/>
        <w:jc w:val="both"/>
      </w:pPr>
      <w:r>
        <w:rPr>
          <w:rFonts w:ascii="Times New Roman"/>
          <w:b w:val="false"/>
          <w:i w:val="false"/>
          <w:color w:val="000000"/>
          <w:sz w:val="28"/>
        </w:rPr>
        <w:t>
      39. Включение (допуск к обращению) ценных бумаг эмитентов в официальный список фондовой биржи и их нахождение в нем по упрощенной процедуре осуществляются в соответствии с внутренними документами фондовой биржи без соблюдения требований, установленных подпунктами 1) и 2) пункта 38 Требований, в следующих случаях:</w:t>
      </w:r>
    </w:p>
    <w:bookmarkEnd w:id="496"/>
    <w:bookmarkStart w:name="z576" w:id="497"/>
    <w:p>
      <w:pPr>
        <w:spacing w:after="0"/>
        <w:ind w:left="0"/>
        <w:jc w:val="both"/>
      </w:pPr>
      <w:r>
        <w:rPr>
          <w:rFonts w:ascii="Times New Roman"/>
          <w:b w:val="false"/>
          <w:i w:val="false"/>
          <w:color w:val="000000"/>
          <w:sz w:val="28"/>
        </w:rPr>
        <w:t>
      1) если данные ценные бумаги являются облигациями, срок обращения которых составляет не более 12 (двенадцати) месяцев;</w:t>
      </w:r>
    </w:p>
    <w:bookmarkEnd w:id="497"/>
    <w:bookmarkStart w:name="z577" w:id="498"/>
    <w:p>
      <w:pPr>
        <w:spacing w:after="0"/>
        <w:ind w:left="0"/>
        <w:jc w:val="both"/>
      </w:pPr>
      <w:r>
        <w:rPr>
          <w:rFonts w:ascii="Times New Roman"/>
          <w:b w:val="false"/>
          <w:i w:val="false"/>
          <w:color w:val="000000"/>
          <w:sz w:val="28"/>
        </w:rPr>
        <w:t>
      2) если данные ценные бумаги являются ценными бумагами международных финансовых организаций, которые допускаются к обращению на площадке "Смешанная" в секторе "ценные бумаги международных финансовых организаций".</w:t>
      </w:r>
    </w:p>
    <w:bookmarkEnd w:id="498"/>
    <w:bookmarkStart w:name="z578" w:id="499"/>
    <w:p>
      <w:pPr>
        <w:spacing w:after="0"/>
        <w:ind w:left="0"/>
        <w:jc w:val="both"/>
      </w:pPr>
      <w:r>
        <w:rPr>
          <w:rFonts w:ascii="Times New Roman"/>
          <w:b w:val="false"/>
          <w:i w:val="false"/>
          <w:color w:val="000000"/>
          <w:sz w:val="28"/>
        </w:rPr>
        <w:t>
      Перечень международных финансовых организаций, чьи эмиссионные ценные бумаги допускаются к обращению в торговой системе фондовой биржи, устанавливается внутренними документами фондовой биржи;</w:t>
      </w:r>
    </w:p>
    <w:bookmarkEnd w:id="499"/>
    <w:bookmarkStart w:name="z579" w:id="500"/>
    <w:p>
      <w:pPr>
        <w:spacing w:after="0"/>
        <w:ind w:left="0"/>
        <w:jc w:val="both"/>
      </w:pPr>
      <w:r>
        <w:rPr>
          <w:rFonts w:ascii="Times New Roman"/>
          <w:b w:val="false"/>
          <w:i w:val="false"/>
          <w:color w:val="000000"/>
          <w:sz w:val="28"/>
        </w:rPr>
        <w:t>
      3) если данные ценные бумаги являются государственными ценными бумагами, включая облигации местных исполнительных органов, которые допускаются к обращению на площадке "Смешанная" в секторе "государственные ценные бумаги";</w:t>
      </w:r>
    </w:p>
    <w:bookmarkEnd w:id="500"/>
    <w:bookmarkStart w:name="z580" w:id="501"/>
    <w:p>
      <w:pPr>
        <w:spacing w:after="0"/>
        <w:ind w:left="0"/>
        <w:jc w:val="both"/>
      </w:pPr>
      <w:r>
        <w:rPr>
          <w:rFonts w:ascii="Times New Roman"/>
          <w:b w:val="false"/>
          <w:i w:val="false"/>
          <w:color w:val="000000"/>
          <w:sz w:val="28"/>
        </w:rPr>
        <w:t>
      4) если данные ценные бумаги являются ценными бумагами, которые допускаются к обращению в какой-либо из секторов, созданных и функционирующих в соответствии с подпунктом 4) пункта 8, подпунктом 3) пункта 14 и подпунктом 6) пункта 36 Требований;</w:t>
      </w:r>
    </w:p>
    <w:bookmarkEnd w:id="501"/>
    <w:bookmarkStart w:name="z581" w:id="502"/>
    <w:p>
      <w:pPr>
        <w:spacing w:after="0"/>
        <w:ind w:left="0"/>
        <w:jc w:val="both"/>
      </w:pPr>
      <w:r>
        <w:rPr>
          <w:rFonts w:ascii="Times New Roman"/>
          <w:b w:val="false"/>
          <w:i w:val="false"/>
          <w:color w:val="000000"/>
          <w:sz w:val="28"/>
        </w:rPr>
        <w:t>
      5) если эмитентом данных ценных бумаг является фондовая биржа;</w:t>
      </w:r>
    </w:p>
    <w:bookmarkEnd w:id="502"/>
    <w:bookmarkStart w:name="z582" w:id="503"/>
    <w:p>
      <w:pPr>
        <w:spacing w:after="0"/>
        <w:ind w:left="0"/>
        <w:jc w:val="both"/>
      </w:pPr>
      <w:r>
        <w:rPr>
          <w:rFonts w:ascii="Times New Roman"/>
          <w:b w:val="false"/>
          <w:i w:val="false"/>
          <w:color w:val="000000"/>
          <w:sz w:val="28"/>
        </w:rPr>
        <w:t>
      6) если эмитентом данных ценных бумаг является юридическое лицо, осуществляющее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503"/>
    <w:bookmarkStart w:name="z583" w:id="504"/>
    <w:p>
      <w:pPr>
        <w:spacing w:after="0"/>
        <w:ind w:left="0"/>
        <w:jc w:val="both"/>
      </w:pPr>
      <w:r>
        <w:rPr>
          <w:rFonts w:ascii="Times New Roman"/>
          <w:b w:val="false"/>
          <w:i w:val="false"/>
          <w:color w:val="000000"/>
          <w:sz w:val="28"/>
        </w:rPr>
        <w:t>
      7) если требуется получение согласия фондовой биржи на включение ценных бумаг организации-резидента Республики Казахстан в официальный список фондовой биржи с целью выполнения норм, установленных законодательством Республики Казахстан.".</w:t>
      </w:r>
    </w:p>
    <w:bookmarkEnd w:id="504"/>
    <w:bookmarkStart w:name="z584" w:id="505"/>
    <w:p>
      <w:pPr>
        <w:spacing w:after="0"/>
        <w:ind w:left="0"/>
        <w:jc w:val="both"/>
      </w:pPr>
      <w:r>
        <w:rPr>
          <w:rFonts w:ascii="Times New Roman"/>
          <w:b w:val="false"/>
          <w:i w:val="false"/>
          <w:color w:val="000000"/>
          <w:sz w:val="28"/>
        </w:rPr>
        <w:t xml:space="preserve">
      13.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декабря 2017 года № 264 "Об утверждении Правил выпуска и обращения банковских депозитных сертификатов" (зарегистрировано в Реестре 16229, опубликовано 24 января 2018 года в Эталонном контрольном банке нормативных правовых актов Республики Казахстан) следующее изменение:</w:t>
      </w:r>
    </w:p>
    <w:bookmarkEnd w:id="505"/>
    <w:bookmarkStart w:name="z585" w:id="5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выпуска и обращения банковских депозитных сертификатов, утвержденных указанным постановлением:</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87" w:id="507"/>
    <w:p>
      <w:pPr>
        <w:spacing w:after="0"/>
        <w:ind w:left="0"/>
        <w:jc w:val="both"/>
      </w:pPr>
      <w:r>
        <w:rPr>
          <w:rFonts w:ascii="Times New Roman"/>
          <w:b w:val="false"/>
          <w:i w:val="false"/>
          <w:color w:val="000000"/>
          <w:sz w:val="28"/>
        </w:rPr>
        <w:t>
      "6. Учет и подтверждение прав по депозитным сертификатам осуществляются банком-эмитентом либо центральным депозитарием в порядке, предусмотренном сводом правил центрального депозитария.".</w:t>
      </w:r>
    </w:p>
    <w:bookmarkEnd w:id="507"/>
    <w:bookmarkStart w:name="z588" w:id="508"/>
    <w:p>
      <w:pPr>
        <w:spacing w:after="0"/>
        <w:ind w:left="0"/>
        <w:jc w:val="both"/>
      </w:pPr>
      <w:r>
        <w:rPr>
          <w:rFonts w:ascii="Times New Roman"/>
          <w:b w:val="false"/>
          <w:i w:val="false"/>
          <w:color w:val="000000"/>
          <w:sz w:val="28"/>
        </w:rPr>
        <w:t xml:space="preserve">
      14.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249 "Об утверждении Правил осуществления деятельности по ведению системы реестра держателей ценных бумаг" (зарегистрировано в Реестре государственной регистрации нормативных правовых актов под № 17803, опубликовано 6 декабря 2018 года в Эталонном контрольном банке нормативных правовых актов Республики Казахстан) следующие изменения и дополнение:</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90" w:id="509"/>
    <w:p>
      <w:pPr>
        <w:spacing w:after="0"/>
        <w:ind w:left="0"/>
        <w:jc w:val="both"/>
      </w:pPr>
      <w:r>
        <w:rPr>
          <w:rFonts w:ascii="Times New Roman"/>
          <w:b w:val="false"/>
          <w:i w:val="false"/>
          <w:color w:val="000000"/>
          <w:sz w:val="28"/>
        </w:rPr>
        <w:t>
      "4. В системе реестров открываются лицевые счета собственникам ценных бумаг (прав требования по обязательствам эмитента по эмиссионным ценным бумагам), эмитентам и номинальным держателям.</w:t>
      </w:r>
    </w:p>
    <w:bookmarkEnd w:id="509"/>
    <w:bookmarkStart w:name="z591" w:id="510"/>
    <w:p>
      <w:pPr>
        <w:spacing w:after="0"/>
        <w:ind w:left="0"/>
        <w:jc w:val="both"/>
      </w:pPr>
      <w:r>
        <w:rPr>
          <w:rFonts w:ascii="Times New Roman"/>
          <w:b w:val="false"/>
          <w:i w:val="false"/>
          <w:color w:val="000000"/>
          <w:sz w:val="28"/>
        </w:rPr>
        <w:t xml:space="preserve">
      Открытие лицевого счета производится после принятия центральным депозитарием мер по надлежащей проверке,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(далее - Закон о противодействии отмыванию доходов).</w:t>
      </w:r>
    </w:p>
    <w:bookmarkEnd w:id="510"/>
    <w:bookmarkStart w:name="z592" w:id="511"/>
    <w:p>
      <w:pPr>
        <w:spacing w:after="0"/>
        <w:ind w:left="0"/>
        <w:jc w:val="both"/>
      </w:pPr>
      <w:r>
        <w:rPr>
          <w:rFonts w:ascii="Times New Roman"/>
          <w:b w:val="false"/>
          <w:i w:val="false"/>
          <w:color w:val="000000"/>
          <w:sz w:val="28"/>
        </w:rPr>
        <w:t>
      Допускается использование услуг центра обмена идентификационными данными (далее - ЦОИД) при идентификации клиента, являющегося физическим лицом, с использованием средств биометрической идентификации.</w:t>
      </w:r>
    </w:p>
    <w:bookmarkEnd w:id="511"/>
    <w:bookmarkStart w:name="z593" w:id="512"/>
    <w:p>
      <w:pPr>
        <w:spacing w:after="0"/>
        <w:ind w:left="0"/>
        <w:jc w:val="both"/>
      </w:pPr>
      <w:r>
        <w:rPr>
          <w:rFonts w:ascii="Times New Roman"/>
          <w:b w:val="false"/>
          <w:i w:val="false"/>
          <w:color w:val="000000"/>
          <w:sz w:val="28"/>
        </w:rPr>
        <w:t>
      Допускается использование услуг кредитного бюро с государственным участием при идентификации клиента, являющегося физическим или юридическим лицом.</w:t>
      </w:r>
    </w:p>
    <w:bookmarkEnd w:id="512"/>
    <w:bookmarkStart w:name="z594" w:id="513"/>
    <w:p>
      <w:pPr>
        <w:spacing w:after="0"/>
        <w:ind w:left="0"/>
        <w:jc w:val="both"/>
      </w:pPr>
      <w:r>
        <w:rPr>
          <w:rFonts w:ascii="Times New Roman"/>
          <w:b w:val="false"/>
          <w:i w:val="false"/>
          <w:color w:val="000000"/>
          <w:sz w:val="28"/>
        </w:rPr>
        <w:t xml:space="preserve">
      Взаимодействие центрального депозитария с ЦОИД или кредитным бюро с государственным участием осуществляется на условиях,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центрального депозитария, утвержденными постановлением Правления Национального банка Республики Казахстан от 29 ноября 2018 года № 307, зарегистрированным в Реестре государственной регистрации нормативных правовых актов под № 17920.";</w:t>
      </w:r>
    </w:p>
    <w:bookmarkEnd w:id="513"/>
    <w:bookmarkStart w:name="z595" w:id="514"/>
    <w:p>
      <w:pPr>
        <w:spacing w:after="0"/>
        <w:ind w:left="0"/>
        <w:jc w:val="both"/>
      </w:pPr>
      <w:r>
        <w:rPr>
          <w:rFonts w:ascii="Times New Roman"/>
          <w:b w:val="false"/>
          <w:i w:val="false"/>
          <w:color w:val="000000"/>
          <w:sz w:val="28"/>
        </w:rPr>
        <w:t>
      дополнить пунктом 4-1 следующего содержания:</w:t>
      </w:r>
    </w:p>
    <w:bookmarkEnd w:id="514"/>
    <w:bookmarkStart w:name="z596" w:id="515"/>
    <w:p>
      <w:pPr>
        <w:spacing w:after="0"/>
        <w:ind w:left="0"/>
        <w:jc w:val="both"/>
      </w:pPr>
      <w:r>
        <w:rPr>
          <w:rFonts w:ascii="Times New Roman"/>
          <w:b w:val="false"/>
          <w:i w:val="false"/>
          <w:color w:val="000000"/>
          <w:sz w:val="28"/>
        </w:rPr>
        <w:t>
      "4-1. Центральный депозитарий не реже одного раза в квартал осуществляет в порядке, определенном внутренними правилами центрального депозитария, сверку данных о своих клиентах, содержащихся в системе учета центрального депозитария с информацией о таких клиентах, получаемой центральным депозитарием с использованием услуг ЦОИД или кредитного бюро с государственным участием.</w:t>
      </w:r>
    </w:p>
    <w:bookmarkEnd w:id="515"/>
    <w:bookmarkStart w:name="z597" w:id="516"/>
    <w:p>
      <w:pPr>
        <w:spacing w:after="0"/>
        <w:ind w:left="0"/>
        <w:jc w:val="both"/>
      </w:pPr>
      <w:r>
        <w:rPr>
          <w:rFonts w:ascii="Times New Roman"/>
          <w:b w:val="false"/>
          <w:i w:val="false"/>
          <w:color w:val="000000"/>
          <w:sz w:val="28"/>
        </w:rPr>
        <w:t>
      При выявлении по итогам данной сверки расхождения в данных о зарегистрированном лице центральный депозитарий в порядке, предусмотренном его внутренними документами, определяет необходимость актуализации данных и внесения соответствующих изменений по лицевым счетам, открытым в системе реестров зарегистрированному лицу, после чего направляет такому лицу уведомление в случае обновления его данных на основе информации, полученной с использованием услуг ЦОИД или кредитного бюро с государственным участием, в порядке, сроки и способом, установленными сводом правил центрального депозитария.";</w:t>
      </w:r>
    </w:p>
    <w:bookmarkEnd w:id="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599" w:id="517"/>
    <w:p>
      <w:pPr>
        <w:spacing w:after="0"/>
        <w:ind w:left="0"/>
        <w:jc w:val="both"/>
      </w:pPr>
      <w:r>
        <w:rPr>
          <w:rFonts w:ascii="Times New Roman"/>
          <w:b w:val="false"/>
          <w:i w:val="false"/>
          <w:color w:val="000000"/>
          <w:sz w:val="28"/>
        </w:rPr>
        <w:t>
      "44. Операция по изменению сведений о зарегистрированном лице, паевом инвестиционном фонде или об управляющей компании паевого инвестиционного фонда, содержащихся в лицевом счете, проводится центральным депозитарием на основании документов, подтверждающих эти изменения, и (или) информации, полученной от зарегистрированного лица, управляющей компании паевого инвестиционного фонда, в порядке, определенном сводом правил центрального депозитария.</w:t>
      </w:r>
    </w:p>
    <w:bookmarkEnd w:id="517"/>
    <w:bookmarkStart w:name="z600" w:id="518"/>
    <w:p>
      <w:pPr>
        <w:spacing w:after="0"/>
        <w:ind w:left="0"/>
        <w:jc w:val="both"/>
      </w:pPr>
      <w:r>
        <w:rPr>
          <w:rFonts w:ascii="Times New Roman"/>
          <w:b w:val="false"/>
          <w:i w:val="false"/>
          <w:color w:val="000000"/>
          <w:sz w:val="28"/>
        </w:rPr>
        <w:t>
      Операция по изменению сведений, содержащихся в лицевом счете, о зарегистрированном лице, являющемся держателем паев (за исключением сведений об изменении фамилии, имени, отчества (при его наличии) физического лица и (или) наименования юридического лица), осуществляется на основании документов зарегистрированного лица, подтверждающих эти изменения, переданных центральному депозитарию управляющей компанией, если это предусмотрено правилами паевого инвестиционного фонда, в порядке, определенном сводом правил центрального депозитария.</w:t>
      </w:r>
    </w:p>
    <w:bookmarkEnd w:id="518"/>
    <w:bookmarkStart w:name="z601" w:id="519"/>
    <w:p>
      <w:pPr>
        <w:spacing w:after="0"/>
        <w:ind w:left="0"/>
        <w:jc w:val="both"/>
      </w:pPr>
      <w:r>
        <w:rPr>
          <w:rFonts w:ascii="Times New Roman"/>
          <w:b w:val="false"/>
          <w:i w:val="false"/>
          <w:color w:val="000000"/>
          <w:sz w:val="28"/>
        </w:rPr>
        <w:t>
      Требования настоящего пункта не распространяются на случаи изменения сведений о зарегистрированном лице, паевом инвестиционном фонде или об управляющей компании паевого инвестиционного фонда, предусмотренные пунктом 4-1 Правил.".</w:t>
      </w:r>
    </w:p>
    <w:bookmarkEnd w:id="519"/>
    <w:bookmarkStart w:name="z602" w:id="520"/>
    <w:p>
      <w:pPr>
        <w:spacing w:after="0"/>
        <w:ind w:left="0"/>
        <w:jc w:val="both"/>
      </w:pPr>
      <w:r>
        <w:rPr>
          <w:rFonts w:ascii="Times New Roman"/>
          <w:b w:val="false"/>
          <w:i w:val="false"/>
          <w:color w:val="000000"/>
          <w:sz w:val="28"/>
        </w:rPr>
        <w:t xml:space="preserve">
      15.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ноября 2018 года № 307 "Об утверждении Правил осуществления деятельности центрального депозитария" (зарегистрировано в Реестре государственной регистрации нормативных правовых актов под № 17920, опубликовано 20 декабря 2018 года в Эталонном контрольном банке нормативных правовых актов Республики Казахстан) следующие изменения и дополнения:</w:t>
      </w:r>
    </w:p>
    <w:bookmarkEnd w:id="520"/>
    <w:bookmarkStart w:name="z603" w:id="5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центрального депозитария, утвержденных указанным постановлением:</w:t>
      </w:r>
    </w:p>
    <w:bookmarkEnd w:id="521"/>
    <w:bookmarkStart w:name="z604" w:id="522"/>
    <w:p>
      <w:pPr>
        <w:spacing w:after="0"/>
        <w:ind w:left="0"/>
        <w:jc w:val="both"/>
      </w:pPr>
      <w:r>
        <w:rPr>
          <w:rFonts w:ascii="Times New Roman"/>
          <w:b w:val="false"/>
          <w:i w:val="false"/>
          <w:color w:val="000000"/>
          <w:sz w:val="28"/>
        </w:rPr>
        <w:t>
      дополнить пунктами 14-1 и 14-2 следующего содержания:</w:t>
      </w:r>
    </w:p>
    <w:bookmarkEnd w:id="522"/>
    <w:bookmarkStart w:name="z605" w:id="523"/>
    <w:p>
      <w:pPr>
        <w:spacing w:after="0"/>
        <w:ind w:left="0"/>
        <w:jc w:val="both"/>
      </w:pPr>
      <w:r>
        <w:rPr>
          <w:rFonts w:ascii="Times New Roman"/>
          <w:b w:val="false"/>
          <w:i w:val="false"/>
          <w:color w:val="000000"/>
          <w:sz w:val="28"/>
        </w:rPr>
        <w:t>
      "14-1. Допускается использование услуг центра обмена идентификационными данными (далее – ЦОИД) при идентификации клиента, являющегося физическим лицом, с использованием средств биометрической идентификации.</w:t>
      </w:r>
    </w:p>
    <w:bookmarkEnd w:id="523"/>
    <w:bookmarkStart w:name="z606" w:id="524"/>
    <w:p>
      <w:pPr>
        <w:spacing w:after="0"/>
        <w:ind w:left="0"/>
        <w:jc w:val="both"/>
      </w:pPr>
      <w:r>
        <w:rPr>
          <w:rFonts w:ascii="Times New Roman"/>
          <w:b w:val="false"/>
          <w:i w:val="false"/>
          <w:color w:val="000000"/>
          <w:sz w:val="28"/>
        </w:rPr>
        <w:t>
      Допускается использование услуг кредитного бюро с государственным участием при идентификации клиента, являющегося физическим или юридическим лицом.</w:t>
      </w:r>
    </w:p>
    <w:bookmarkEnd w:id="524"/>
    <w:bookmarkStart w:name="z607" w:id="525"/>
    <w:p>
      <w:pPr>
        <w:spacing w:after="0"/>
        <w:ind w:left="0"/>
        <w:jc w:val="both"/>
      </w:pPr>
      <w:r>
        <w:rPr>
          <w:rFonts w:ascii="Times New Roman"/>
          <w:b w:val="false"/>
          <w:i w:val="false"/>
          <w:color w:val="000000"/>
          <w:sz w:val="28"/>
        </w:rPr>
        <w:t>
      Взаимодействие центрального депозитария с ЦОИД или кредитным бюро с государственным участием осуществляется на основании договора, заключенного между ними, который содержит следующие условия, но не ограничивается:</w:t>
      </w:r>
    </w:p>
    <w:bookmarkEnd w:id="525"/>
    <w:bookmarkStart w:name="z608" w:id="526"/>
    <w:p>
      <w:pPr>
        <w:spacing w:after="0"/>
        <w:ind w:left="0"/>
        <w:jc w:val="both"/>
      </w:pPr>
      <w:r>
        <w:rPr>
          <w:rFonts w:ascii="Times New Roman"/>
          <w:b w:val="false"/>
          <w:i w:val="false"/>
          <w:color w:val="000000"/>
          <w:sz w:val="28"/>
        </w:rPr>
        <w:t>
      1) порядок и сроки предоставления и получения услуги;</w:t>
      </w:r>
    </w:p>
    <w:bookmarkEnd w:id="526"/>
    <w:bookmarkStart w:name="z609" w:id="527"/>
    <w:p>
      <w:pPr>
        <w:spacing w:after="0"/>
        <w:ind w:left="0"/>
        <w:jc w:val="both"/>
      </w:pPr>
      <w:r>
        <w:rPr>
          <w:rFonts w:ascii="Times New Roman"/>
          <w:b w:val="false"/>
          <w:i w:val="false"/>
          <w:color w:val="000000"/>
          <w:sz w:val="28"/>
        </w:rPr>
        <w:t>
      2) процедуры обеспечения безопасности;</w:t>
      </w:r>
    </w:p>
    <w:bookmarkEnd w:id="527"/>
    <w:bookmarkStart w:name="z610" w:id="528"/>
    <w:p>
      <w:pPr>
        <w:spacing w:after="0"/>
        <w:ind w:left="0"/>
        <w:jc w:val="both"/>
      </w:pPr>
      <w:r>
        <w:rPr>
          <w:rFonts w:ascii="Times New Roman"/>
          <w:b w:val="false"/>
          <w:i w:val="false"/>
          <w:color w:val="000000"/>
          <w:sz w:val="28"/>
        </w:rPr>
        <w:t>
      3) размеры взимаемой комиссии, порядок ее взимания;</w:t>
      </w:r>
    </w:p>
    <w:bookmarkEnd w:id="528"/>
    <w:bookmarkStart w:name="z611" w:id="529"/>
    <w:p>
      <w:pPr>
        <w:spacing w:after="0"/>
        <w:ind w:left="0"/>
        <w:jc w:val="both"/>
      </w:pPr>
      <w:r>
        <w:rPr>
          <w:rFonts w:ascii="Times New Roman"/>
          <w:b w:val="false"/>
          <w:i w:val="false"/>
          <w:color w:val="000000"/>
          <w:sz w:val="28"/>
        </w:rPr>
        <w:t>
      4) ответственность сторон, в том числе в части соблюдения режима конфиденциальности, сохранения коммерческой тайны на рынке ценных бумаг и защиты персональных данных клиентов;</w:t>
      </w:r>
    </w:p>
    <w:bookmarkEnd w:id="529"/>
    <w:bookmarkStart w:name="z612" w:id="530"/>
    <w:p>
      <w:pPr>
        <w:spacing w:after="0"/>
        <w:ind w:left="0"/>
        <w:jc w:val="both"/>
      </w:pPr>
      <w:r>
        <w:rPr>
          <w:rFonts w:ascii="Times New Roman"/>
          <w:b w:val="false"/>
          <w:i w:val="false"/>
          <w:color w:val="000000"/>
          <w:sz w:val="28"/>
        </w:rPr>
        <w:t>
      5) права и обязанности сторон;</w:t>
      </w:r>
    </w:p>
    <w:bookmarkEnd w:id="530"/>
    <w:bookmarkStart w:name="z613" w:id="531"/>
    <w:p>
      <w:pPr>
        <w:spacing w:after="0"/>
        <w:ind w:left="0"/>
        <w:jc w:val="both"/>
      </w:pPr>
      <w:r>
        <w:rPr>
          <w:rFonts w:ascii="Times New Roman"/>
          <w:b w:val="false"/>
          <w:i w:val="false"/>
          <w:color w:val="000000"/>
          <w:sz w:val="28"/>
        </w:rPr>
        <w:t>
      6) порядок хранения полученных результатов идентификации и (или) сведений;</w:t>
      </w:r>
    </w:p>
    <w:bookmarkEnd w:id="531"/>
    <w:bookmarkStart w:name="z614" w:id="532"/>
    <w:p>
      <w:pPr>
        <w:spacing w:after="0"/>
        <w:ind w:left="0"/>
        <w:jc w:val="both"/>
      </w:pPr>
      <w:r>
        <w:rPr>
          <w:rFonts w:ascii="Times New Roman"/>
          <w:b w:val="false"/>
          <w:i w:val="false"/>
          <w:color w:val="000000"/>
          <w:sz w:val="28"/>
        </w:rPr>
        <w:t>
      7) порядок предъявления претензий и способы разрешения спорных ситуаций.</w:t>
      </w:r>
    </w:p>
    <w:bookmarkEnd w:id="532"/>
    <w:bookmarkStart w:name="z615" w:id="533"/>
    <w:p>
      <w:pPr>
        <w:spacing w:after="0"/>
        <w:ind w:left="0"/>
        <w:jc w:val="both"/>
      </w:pPr>
      <w:r>
        <w:rPr>
          <w:rFonts w:ascii="Times New Roman"/>
          <w:b w:val="false"/>
          <w:i w:val="false"/>
          <w:color w:val="000000"/>
          <w:sz w:val="28"/>
        </w:rPr>
        <w:t>
      14-2. В случае, предусмотренном частью первой пункта 14-1 Правил, на основании полученного согласия клиента на сбор, обработку, хранение и предоставление при необходимости третьим лицам его персональных данных, полученного посредством идентификационного средства, центральный депозитарий проводит сеанс видеоконференцсвязи с клиентом с использованием имеющихся у клиента устройств и (или) устройств центрального депозитария. Содержательная часть сеанса видеоконференцсвязи (перечень контрольных вопросов), а также перечень и объемы услуг, оказываемых центральным депозитарием при удаленной идентификации клиентов, устанавливаются центральным депозитарием самостоятельно.</w:t>
      </w:r>
    </w:p>
    <w:bookmarkEnd w:id="533"/>
    <w:bookmarkStart w:name="z616" w:id="534"/>
    <w:p>
      <w:pPr>
        <w:spacing w:after="0"/>
        <w:ind w:left="0"/>
        <w:jc w:val="both"/>
      </w:pPr>
      <w:r>
        <w:rPr>
          <w:rFonts w:ascii="Times New Roman"/>
          <w:b w:val="false"/>
          <w:i w:val="false"/>
          <w:color w:val="000000"/>
          <w:sz w:val="28"/>
        </w:rPr>
        <w:t>
      Центральный депозитарий передает в ЦОИД индивидуальный либо бизнес-идентификационный номер клиента и видеоизображение клиента, полученное в ходе сеанса видеоконференцсвязи.</w:t>
      </w:r>
    </w:p>
    <w:bookmarkEnd w:id="534"/>
    <w:bookmarkStart w:name="z617" w:id="535"/>
    <w:p>
      <w:pPr>
        <w:spacing w:after="0"/>
        <w:ind w:left="0"/>
        <w:jc w:val="both"/>
      </w:pPr>
      <w:r>
        <w:rPr>
          <w:rFonts w:ascii="Times New Roman"/>
          <w:b w:val="false"/>
          <w:i w:val="false"/>
          <w:color w:val="000000"/>
          <w:sz w:val="28"/>
        </w:rPr>
        <w:t xml:space="preserve">
      ЦОИД посредством программного обеспечения определяет степень соответствия по биометрическим показателям в соответствии со своими внутренними процедурами. </w:t>
      </w:r>
    </w:p>
    <w:bookmarkEnd w:id="535"/>
    <w:bookmarkStart w:name="z618" w:id="536"/>
    <w:p>
      <w:pPr>
        <w:spacing w:after="0"/>
        <w:ind w:left="0"/>
        <w:jc w:val="both"/>
      </w:pPr>
      <w:r>
        <w:rPr>
          <w:rFonts w:ascii="Times New Roman"/>
          <w:b w:val="false"/>
          <w:i w:val="false"/>
          <w:color w:val="000000"/>
          <w:sz w:val="28"/>
        </w:rPr>
        <w:t>
      Видеозаписи обращений клиентов (записи сеанса видеоконференцсвязи) хранятся у центрального депозитария в течение 5 (пяти) лет со дня закрытия лицевого счета (субсчета) клиента в системе учета центрального депозитария.</w:t>
      </w:r>
    </w:p>
    <w:bookmarkEnd w:id="536"/>
    <w:bookmarkStart w:name="z619" w:id="537"/>
    <w:p>
      <w:pPr>
        <w:spacing w:after="0"/>
        <w:ind w:left="0"/>
        <w:jc w:val="both"/>
      </w:pPr>
      <w:r>
        <w:rPr>
          <w:rFonts w:ascii="Times New Roman"/>
          <w:b w:val="false"/>
          <w:i w:val="false"/>
          <w:color w:val="000000"/>
          <w:sz w:val="28"/>
        </w:rPr>
        <w:t>
      Результаты степени соответствия по биометрическим показателям фотоизображений и идентификационные данные клиента, полученные ЦОИД из доступных источников, передаются центральному депозитарию.";</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621" w:id="538"/>
    <w:p>
      <w:pPr>
        <w:spacing w:after="0"/>
        <w:ind w:left="0"/>
        <w:jc w:val="both"/>
      </w:pPr>
      <w:r>
        <w:rPr>
          <w:rFonts w:ascii="Times New Roman"/>
          <w:b w:val="false"/>
          <w:i w:val="false"/>
          <w:color w:val="000000"/>
          <w:sz w:val="28"/>
        </w:rPr>
        <w:t>
      "18. Для обеспечения раздельного учета финансовых инструментов депонентов и их клиентов на лицевом счете депонента открываются следующие субсчета:</w:t>
      </w:r>
    </w:p>
    <w:bookmarkEnd w:id="538"/>
    <w:bookmarkStart w:name="z622" w:id="539"/>
    <w:p>
      <w:pPr>
        <w:spacing w:after="0"/>
        <w:ind w:left="0"/>
        <w:jc w:val="both"/>
      </w:pPr>
      <w:r>
        <w:rPr>
          <w:rFonts w:ascii="Times New Roman"/>
          <w:b w:val="false"/>
          <w:i w:val="false"/>
          <w:color w:val="000000"/>
          <w:sz w:val="28"/>
        </w:rPr>
        <w:t>
      1) субсчет депонента, открываемый на имя депонента и предназначенный для учета финансовых инструментов, принадлежащих депоненту;</w:t>
      </w:r>
    </w:p>
    <w:bookmarkEnd w:id="539"/>
    <w:bookmarkStart w:name="z623" w:id="540"/>
    <w:p>
      <w:pPr>
        <w:spacing w:after="0"/>
        <w:ind w:left="0"/>
        <w:jc w:val="both"/>
      </w:pPr>
      <w:r>
        <w:rPr>
          <w:rFonts w:ascii="Times New Roman"/>
          <w:b w:val="false"/>
          <w:i w:val="false"/>
          <w:color w:val="000000"/>
          <w:sz w:val="28"/>
        </w:rPr>
        <w:t>
      2) субсчет депонента для учета выкупленных собственных ценных бумаг, открываемый на имя депонента и предназначенный для учета финансовых инструментов, выкупленных депонентом на вторичном рынке ценных бумаг;</w:t>
      </w:r>
    </w:p>
    <w:bookmarkEnd w:id="540"/>
    <w:bookmarkStart w:name="z624" w:id="541"/>
    <w:p>
      <w:pPr>
        <w:spacing w:after="0"/>
        <w:ind w:left="0"/>
        <w:jc w:val="both"/>
      </w:pPr>
      <w:r>
        <w:rPr>
          <w:rFonts w:ascii="Times New Roman"/>
          <w:b w:val="false"/>
          <w:i w:val="false"/>
          <w:color w:val="000000"/>
          <w:sz w:val="28"/>
        </w:rPr>
        <w:t>
      3) субсчет депонента для учета объявленных ценных бумаг, открываемый на имя депонента и предназначенный для учета неразмещенных финансовых инструментов данного депонента;</w:t>
      </w:r>
    </w:p>
    <w:bookmarkEnd w:id="541"/>
    <w:bookmarkStart w:name="z625" w:id="542"/>
    <w:p>
      <w:pPr>
        <w:spacing w:after="0"/>
        <w:ind w:left="0"/>
        <w:jc w:val="both"/>
      </w:pPr>
      <w:r>
        <w:rPr>
          <w:rFonts w:ascii="Times New Roman"/>
          <w:b w:val="false"/>
          <w:i w:val="false"/>
          <w:color w:val="000000"/>
          <w:sz w:val="28"/>
        </w:rPr>
        <w:t>
      4) субсчет держателя, открываемый на имя клиента депонента и предназначенный для учета финансовых инструментов, принадлежащих определенному клиенту депонента.</w:t>
      </w:r>
    </w:p>
    <w:bookmarkEnd w:id="542"/>
    <w:bookmarkStart w:name="z626" w:id="543"/>
    <w:p>
      <w:pPr>
        <w:spacing w:after="0"/>
        <w:ind w:left="0"/>
        <w:jc w:val="both"/>
      </w:pPr>
      <w:r>
        <w:rPr>
          <w:rFonts w:ascii="Times New Roman"/>
          <w:b w:val="false"/>
          <w:i w:val="false"/>
          <w:color w:val="000000"/>
          <w:sz w:val="28"/>
        </w:rPr>
        <w:t xml:space="preserve">
      Субсчет держателя, открываемый на лицевом счете юридического лица, указанного в подпунктах 6) и 7) </w:t>
      </w:r>
      <w:r>
        <w:rPr>
          <w:rFonts w:ascii="Times New Roman"/>
          <w:b w:val="false"/>
          <w:i w:val="false"/>
          <w:color w:val="000000"/>
          <w:sz w:val="28"/>
        </w:rPr>
        <w:t>пункта 16</w:t>
      </w:r>
      <w:r>
        <w:rPr>
          <w:rFonts w:ascii="Times New Roman"/>
          <w:b w:val="false"/>
          <w:i w:val="false"/>
          <w:color w:val="000000"/>
          <w:sz w:val="28"/>
        </w:rPr>
        <w:t xml:space="preserve"> Правил, открывается клиенту данного юридического лица на основании его обращения с указанием имени клиента либо без такового (с отметкой о принадлежности данного счета клиенту юридического лица);</w:t>
      </w:r>
    </w:p>
    <w:bookmarkEnd w:id="543"/>
    <w:bookmarkStart w:name="z627" w:id="544"/>
    <w:p>
      <w:pPr>
        <w:spacing w:after="0"/>
        <w:ind w:left="0"/>
        <w:jc w:val="both"/>
      </w:pPr>
      <w:r>
        <w:rPr>
          <w:rFonts w:ascii="Times New Roman"/>
          <w:b w:val="false"/>
          <w:i w:val="false"/>
          <w:color w:val="000000"/>
          <w:sz w:val="28"/>
        </w:rPr>
        <w:t>
      5) субсчет номинального держателя, открываемый на имя номинального держателя и предназначенный для учета финансовых инструментов, переданных в номинальное держание.</w:t>
      </w:r>
    </w:p>
    <w:bookmarkEnd w:id="544"/>
    <w:bookmarkStart w:name="z628" w:id="545"/>
    <w:p>
      <w:pPr>
        <w:spacing w:after="0"/>
        <w:ind w:left="0"/>
        <w:jc w:val="both"/>
      </w:pPr>
      <w:r>
        <w:rPr>
          <w:rFonts w:ascii="Times New Roman"/>
          <w:b w:val="false"/>
          <w:i w:val="false"/>
          <w:color w:val="000000"/>
          <w:sz w:val="28"/>
        </w:rPr>
        <w:t>
      Субсчет номинального держателя открывается:</w:t>
      </w:r>
    </w:p>
    <w:bookmarkEnd w:id="545"/>
    <w:bookmarkStart w:name="z629" w:id="546"/>
    <w:p>
      <w:pPr>
        <w:spacing w:after="0"/>
        <w:ind w:left="0"/>
        <w:jc w:val="both"/>
      </w:pPr>
      <w:r>
        <w:rPr>
          <w:rFonts w:ascii="Times New Roman"/>
          <w:b w:val="false"/>
          <w:i w:val="false"/>
          <w:color w:val="000000"/>
          <w:sz w:val="28"/>
        </w:rPr>
        <w:t>
      иностранному депозитарию или иностранному кастодиану на их лицевом счете для учета финансовых инструментов, принадлежащих их клиентам;</w:t>
      </w:r>
    </w:p>
    <w:bookmarkEnd w:id="546"/>
    <w:bookmarkStart w:name="z630" w:id="547"/>
    <w:p>
      <w:pPr>
        <w:spacing w:after="0"/>
        <w:ind w:left="0"/>
        <w:jc w:val="both"/>
      </w:pPr>
      <w:r>
        <w:rPr>
          <w:rFonts w:ascii="Times New Roman"/>
          <w:b w:val="false"/>
          <w:i w:val="false"/>
          <w:color w:val="000000"/>
          <w:sz w:val="28"/>
        </w:rPr>
        <w:t>
      номинальному держателю - нерезиденту Республики Казахстан, являющемуся клиентом депонента;</w:t>
      </w:r>
    </w:p>
    <w:bookmarkEnd w:id="547"/>
    <w:bookmarkStart w:name="z631" w:id="548"/>
    <w:p>
      <w:pPr>
        <w:spacing w:after="0"/>
        <w:ind w:left="0"/>
        <w:jc w:val="both"/>
      </w:pPr>
      <w:r>
        <w:rPr>
          <w:rFonts w:ascii="Times New Roman"/>
          <w:b w:val="false"/>
          <w:i w:val="false"/>
          <w:color w:val="000000"/>
          <w:sz w:val="28"/>
        </w:rPr>
        <w:t>
      номинальному держателю - резиденту Республики Казахстан, являющемуся клиентом кастодиана, для учета финансовых инструментов, выпущенных в соответствии с законодательством других государств;</w:t>
      </w:r>
    </w:p>
    <w:bookmarkEnd w:id="548"/>
    <w:bookmarkStart w:name="z632" w:id="549"/>
    <w:p>
      <w:pPr>
        <w:spacing w:after="0"/>
        <w:ind w:left="0"/>
        <w:jc w:val="both"/>
      </w:pPr>
      <w:r>
        <w:rPr>
          <w:rFonts w:ascii="Times New Roman"/>
          <w:b w:val="false"/>
          <w:i w:val="false"/>
          <w:color w:val="000000"/>
          <w:sz w:val="28"/>
        </w:rPr>
        <w:t>
      организации, осуществляющей регистрацию сделок с ценными бумагами на территории Международного финансового центра "Астана", для учета финансовых инструментов, находящихся в листинге фондовой биржи, функционирующей на территории Международного финансового центра "Астана";</w:t>
      </w:r>
    </w:p>
    <w:bookmarkEnd w:id="549"/>
    <w:bookmarkStart w:name="z633" w:id="550"/>
    <w:p>
      <w:pPr>
        <w:spacing w:after="0"/>
        <w:ind w:left="0"/>
        <w:jc w:val="both"/>
      </w:pPr>
      <w:r>
        <w:rPr>
          <w:rFonts w:ascii="Times New Roman"/>
          <w:b w:val="false"/>
          <w:i w:val="false"/>
          <w:color w:val="000000"/>
          <w:sz w:val="28"/>
        </w:rPr>
        <w:t>
      6) субсчет эмитента для учета выкупленных ценных бумаг, открываемый на имя эмитента и предназначенный для учета финансовых инструментов, выкупленных эмитентом на вторичном рынке ценных бумаг;</w:t>
      </w:r>
    </w:p>
    <w:bookmarkEnd w:id="550"/>
    <w:bookmarkStart w:name="z634" w:id="551"/>
    <w:p>
      <w:pPr>
        <w:spacing w:after="0"/>
        <w:ind w:left="0"/>
        <w:jc w:val="both"/>
      </w:pPr>
      <w:r>
        <w:rPr>
          <w:rFonts w:ascii="Times New Roman"/>
          <w:b w:val="false"/>
          <w:i w:val="false"/>
          <w:color w:val="000000"/>
          <w:sz w:val="28"/>
        </w:rPr>
        <w:t>
      7) субсчет эмитента для учета объявленных ценных бумаг, открываемый на имя эмитента и предназначенный для учета неразмещенных финансовых инструментов данного эмитента.";</w:t>
      </w:r>
    </w:p>
    <w:bookmarkEnd w:id="551"/>
    <w:bookmarkStart w:name="z635" w:id="552"/>
    <w:p>
      <w:pPr>
        <w:spacing w:after="0"/>
        <w:ind w:left="0"/>
        <w:jc w:val="both"/>
      </w:pPr>
      <w:r>
        <w:rPr>
          <w:rFonts w:ascii="Times New Roman"/>
          <w:b w:val="false"/>
          <w:i w:val="false"/>
          <w:color w:val="000000"/>
          <w:sz w:val="28"/>
        </w:rPr>
        <w:t>
      дополнить пунктами 20-1 и 20-2 следующего содержания:</w:t>
      </w:r>
    </w:p>
    <w:bookmarkEnd w:id="552"/>
    <w:bookmarkStart w:name="z636" w:id="553"/>
    <w:p>
      <w:pPr>
        <w:spacing w:after="0"/>
        <w:ind w:left="0"/>
        <w:jc w:val="both"/>
      </w:pPr>
      <w:r>
        <w:rPr>
          <w:rFonts w:ascii="Times New Roman"/>
          <w:b w:val="false"/>
          <w:i w:val="false"/>
          <w:color w:val="000000"/>
          <w:sz w:val="28"/>
        </w:rPr>
        <w:t xml:space="preserve">
      "20-1. Центральный депозитарий не реже одного раза в квартал осуществляет в порядке, определенном внутренними правилами центрального депозитария, сверку данных о своих клиентах, содержащихся в системе учета центрального депозитария, с информацией о таких клиентах, получаемой центральным депозитарием с использованием услуг ЦОИД или кредитного бюро с государственным участием. </w:t>
      </w:r>
    </w:p>
    <w:bookmarkEnd w:id="553"/>
    <w:bookmarkStart w:name="z637" w:id="554"/>
    <w:p>
      <w:pPr>
        <w:spacing w:after="0"/>
        <w:ind w:left="0"/>
        <w:jc w:val="both"/>
      </w:pPr>
      <w:r>
        <w:rPr>
          <w:rFonts w:ascii="Times New Roman"/>
          <w:b w:val="false"/>
          <w:i w:val="false"/>
          <w:color w:val="000000"/>
          <w:sz w:val="28"/>
        </w:rPr>
        <w:t>
      При выявлении по итогам данной сверки расхождения в данных о клиенте центральный депозитарий в порядке, предусмотренном его внутренними документами, определяет необходимость актуализации данных о клиенте и внесения соответствующих изменений в свою систему учета, после чего направляет такому клиенту уведомление в случае обновления его данных на основе информации, полученной с использованием услуг ЦОИД или кредитного бюро с государственным участием, в порядке, сроки и способом установленными сводом правил центрального депозитария.</w:t>
      </w:r>
    </w:p>
    <w:bookmarkEnd w:id="554"/>
    <w:bookmarkStart w:name="z638" w:id="555"/>
    <w:p>
      <w:pPr>
        <w:spacing w:after="0"/>
        <w:ind w:left="0"/>
        <w:jc w:val="both"/>
      </w:pPr>
      <w:r>
        <w:rPr>
          <w:rFonts w:ascii="Times New Roman"/>
          <w:b w:val="false"/>
          <w:i w:val="false"/>
          <w:color w:val="000000"/>
          <w:sz w:val="28"/>
        </w:rPr>
        <w:t>
      20-2. Центральный депозитарий в порядке, определенном сводом правил центрального депозитария, не реже одного раза в год осуществляет сверку данных о клиентах, содержащихся в системе учета центрального депозитария, с данными о таких клиентах, содержащихся в системе учета номинального держателя.</w:t>
      </w:r>
    </w:p>
    <w:bookmarkEnd w:id="555"/>
    <w:bookmarkStart w:name="z639" w:id="556"/>
    <w:p>
      <w:pPr>
        <w:spacing w:after="0"/>
        <w:ind w:left="0"/>
        <w:jc w:val="both"/>
      </w:pPr>
      <w:r>
        <w:rPr>
          <w:rFonts w:ascii="Times New Roman"/>
          <w:b w:val="false"/>
          <w:i w:val="false"/>
          <w:color w:val="000000"/>
          <w:sz w:val="28"/>
        </w:rPr>
        <w:t>
      При выявлении по итогам данной сверки расхождения данных о клиенте в системе учета центрального депозитария с данными о таком клиенте в системе учета номинального держателя, центральный депозитарий в порядке, предусмотренном его внутренними документами, определяет необходимость актуализации данных о клиенте и внесения соответствующих изменений в свою систему учета. По результатам проведенной работы центральный депозитарий направляет номинальному держателю уведомление об обновлении данных о клиенте в системе учета центрального депозитария либо о необходимости обновления таких данных в системе учета номинального держателя. Уведомления направляются центральным депозитарием в порядке, сроки и способом, установленными его сводом правил.";</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40-1</w:t>
      </w:r>
      <w:r>
        <w:rPr>
          <w:rFonts w:ascii="Times New Roman"/>
          <w:b w:val="false"/>
          <w:i w:val="false"/>
          <w:color w:val="000000"/>
          <w:sz w:val="28"/>
        </w:rPr>
        <w:t xml:space="preserve"> изложить в следующей редакции:</w:t>
      </w:r>
    </w:p>
    <w:bookmarkStart w:name="z641" w:id="557"/>
    <w:p>
      <w:pPr>
        <w:spacing w:after="0"/>
        <w:ind w:left="0"/>
        <w:jc w:val="both"/>
      </w:pPr>
      <w:r>
        <w:rPr>
          <w:rFonts w:ascii="Times New Roman"/>
          <w:b w:val="false"/>
          <w:i w:val="false"/>
          <w:color w:val="000000"/>
          <w:sz w:val="28"/>
        </w:rPr>
        <w:t>
      "40-1. В случае отсутствия сведений об актуальных реквизитах акционера в системе реестров держателей ценных бумаг, деньги, предназначенные для оплаты голосующих акций общества, приобретенных крупным акционером у остальных акционеров, перечисляются на счет для учета невостребованных денег, открытый в системе учета центрального депозитария.</w:t>
      </w:r>
    </w:p>
    <w:bookmarkEnd w:id="557"/>
    <w:bookmarkStart w:name="z642" w:id="558"/>
    <w:p>
      <w:pPr>
        <w:spacing w:after="0"/>
        <w:ind w:left="0"/>
        <w:jc w:val="both"/>
      </w:pPr>
      <w:r>
        <w:rPr>
          <w:rFonts w:ascii="Times New Roman"/>
          <w:b w:val="false"/>
          <w:i w:val="false"/>
          <w:color w:val="000000"/>
          <w:sz w:val="28"/>
        </w:rPr>
        <w:t>
      В случае отсутствия сведений об актуальных реквизитах акционера у общества или в системе реестров держателей ценных бумаг, выплата дивидендов по простым акциям общества осуществляется в течение пяти рабочих дней после истечения девяноста календарных дней с даты, следующей за датой принятия общим собранием акционеров решения о выплате дивидендов по простым акциям общества, на счет для учета невостребованных денег, открытый в системе учета центрального депозитария.</w:t>
      </w:r>
    </w:p>
    <w:bookmarkEnd w:id="558"/>
    <w:bookmarkStart w:name="z643" w:id="559"/>
    <w:p>
      <w:pPr>
        <w:spacing w:after="0"/>
        <w:ind w:left="0"/>
        <w:jc w:val="both"/>
      </w:pPr>
      <w:r>
        <w:rPr>
          <w:rFonts w:ascii="Times New Roman"/>
          <w:b w:val="false"/>
          <w:i w:val="false"/>
          <w:color w:val="000000"/>
          <w:sz w:val="28"/>
        </w:rPr>
        <w:t>
      В случае отсутствия сведений об актуальных реквизитах акционера у общества или в системе реестров держателей ценных бумаг, выплата дивидендов по привилегированным акциям общества осуществляется в течение пяти рабочих дней после истечения девяноста календарных дней после даты составления списка акционеров, имеющих право получения дивидендов, на счет для учета невостребованных денег, открытый в системе учета центрального депозитария.";</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40-3</w:t>
      </w:r>
      <w:r>
        <w:rPr>
          <w:rFonts w:ascii="Times New Roman"/>
          <w:b w:val="false"/>
          <w:i w:val="false"/>
          <w:color w:val="000000"/>
          <w:sz w:val="28"/>
        </w:rPr>
        <w:t xml:space="preserve"> изложить в следующей редакции:</w:t>
      </w:r>
    </w:p>
    <w:bookmarkStart w:name="z645" w:id="560"/>
    <w:p>
      <w:pPr>
        <w:spacing w:after="0"/>
        <w:ind w:left="0"/>
        <w:jc w:val="both"/>
      </w:pPr>
      <w:r>
        <w:rPr>
          <w:rFonts w:ascii="Times New Roman"/>
          <w:b w:val="false"/>
          <w:i w:val="false"/>
          <w:color w:val="000000"/>
          <w:sz w:val="28"/>
        </w:rPr>
        <w:t xml:space="preserve">
      "40-3. Для оплаты голосующих акций общества, приобретенных крупным акционером у остальных акционеров, не имеющих актуальных реквизитов, согласно </w:t>
      </w:r>
      <w:r>
        <w:rPr>
          <w:rFonts w:ascii="Times New Roman"/>
          <w:b w:val="false"/>
          <w:i w:val="false"/>
          <w:color w:val="000000"/>
          <w:sz w:val="28"/>
        </w:rPr>
        <w:t>статье 25-1</w:t>
      </w:r>
      <w:r>
        <w:rPr>
          <w:rFonts w:ascii="Times New Roman"/>
          <w:b w:val="false"/>
          <w:i w:val="false"/>
          <w:color w:val="000000"/>
          <w:sz w:val="28"/>
        </w:rPr>
        <w:t xml:space="preserve"> Закона об акционерных обществах, данное лицо одновременно подает центральному депозитарию приказ на выкуп акций общества и переводит необходимую сумму денег на счет для учета невостребованных денег, открытый в системе учета центрального депозитария.</w:t>
      </w:r>
    </w:p>
    <w:bookmarkEnd w:id="560"/>
    <w:bookmarkStart w:name="z646" w:id="561"/>
    <w:p>
      <w:pPr>
        <w:spacing w:after="0"/>
        <w:ind w:left="0"/>
        <w:jc w:val="both"/>
      </w:pPr>
      <w:r>
        <w:rPr>
          <w:rFonts w:ascii="Times New Roman"/>
          <w:b w:val="false"/>
          <w:i w:val="false"/>
          <w:color w:val="000000"/>
          <w:sz w:val="28"/>
        </w:rPr>
        <w:t xml:space="preserve">
      К приказу, указанному в части первой настоящего пункта, прилагается документ, подтверждающий цену продажи акционерами принадлежащих им голосующих акций крупному акционеру, определенную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25-1 Закона об акционерных обществах.</w:t>
      </w:r>
    </w:p>
    <w:bookmarkEnd w:id="561"/>
    <w:bookmarkStart w:name="z647" w:id="562"/>
    <w:p>
      <w:pPr>
        <w:spacing w:after="0"/>
        <w:ind w:left="0"/>
        <w:jc w:val="both"/>
      </w:pPr>
      <w:r>
        <w:rPr>
          <w:rFonts w:ascii="Times New Roman"/>
          <w:b w:val="false"/>
          <w:i w:val="false"/>
          <w:color w:val="000000"/>
          <w:sz w:val="28"/>
        </w:rPr>
        <w:t xml:space="preserve">
      По требованию лица, акции которого были проданы крупному акционеру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об акционерных обществах, центральный депозитарий в течение трех рабочих дней со дня получения такого требования предоставляет ему копию документа, указанного в части второй настоящего пункта. Центральный депозитарий в случаях, установленных его сводом правил, взимает за предоставление копии документа плату, которая не должна превышать расходы на ее изготовление.".</w:t>
      </w:r>
    </w:p>
    <w:bookmarkEnd w:id="562"/>
    <w:bookmarkStart w:name="z648" w:id="563"/>
    <w:p>
      <w:pPr>
        <w:spacing w:after="0"/>
        <w:ind w:left="0"/>
        <w:jc w:val="both"/>
      </w:pPr>
      <w:r>
        <w:rPr>
          <w:rFonts w:ascii="Times New Roman"/>
          <w:b w:val="false"/>
          <w:i w:val="false"/>
          <w:color w:val="000000"/>
          <w:sz w:val="28"/>
        </w:rPr>
        <w:t xml:space="preserve">
      16.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декабря 2018 года № 319 "Об утверждении Правил признания сделок с ценными бумагами и иными финансовыми инструментами, заключенных на организованном и неорганизованном рынках ценных бумаг, как совершенных в целях манипулирования, создания и работы экспертного комитета, а также его количественного состава" (зарегистрировано в Реестре государственной регистрации нормативных правовых актов под № 18169, опубликовано 21 января 2019 года в Эталонном контрольном банке нормативных правовых актов Республики Казахстан) следующее изменение:</w:t>
      </w:r>
    </w:p>
    <w:bookmarkEnd w:id="563"/>
    <w:bookmarkStart w:name="z649" w:id="5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признания сделок с ценными бумагами и иными финансовыми инструментами, заключенных на организованном и неорганизованном рынках ценных бумаг, как совершенных в целях манипулирования, создания и работы экспертного комитета, а также его количественном составе, утвержденных указанным постановлением:</w:t>
      </w:r>
    </w:p>
    <w:bookmarkEnd w:id="5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651" w:id="565"/>
    <w:p>
      <w:pPr>
        <w:spacing w:after="0"/>
        <w:ind w:left="0"/>
        <w:jc w:val="both"/>
      </w:pPr>
      <w:r>
        <w:rPr>
          <w:rFonts w:ascii="Times New Roman"/>
          <w:b w:val="false"/>
          <w:i w:val="false"/>
          <w:color w:val="000000"/>
          <w:sz w:val="28"/>
        </w:rPr>
        <w:t>
      "16. Заседания экспертного комитета проводятся в очной, заочной либо смешанной формах по мере необходимости.</w:t>
      </w:r>
    </w:p>
    <w:bookmarkEnd w:id="565"/>
    <w:bookmarkStart w:name="z652" w:id="566"/>
    <w:p>
      <w:pPr>
        <w:spacing w:after="0"/>
        <w:ind w:left="0"/>
        <w:jc w:val="both"/>
      </w:pPr>
      <w:r>
        <w:rPr>
          <w:rFonts w:ascii="Times New Roman"/>
          <w:b w:val="false"/>
          <w:i w:val="false"/>
          <w:color w:val="000000"/>
          <w:sz w:val="28"/>
        </w:rPr>
        <w:t>
      Кворум для проведения заседания эксперного комитета составляет не менее двух третей его членов. Каждый член экспертного комитета имеет один голос. При равенстве голосов, голос председателя экспертного комитета является решающим.</w:t>
      </w:r>
    </w:p>
    <w:bookmarkEnd w:id="566"/>
    <w:bookmarkStart w:name="z653" w:id="567"/>
    <w:p>
      <w:pPr>
        <w:spacing w:after="0"/>
        <w:ind w:left="0"/>
        <w:jc w:val="both"/>
      </w:pPr>
      <w:r>
        <w:rPr>
          <w:rFonts w:ascii="Times New Roman"/>
          <w:b w:val="false"/>
          <w:i w:val="false"/>
          <w:color w:val="000000"/>
          <w:sz w:val="28"/>
        </w:rPr>
        <w:t xml:space="preserve">
      Решения экспертного комитета принимаются простым большинством голосов членов экспертного комитета, участвовавших на заседании. </w:t>
      </w:r>
    </w:p>
    <w:bookmarkEnd w:id="567"/>
    <w:bookmarkStart w:name="z654" w:id="568"/>
    <w:p>
      <w:pPr>
        <w:spacing w:after="0"/>
        <w:ind w:left="0"/>
        <w:jc w:val="both"/>
      </w:pPr>
      <w:r>
        <w:rPr>
          <w:rFonts w:ascii="Times New Roman"/>
          <w:b w:val="false"/>
          <w:i w:val="false"/>
          <w:color w:val="000000"/>
          <w:sz w:val="28"/>
        </w:rPr>
        <w:t>
      Решение посредством заочного голосования признается принятым при наличии кворума в полученных в установленный срок бюллетенях, если за принятие решения проголосовало простое большинство голосов членов экспертного комитета.</w:t>
      </w:r>
    </w:p>
    <w:bookmarkEnd w:id="568"/>
    <w:bookmarkStart w:name="z655" w:id="569"/>
    <w:p>
      <w:pPr>
        <w:spacing w:after="0"/>
        <w:ind w:left="0"/>
        <w:jc w:val="both"/>
      </w:pPr>
      <w:r>
        <w:rPr>
          <w:rFonts w:ascii="Times New Roman"/>
          <w:b w:val="false"/>
          <w:i w:val="false"/>
          <w:color w:val="000000"/>
          <w:sz w:val="28"/>
        </w:rPr>
        <w:t>
      Заочное голосование может применяться вместе с голосованием членов экспертного комитета, присутствующих на заседании (смешанное голосование). При определении кворума, решения которого принимаются посредством смешанного голосования, учитываются бюллетени членов экспертного комитета, проголосовавших заочно, представленные до начала проведения заседания экспертного комитета.</w:t>
      </w:r>
    </w:p>
    <w:bookmarkEnd w:id="569"/>
    <w:bookmarkStart w:name="z656" w:id="570"/>
    <w:p>
      <w:pPr>
        <w:spacing w:after="0"/>
        <w:ind w:left="0"/>
        <w:jc w:val="both"/>
      </w:pPr>
      <w:r>
        <w:rPr>
          <w:rFonts w:ascii="Times New Roman"/>
          <w:b w:val="false"/>
          <w:i w:val="false"/>
          <w:color w:val="000000"/>
          <w:sz w:val="28"/>
        </w:rPr>
        <w:t>
      Решения экспертного комитета оформляются протоколом, подписываемым председателем и секретарем экспертного комитета в срок не позднее пятого рабочего дня после проведения заседания экспертного комитета, и экспертным заключением, подписываемым всеми членами экспертного комитета, принимавшими участие в голосовании.</w:t>
      </w:r>
    </w:p>
    <w:bookmarkEnd w:id="570"/>
    <w:bookmarkStart w:name="z657" w:id="571"/>
    <w:p>
      <w:pPr>
        <w:spacing w:after="0"/>
        <w:ind w:left="0"/>
        <w:jc w:val="both"/>
      </w:pPr>
      <w:r>
        <w:rPr>
          <w:rFonts w:ascii="Times New Roman"/>
          <w:b w:val="false"/>
          <w:i w:val="false"/>
          <w:color w:val="000000"/>
          <w:sz w:val="28"/>
        </w:rPr>
        <w:t>
      Стороны рассматриваемых подозрительных сделок по изъявлению желания могут принять участие на заседании экспертного комитета с целью предоставления разъяснений обстоятельств совершения указанных сделок. При изъявлении сторонами рассматриваемых подозрительных сделок желания принять участие на заседании экспертного комитета заседание экспертного комитета проводится в очной либо смешанной форме. В случае невозможности принятия участия на заседании экспертного комитета стороны рассматриваемых подозрительных сделок могут предоставить экспертному комитету письменные разъяснения обстоятельств совершения данных сделок.".</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профессиональных участников</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условиям</w:t>
            </w:r>
            <w:r>
              <w:br/>
            </w:r>
            <w:r>
              <w:rPr>
                <w:rFonts w:ascii="Times New Roman"/>
                <w:b w:val="false"/>
                <w:i w:val="false"/>
                <w:color w:val="000000"/>
                <w:sz w:val="20"/>
              </w:rPr>
              <w:t>и методике определения</w:t>
            </w:r>
            <w:r>
              <w:br/>
            </w:r>
            <w:r>
              <w:rPr>
                <w:rFonts w:ascii="Times New Roman"/>
                <w:b w:val="false"/>
                <w:i w:val="false"/>
                <w:color w:val="000000"/>
                <w:sz w:val="20"/>
              </w:rPr>
              <w:t>стоимости активов</w:t>
            </w:r>
            <w:r>
              <w:br/>
            </w:r>
            <w:r>
              <w:rPr>
                <w:rFonts w:ascii="Times New Roman"/>
                <w:b w:val="false"/>
                <w:i w:val="false"/>
                <w:color w:val="000000"/>
                <w:sz w:val="20"/>
              </w:rPr>
              <w:t>инвестиционного фонда, чистых</w:t>
            </w:r>
            <w:r>
              <w:br/>
            </w:r>
            <w:r>
              <w:rPr>
                <w:rFonts w:ascii="Times New Roman"/>
                <w:b w:val="false"/>
                <w:i w:val="false"/>
                <w:color w:val="000000"/>
                <w:sz w:val="20"/>
              </w:rPr>
              <w:t>активов инвестиционного фонда,</w:t>
            </w:r>
            <w:r>
              <w:br/>
            </w:r>
            <w:r>
              <w:rPr>
                <w:rFonts w:ascii="Times New Roman"/>
                <w:b w:val="false"/>
                <w:i w:val="false"/>
                <w:color w:val="000000"/>
                <w:sz w:val="20"/>
              </w:rPr>
              <w:t>расчетной стоимости пая</w:t>
            </w:r>
            <w:r>
              <w:br/>
            </w:r>
            <w:r>
              <w:rPr>
                <w:rFonts w:ascii="Times New Roman"/>
                <w:b w:val="false"/>
                <w:i w:val="false"/>
                <w:color w:val="000000"/>
                <w:sz w:val="20"/>
              </w:rPr>
              <w:t>паевого инвестиционного фонда</w:t>
            </w:r>
            <w:r>
              <w:br/>
            </w:r>
            <w:r>
              <w:rPr>
                <w:rFonts w:ascii="Times New Roman"/>
                <w:b w:val="false"/>
                <w:i w:val="false"/>
                <w:color w:val="000000"/>
                <w:sz w:val="20"/>
              </w:rPr>
              <w:t>и цены выкупа акции</w:t>
            </w:r>
            <w:r>
              <w:br/>
            </w:r>
            <w:r>
              <w:rPr>
                <w:rFonts w:ascii="Times New Roman"/>
                <w:b w:val="false"/>
                <w:i w:val="false"/>
                <w:color w:val="000000"/>
                <w:sz w:val="20"/>
              </w:rPr>
              <w:t>акционерного инвестиционного фонда</w:t>
            </w:r>
          </w:p>
        </w:tc>
      </w:tr>
    </w:tbl>
    <w:bookmarkStart w:name="z660" w:id="572"/>
    <w:p>
      <w:pPr>
        <w:spacing w:after="0"/>
        <w:ind w:left="0"/>
        <w:jc w:val="left"/>
      </w:pPr>
      <w:r>
        <w:rPr>
          <w:rFonts w:ascii="Times New Roman"/>
          <w:b/>
          <w:i w:val="false"/>
          <w:color w:val="000000"/>
        </w:rPr>
        <w:t xml:space="preserve"> Размер необходимого обесценения или уменьшения стоимости ценных бумаг</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2"/>
        <w:gridCol w:w="1794"/>
        <w:gridCol w:w="7014"/>
      </w:tblGrid>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 ценных бумаг</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необходимый размер обесценения или уменьшения стоимости</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1 категории</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2 категории</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3 категории</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(35 %)</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Неудовлетворительная</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(70 %)</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Безнадежная</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bl>
    <w:bookmarkStart w:name="z661" w:id="573"/>
    <w:p>
      <w:pPr>
        <w:spacing w:after="0"/>
        <w:ind w:left="0"/>
        <w:jc w:val="both"/>
      </w:pPr>
      <w:r>
        <w:rPr>
          <w:rFonts w:ascii="Times New Roman"/>
          <w:b w:val="false"/>
          <w:i w:val="false"/>
          <w:color w:val="000000"/>
          <w:sz w:val="28"/>
        </w:rPr>
        <w:t>
      Пояснения по таблице</w:t>
      </w:r>
    </w:p>
    <w:bookmarkEnd w:id="573"/>
    <w:bookmarkStart w:name="z662" w:id="574"/>
    <w:p>
      <w:pPr>
        <w:spacing w:after="0"/>
        <w:ind w:left="0"/>
        <w:jc w:val="both"/>
      </w:pPr>
      <w:r>
        <w:rPr>
          <w:rFonts w:ascii="Times New Roman"/>
          <w:b w:val="false"/>
          <w:i w:val="false"/>
          <w:color w:val="000000"/>
          <w:sz w:val="28"/>
        </w:rPr>
        <w:t>
      При использовании данных критерий для обесценения или уменьшения стоимости ценных бумаг при наличии рейтинговой оценки и категории листинга в расчет принимается рейтинговая оценка.</w:t>
      </w:r>
    </w:p>
    <w:bookmarkEnd w:id="574"/>
    <w:bookmarkStart w:name="z663" w:id="575"/>
    <w:p>
      <w:pPr>
        <w:spacing w:after="0"/>
        <w:ind w:left="0"/>
        <w:jc w:val="both"/>
      </w:pPr>
      <w:r>
        <w:rPr>
          <w:rFonts w:ascii="Times New Roman"/>
          <w:b w:val="false"/>
          <w:i w:val="false"/>
          <w:color w:val="000000"/>
          <w:sz w:val="28"/>
        </w:rPr>
        <w:t>
      При получении суммы баллов до 1 (включительно) ценная бумага классифицируется как стандартная.</w:t>
      </w:r>
    </w:p>
    <w:bookmarkEnd w:id="575"/>
    <w:bookmarkStart w:name="z664" w:id="576"/>
    <w:p>
      <w:pPr>
        <w:spacing w:after="0"/>
        <w:ind w:left="0"/>
        <w:jc w:val="both"/>
      </w:pPr>
      <w:r>
        <w:rPr>
          <w:rFonts w:ascii="Times New Roman"/>
          <w:b w:val="false"/>
          <w:i w:val="false"/>
          <w:color w:val="000000"/>
          <w:sz w:val="28"/>
        </w:rPr>
        <w:t>
      При сумме баллов равной от 2 до 4 (включительно) ценная бумага классифицируется как сомнительная 1 категории, формируется 10 (десять) процентов провизий.</w:t>
      </w:r>
    </w:p>
    <w:bookmarkEnd w:id="576"/>
    <w:bookmarkStart w:name="z665" w:id="577"/>
    <w:p>
      <w:pPr>
        <w:spacing w:after="0"/>
        <w:ind w:left="0"/>
        <w:jc w:val="both"/>
      </w:pPr>
      <w:r>
        <w:rPr>
          <w:rFonts w:ascii="Times New Roman"/>
          <w:b w:val="false"/>
          <w:i w:val="false"/>
          <w:color w:val="000000"/>
          <w:sz w:val="28"/>
        </w:rPr>
        <w:t>
      При сумме баллов равной от 5 до 7 (включительно) ценная бумага классифицируется как сомнительная 2 категории, формируется 15 (пятнадцать) процентов провизий.</w:t>
      </w:r>
    </w:p>
    <w:bookmarkEnd w:id="577"/>
    <w:bookmarkStart w:name="z666" w:id="578"/>
    <w:p>
      <w:pPr>
        <w:spacing w:after="0"/>
        <w:ind w:left="0"/>
        <w:jc w:val="both"/>
      </w:pPr>
      <w:r>
        <w:rPr>
          <w:rFonts w:ascii="Times New Roman"/>
          <w:b w:val="false"/>
          <w:i w:val="false"/>
          <w:color w:val="000000"/>
          <w:sz w:val="28"/>
        </w:rPr>
        <w:t>
      При сумме баллов равной от 8 до 10 (включительно) ценная бумага классифицируется как сомнительная 3 категории, формируется:</w:t>
      </w:r>
    </w:p>
    <w:bookmarkEnd w:id="578"/>
    <w:bookmarkStart w:name="z667" w:id="579"/>
    <w:p>
      <w:pPr>
        <w:spacing w:after="0"/>
        <w:ind w:left="0"/>
        <w:jc w:val="both"/>
      </w:pPr>
      <w:r>
        <w:rPr>
          <w:rFonts w:ascii="Times New Roman"/>
          <w:b w:val="false"/>
          <w:i w:val="false"/>
          <w:color w:val="000000"/>
          <w:sz w:val="28"/>
        </w:rPr>
        <w:t>
      25 (двадцать пять) процентов провизий по облигациям;</w:t>
      </w:r>
    </w:p>
    <w:bookmarkEnd w:id="579"/>
    <w:bookmarkStart w:name="z668" w:id="580"/>
    <w:p>
      <w:pPr>
        <w:spacing w:after="0"/>
        <w:ind w:left="0"/>
        <w:jc w:val="both"/>
      </w:pPr>
      <w:r>
        <w:rPr>
          <w:rFonts w:ascii="Times New Roman"/>
          <w:b w:val="false"/>
          <w:i w:val="false"/>
          <w:color w:val="000000"/>
          <w:sz w:val="28"/>
        </w:rPr>
        <w:t>
      35 (тридцать пять) процентов провизий по акциям.</w:t>
      </w:r>
    </w:p>
    <w:bookmarkEnd w:id="580"/>
    <w:bookmarkStart w:name="z669" w:id="581"/>
    <w:p>
      <w:pPr>
        <w:spacing w:after="0"/>
        <w:ind w:left="0"/>
        <w:jc w:val="both"/>
      </w:pPr>
      <w:r>
        <w:rPr>
          <w:rFonts w:ascii="Times New Roman"/>
          <w:b w:val="false"/>
          <w:i w:val="false"/>
          <w:color w:val="000000"/>
          <w:sz w:val="28"/>
        </w:rPr>
        <w:t>
      При сумме баллов равной от 10 до 12 (включительно) ценная бумага классифицируется как неудовлетворительная, формируется:</w:t>
      </w:r>
    </w:p>
    <w:bookmarkEnd w:id="581"/>
    <w:bookmarkStart w:name="z670" w:id="582"/>
    <w:p>
      <w:pPr>
        <w:spacing w:after="0"/>
        <w:ind w:left="0"/>
        <w:jc w:val="both"/>
      </w:pPr>
      <w:r>
        <w:rPr>
          <w:rFonts w:ascii="Times New Roman"/>
          <w:b w:val="false"/>
          <w:i w:val="false"/>
          <w:color w:val="000000"/>
          <w:sz w:val="28"/>
        </w:rPr>
        <w:t>
      50 (пятьдесят) процентов провизий по облигациям;</w:t>
      </w:r>
    </w:p>
    <w:bookmarkEnd w:id="582"/>
    <w:bookmarkStart w:name="z671" w:id="583"/>
    <w:p>
      <w:pPr>
        <w:spacing w:after="0"/>
        <w:ind w:left="0"/>
        <w:jc w:val="both"/>
      </w:pPr>
      <w:r>
        <w:rPr>
          <w:rFonts w:ascii="Times New Roman"/>
          <w:b w:val="false"/>
          <w:i w:val="false"/>
          <w:color w:val="000000"/>
          <w:sz w:val="28"/>
        </w:rPr>
        <w:t>
      70 (семьдесят) процентов провизий по акциям.</w:t>
      </w:r>
    </w:p>
    <w:bookmarkEnd w:id="583"/>
    <w:bookmarkStart w:name="z672" w:id="584"/>
    <w:p>
      <w:pPr>
        <w:spacing w:after="0"/>
        <w:ind w:left="0"/>
        <w:jc w:val="both"/>
      </w:pPr>
      <w:r>
        <w:rPr>
          <w:rFonts w:ascii="Times New Roman"/>
          <w:b w:val="false"/>
          <w:i w:val="false"/>
          <w:color w:val="000000"/>
          <w:sz w:val="28"/>
        </w:rPr>
        <w:t>
      При сумме свыше 12 ценная бумага классифицируется как безнадежная, формируется 90 (девяносто) процентов провизии. При этом в случае, если долговая ценная бумага эмитента классифицируется как безнадежная, то акция данного эмитента единовременно списывается до нуля.</w:t>
      </w:r>
    </w:p>
    <w:bookmarkEnd w:id="584"/>
    <w:bookmarkStart w:name="z673" w:id="585"/>
    <w:p>
      <w:pPr>
        <w:spacing w:after="0"/>
        <w:ind w:left="0"/>
        <w:jc w:val="both"/>
      </w:pPr>
      <w:r>
        <w:rPr>
          <w:rFonts w:ascii="Times New Roman"/>
          <w:b w:val="false"/>
          <w:i w:val="false"/>
          <w:color w:val="000000"/>
          <w:sz w:val="28"/>
        </w:rPr>
        <w:t>
      В случае банкротства эмитента ценной бумаги данная ценная бумага единовременно списывается до нуля.</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 Республики</w:t>
            </w:r>
            <w:r>
              <w:br/>
            </w:r>
            <w:r>
              <w:rPr>
                <w:rFonts w:ascii="Times New Roman"/>
                <w:b w:val="false"/>
                <w:i w:val="false"/>
                <w:color w:val="000000"/>
                <w:sz w:val="20"/>
              </w:rPr>
              <w:t>Казахстан по вопросам</w:t>
            </w:r>
            <w:r>
              <w:br/>
            </w:r>
            <w:r>
              <w:rPr>
                <w:rFonts w:ascii="Times New Roman"/>
                <w:b w:val="false"/>
                <w:i w:val="false"/>
                <w:color w:val="000000"/>
                <w:sz w:val="20"/>
              </w:rPr>
              <w:t>регулирования</w:t>
            </w:r>
            <w:r>
              <w:br/>
            </w:r>
            <w:r>
              <w:rPr>
                <w:rFonts w:ascii="Times New Roman"/>
                <w:b w:val="false"/>
                <w:i w:val="false"/>
                <w:color w:val="000000"/>
                <w:sz w:val="20"/>
              </w:rPr>
              <w:t>профессиональных участников</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формирования системы</w:t>
            </w:r>
            <w:r>
              <w:br/>
            </w:r>
            <w:r>
              <w:rPr>
                <w:rFonts w:ascii="Times New Roman"/>
                <w:b w:val="false"/>
                <w:i w:val="false"/>
                <w:color w:val="000000"/>
                <w:sz w:val="20"/>
              </w:rPr>
              <w:t>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брокерскую и дилерскую</w:t>
            </w:r>
            <w:r>
              <w:br/>
            </w:r>
            <w:r>
              <w:rPr>
                <w:rFonts w:ascii="Times New Roman"/>
                <w:b w:val="false"/>
                <w:i w:val="false"/>
                <w:color w:val="000000"/>
                <w:sz w:val="20"/>
              </w:rPr>
              <w:t>деятельность на рынке ценных</w:t>
            </w:r>
            <w:r>
              <w:br/>
            </w:r>
            <w:r>
              <w:rPr>
                <w:rFonts w:ascii="Times New Roman"/>
                <w:b w:val="false"/>
                <w:i w:val="false"/>
                <w:color w:val="000000"/>
                <w:sz w:val="20"/>
              </w:rPr>
              <w:t>бумаг, деятельность по управлению</w:t>
            </w:r>
            <w:r>
              <w:br/>
            </w:r>
            <w:r>
              <w:rPr>
                <w:rFonts w:ascii="Times New Roman"/>
                <w:b w:val="false"/>
                <w:i w:val="false"/>
                <w:color w:val="000000"/>
                <w:sz w:val="20"/>
              </w:rPr>
              <w:t>инвестиционным портфелем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Расшифровка максимального</w:t>
            </w:r>
            <w:r>
              <w:br/>
            </w:r>
            <w:r>
              <w:rPr>
                <w:rFonts w:ascii="Times New Roman"/>
                <w:b w:val="false"/>
                <w:i w:val="false"/>
                <w:color w:val="000000"/>
                <w:sz w:val="20"/>
              </w:rPr>
              <w:t>риска на одного клиента</w:t>
            </w:r>
            <w:r>
              <w:br/>
            </w:r>
            <w:r>
              <w:rPr>
                <w:rFonts w:ascii="Times New Roman"/>
                <w:b w:val="false"/>
                <w:i w:val="false"/>
                <w:color w:val="000000"/>
                <w:sz w:val="20"/>
              </w:rPr>
              <w:t>(в разрезе клиентов)/</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брокера и (или)</w:t>
            </w:r>
            <w:r>
              <w:br/>
            </w:r>
            <w:r>
              <w:rPr>
                <w:rFonts w:ascii="Times New Roman"/>
                <w:b w:val="false"/>
                <w:i w:val="false"/>
                <w:color w:val="000000"/>
                <w:sz w:val="20"/>
              </w:rPr>
              <w:t>дилера или Управляющего,</w:t>
            </w:r>
            <w:r>
              <w:br/>
            </w:r>
            <w:r>
              <w:rPr>
                <w:rFonts w:ascii="Times New Roman"/>
                <w:b w:val="false"/>
                <w:i w:val="false"/>
                <w:color w:val="000000"/>
                <w:sz w:val="20"/>
              </w:rPr>
              <w:t>являющегося брокером и (или)</w:t>
            </w:r>
            <w:r>
              <w:br/>
            </w:r>
            <w:r>
              <w:rPr>
                <w:rFonts w:ascii="Times New Roman"/>
                <w:b w:val="false"/>
                <w:i w:val="false"/>
                <w:color w:val="000000"/>
                <w:sz w:val="20"/>
              </w:rPr>
              <w:t>дилером)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54"/>
        <w:gridCol w:w="1479"/>
        <w:gridCol w:w="1118"/>
        <w:gridCol w:w="662"/>
        <w:gridCol w:w="662"/>
        <w:gridCol w:w="708"/>
        <w:gridCol w:w="6563"/>
      </w:tblGrid>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8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586"/>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субсчета, открытого в системе учета центрального депозитария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надежности (платежеспособности)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объема поданных клиентами заявок, в тенге</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 рассчитанных сделок</w:t>
            </w:r>
          </w:p>
        </w:tc>
        <w:tc>
          <w:tcPr>
            <w:tcW w:w="6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денег, находящихся на банковском счете брокера и (или) дилера (кастодиана) или Управляющего, являющегося брокером и (или) дилером, без учета денег, являющихся обеспечением по заключенным маржинальным сделкам,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покупку</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продажу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9" w:id="587"/>
    <w:p>
      <w:pPr>
        <w:spacing w:after="0"/>
        <w:ind w:left="0"/>
        <w:jc w:val="both"/>
      </w:pPr>
      <w:r>
        <w:rPr>
          <w:rFonts w:ascii="Times New Roman"/>
          <w:b w:val="false"/>
          <w:i w:val="false"/>
          <w:color w:val="000000"/>
          <w:sz w:val="28"/>
        </w:rPr>
        <w:t>
      Продолжение таблицы</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0"/>
        <w:gridCol w:w="1298"/>
        <w:gridCol w:w="1530"/>
        <w:gridCol w:w="1762"/>
      </w:tblGrid>
      <w:tr>
        <w:trPr>
          <w:trHeight w:val="30" w:hRule="atLeast"/>
        </w:trPr>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ценных бумаг клиента, находящихся на лицевых счетах (субсчетах) в системе учета номинального держания, без учета ценных бумаг, являющихся обеспечением по заключенным маржинальным сделкам, в штуках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в тенге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собственного капитала, в тенге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размера рисков к размеру собственного капитала</w:t>
            </w:r>
          </w:p>
        </w:tc>
      </w:tr>
      <w:tr>
        <w:trPr>
          <w:trHeight w:val="30" w:hRule="atLeast"/>
        </w:trPr>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0" w:id="588"/>
    <w:p>
      <w:pPr>
        <w:spacing w:after="0"/>
        <w:ind w:left="0"/>
        <w:jc w:val="both"/>
      </w:pPr>
      <w:r>
        <w:rPr>
          <w:rFonts w:ascii="Times New Roman"/>
          <w:b w:val="false"/>
          <w:i w:val="false"/>
          <w:color w:val="000000"/>
          <w:sz w:val="28"/>
        </w:rPr>
        <w:t>
      Примечание:</w:t>
      </w:r>
    </w:p>
    <w:bookmarkEnd w:id="588"/>
    <w:bookmarkStart w:name="z681" w:id="589"/>
    <w:p>
      <w:pPr>
        <w:spacing w:after="0"/>
        <w:ind w:left="0"/>
        <w:jc w:val="both"/>
      </w:pPr>
      <w:r>
        <w:rPr>
          <w:rFonts w:ascii="Times New Roman"/>
          <w:b w:val="false"/>
          <w:i w:val="false"/>
          <w:color w:val="000000"/>
          <w:sz w:val="28"/>
        </w:rPr>
        <w:t>
      В графе 2 указывается наименование клиента, брокера и (или) дилера или Управляющего, являющегося брокером и (или) дилером, заключившего с ним договор на брокерское обслуживание. Для клиента, являющегося:</w:t>
      </w:r>
    </w:p>
    <w:bookmarkEnd w:id="589"/>
    <w:bookmarkStart w:name="z682" w:id="590"/>
    <w:p>
      <w:pPr>
        <w:spacing w:after="0"/>
        <w:ind w:left="0"/>
        <w:jc w:val="both"/>
      </w:pPr>
      <w:r>
        <w:rPr>
          <w:rFonts w:ascii="Times New Roman"/>
          <w:b w:val="false"/>
          <w:i w:val="false"/>
          <w:color w:val="000000"/>
          <w:sz w:val="28"/>
        </w:rPr>
        <w:t>
      1) юридическим лицом, указывается полное наименование юридического лица;</w:t>
      </w:r>
    </w:p>
    <w:bookmarkEnd w:id="590"/>
    <w:bookmarkStart w:name="z683" w:id="591"/>
    <w:p>
      <w:pPr>
        <w:spacing w:after="0"/>
        <w:ind w:left="0"/>
        <w:jc w:val="both"/>
      </w:pPr>
      <w:r>
        <w:rPr>
          <w:rFonts w:ascii="Times New Roman"/>
          <w:b w:val="false"/>
          <w:i w:val="false"/>
          <w:color w:val="000000"/>
          <w:sz w:val="28"/>
        </w:rPr>
        <w:t>
      2) физическим лицом, полностью указываются фамилия, имя и отчество (при наличии).</w:t>
      </w:r>
    </w:p>
    <w:bookmarkEnd w:id="591"/>
    <w:bookmarkStart w:name="z684" w:id="592"/>
    <w:p>
      <w:pPr>
        <w:spacing w:after="0"/>
        <w:ind w:left="0"/>
        <w:jc w:val="both"/>
      </w:pPr>
      <w:r>
        <w:rPr>
          <w:rFonts w:ascii="Times New Roman"/>
          <w:b w:val="false"/>
          <w:i w:val="false"/>
          <w:color w:val="000000"/>
          <w:sz w:val="28"/>
        </w:rPr>
        <w:t>
      В графе 3 указывается 10-значный номер субсчета клиента открытого в системе учета номинального держания центрального депозитария.</w:t>
      </w:r>
    </w:p>
    <w:bookmarkEnd w:id="592"/>
    <w:bookmarkStart w:name="z685" w:id="593"/>
    <w:p>
      <w:pPr>
        <w:spacing w:after="0"/>
        <w:ind w:left="0"/>
        <w:jc w:val="both"/>
      </w:pPr>
      <w:r>
        <w:rPr>
          <w:rFonts w:ascii="Times New Roman"/>
          <w:b w:val="false"/>
          <w:i w:val="false"/>
          <w:color w:val="000000"/>
          <w:sz w:val="28"/>
        </w:rPr>
        <w:t>
      В графе 4 указывается категория, характеризующая степень надежности (платежеспособности) клиента.</w:t>
      </w:r>
    </w:p>
    <w:bookmarkEnd w:id="593"/>
    <w:bookmarkStart w:name="z686" w:id="594"/>
    <w:p>
      <w:pPr>
        <w:spacing w:after="0"/>
        <w:ind w:left="0"/>
        <w:jc w:val="both"/>
      </w:pPr>
      <w:r>
        <w:rPr>
          <w:rFonts w:ascii="Times New Roman"/>
          <w:b w:val="false"/>
          <w:i w:val="false"/>
          <w:color w:val="000000"/>
          <w:sz w:val="28"/>
        </w:rPr>
        <w:t>
      В графе 5 и 6 указывается объем поданных клиентом активных заявок на покупку и продажу ценных бумаг на организованном и международном (иностранном) рынках ценных бумаг.</w:t>
      </w:r>
    </w:p>
    <w:bookmarkEnd w:id="594"/>
    <w:bookmarkStart w:name="z687" w:id="595"/>
    <w:p>
      <w:pPr>
        <w:spacing w:after="0"/>
        <w:ind w:left="0"/>
        <w:jc w:val="both"/>
      </w:pPr>
      <w:r>
        <w:rPr>
          <w:rFonts w:ascii="Times New Roman"/>
          <w:b w:val="false"/>
          <w:i w:val="false"/>
          <w:color w:val="000000"/>
          <w:sz w:val="28"/>
        </w:rPr>
        <w:t>
      В графе 7 указывается объем заключенных, но не рассчитанных сделок с ценными бумагами на международном (иностранном) рынках ценных бумаг.</w:t>
      </w:r>
    </w:p>
    <w:bookmarkEnd w:id="595"/>
    <w:bookmarkStart w:name="z688" w:id="596"/>
    <w:p>
      <w:pPr>
        <w:spacing w:after="0"/>
        <w:ind w:left="0"/>
        <w:jc w:val="both"/>
      </w:pPr>
      <w:r>
        <w:rPr>
          <w:rFonts w:ascii="Times New Roman"/>
          <w:b w:val="false"/>
          <w:i w:val="false"/>
          <w:color w:val="000000"/>
          <w:sz w:val="28"/>
        </w:rPr>
        <w:t>
      В графе 8 указывается объем денег клиентов брокера и (или) дилера или Управляющего, находящихся на банковском счете брокера и (или) дилера и (или) кастодиана, от имени которых были поданы заявки на покупку ценных бумаг, указанные в графе 5, либо заключены сделки по покупке ценных бумаг, указанные в графе 7, без учета денег, являющихся обеспечением по заключенным маржинальным сделкам.</w:t>
      </w:r>
    </w:p>
    <w:bookmarkEnd w:id="596"/>
    <w:bookmarkStart w:name="z689" w:id="597"/>
    <w:p>
      <w:pPr>
        <w:spacing w:after="0"/>
        <w:ind w:left="0"/>
        <w:jc w:val="both"/>
      </w:pPr>
      <w:r>
        <w:rPr>
          <w:rFonts w:ascii="Times New Roman"/>
          <w:b w:val="false"/>
          <w:i w:val="false"/>
          <w:color w:val="000000"/>
          <w:sz w:val="28"/>
        </w:rPr>
        <w:t>
      В графе 9 указывается количество ценных бумаг, являющихся предметом заявки, указанной в графе 6, либо сделки по продаже ценных бумаг, указанные в графе 7, находящиеся в системе учета номинального держания брокера и (или) дилера и (или) кастодиана, без учета ценных бумаг, являющихся обеспечением по заключенным маржинальным сделкам.</w:t>
      </w:r>
    </w:p>
    <w:bookmarkEnd w:id="597"/>
    <w:bookmarkStart w:name="z690" w:id="598"/>
    <w:p>
      <w:pPr>
        <w:spacing w:after="0"/>
        <w:ind w:left="0"/>
        <w:jc w:val="both"/>
      </w:pPr>
      <w:r>
        <w:rPr>
          <w:rFonts w:ascii="Times New Roman"/>
          <w:b w:val="false"/>
          <w:i w:val="false"/>
          <w:color w:val="000000"/>
          <w:sz w:val="28"/>
        </w:rPr>
        <w:t>
      В графе 10 указывается размер риска, рассчитываемый как сумма значений, указанных в графах 5, 6 и 7, за минусом значений, указанных в графах 8 (вычитание производится только в случае подачи заявки на покупку ценных бумаг, либо заключению сделки по покупке ценных бумаг, в размере, не превышающем сумму значений, указанных в графах 5 и 7) и 9 (вычитание производится только в случае подачи заявки на продажу ценных бумаг, либо заключению сделки по продаже ценных, в размере, не превышающем сумму значений, указанных в графах 6 и 7).</w:t>
      </w:r>
    </w:p>
    <w:bookmarkEnd w:id="5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