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862e" w14:textId="1bd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октября 2020 года № 513. Зарегистрирован в Министерстве юстиции Республики Казахстан 6 октября 2020 года № 21369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10795, опубликован 15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обязательным требованием является применение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 (далее - Правила ведения базы данных ТРУ).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обязательным требованием является обеспечение условий доступности для инвалидов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инвалида" (зарегистрирован в Реестре государственной регистрации нормативных правовых актов за № 13913).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инвестиций, обязательным требованием является указание заказчика о расчетной предельной стоимости строительства к инвестиционному предложению. Расчетная предельная стоимость строительства определяется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В случае если внесенные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