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157b" w14:textId="fe11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20 февраля 2018 года № 252 "Об утверждении Правил применения системы управления рисками по критериям, не являющимся конфиденциальной информацией"</w:t>
      </w:r>
    </w:p>
    <w:p>
      <w:pPr>
        <w:spacing w:after="0"/>
        <w:ind w:left="0"/>
        <w:jc w:val="both"/>
      </w:pPr>
      <w:r>
        <w:rPr>
          <w:rFonts w:ascii="Times New Roman"/>
          <w:b w:val="false"/>
          <w:i w:val="false"/>
          <w:color w:val="000000"/>
          <w:sz w:val="28"/>
        </w:rPr>
        <w:t>Приказ Министра финансов Республики Казахстан от 13 октября 2020 года № 998. Зарегистрирован в Министерстве юстиции Республики Казахстан 14 октября 2020 года № 21430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2018 года № 252 "Об утверждении Правил применения системы управления рисками по критериям, не являющимся конфиденциальной информацией" (зарегистрирован в Реестре государственной регистрации нормативных правовых актов под № 16534, опубликован в Эталонном контрольном банке нормативных правовых актов Республики Казахстан 16 марта 2018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системы управления рисками по критериям, не являющимся конфиденциальной информацией,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Степень риска субъекта категорирования рассчитывается по критериям оценки степени риска, не являющимся конфиденциальной информацией, и критериям оценки степени риска, являющимся конфиденциальной (служебной) информацией, и актуализируется раз в полугодие.</w:t>
      </w:r>
    </w:p>
    <w:bookmarkEnd w:id="3"/>
    <w:bookmarkStart w:name="z9" w:id="4"/>
    <w:p>
      <w:pPr>
        <w:spacing w:after="0"/>
        <w:ind w:left="0"/>
        <w:jc w:val="both"/>
      </w:pPr>
      <w:r>
        <w:rPr>
          <w:rFonts w:ascii="Times New Roman"/>
          <w:b w:val="false"/>
          <w:i w:val="false"/>
          <w:color w:val="000000"/>
          <w:sz w:val="28"/>
        </w:rPr>
        <w:t>
      По налогоплательщикам, по которым определена низкая степень риска, в случае непогашения налоговой задолженности и (или) задолженности по социальным платежам более 30 (тридцати) календарных дней, степень риска подлежит актуализации не реже 1 (одного) раза в месяц.</w:t>
      </w:r>
    </w:p>
    <w:bookmarkEnd w:id="4"/>
    <w:bookmarkStart w:name="z10" w:id="5"/>
    <w:p>
      <w:pPr>
        <w:spacing w:after="0"/>
        <w:ind w:left="0"/>
        <w:jc w:val="both"/>
      </w:pPr>
      <w:r>
        <w:rPr>
          <w:rFonts w:ascii="Times New Roman"/>
          <w:b w:val="false"/>
          <w:i w:val="false"/>
          <w:color w:val="000000"/>
          <w:sz w:val="28"/>
        </w:rPr>
        <w:t>
      В случае, если налогоплательщик с категорией высокой или средней степени риска уплатил с начала полугодия, на которое произведено категорирование, налогов и других обязательных платежей в бюджет на сумму более чем 75 (семьдесят пять) миллионов тенге для субъектов крупного предпринимательства, 45 (сорок пять) миллионов тенге для субъектов среднего предпринимательства, 20 (двадцать) миллионов тенге для субъектов малого предпринимательства, и при этом не имеет перед бюджетом задолженности по налогам и социальным платежам, то ранее присвоенная категория степени риска подлежит изменению на среднюю или низкую соответственно.</w:t>
      </w:r>
    </w:p>
    <w:bookmarkEnd w:id="5"/>
    <w:bookmarkStart w:name="z11" w:id="6"/>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6"/>
    <w:bookmarkStart w:name="z12" w:id="7"/>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"16. Критерий "Отражение в налоговой отчетности убытков на протяжении нескольких налоговых периодов" определяется в случае, если в течение последних 3 (трех) налоговых периодов (лет) в налоговой отчетности отражается убыток.</w:t>
      </w:r>
    </w:p>
    <w:bookmarkEnd w:id="8"/>
    <w:bookmarkStart w:name="z15" w:id="9"/>
    <w:p>
      <w:pPr>
        <w:spacing w:after="0"/>
        <w:ind w:left="0"/>
        <w:jc w:val="both"/>
      </w:pPr>
      <w:r>
        <w:rPr>
          <w:rFonts w:ascii="Times New Roman"/>
          <w:b w:val="false"/>
          <w:i w:val="false"/>
          <w:color w:val="000000"/>
          <w:sz w:val="28"/>
        </w:rPr>
        <w:t>
      Для налогоплательщиков, подлежащих налоговому мониторингу, а также осуществляющих деятельность в соответствии с контрактом на недропользование, критерий определяется за последний пятилетний период.</w:t>
      </w:r>
    </w:p>
    <w:bookmarkEnd w:id="9"/>
    <w:bookmarkStart w:name="z16" w:id="10"/>
    <w:p>
      <w:pPr>
        <w:spacing w:after="0"/>
        <w:ind w:left="0"/>
        <w:jc w:val="both"/>
      </w:pPr>
      <w:r>
        <w:rPr>
          <w:rFonts w:ascii="Times New Roman"/>
          <w:b w:val="false"/>
          <w:i w:val="false"/>
          <w:color w:val="000000"/>
          <w:sz w:val="28"/>
        </w:rPr>
        <w:t xml:space="preserve">
      Из периода убыточности исключаются периоды с убытками, сформированными по причине применения вычетов по инвестиционным налоговым преференциям. </w:t>
      </w:r>
    </w:p>
    <w:bookmarkEnd w:id="10"/>
    <w:bookmarkStart w:name="z17" w:id="11"/>
    <w:p>
      <w:pPr>
        <w:spacing w:after="0"/>
        <w:ind w:left="0"/>
        <w:jc w:val="both"/>
      </w:pPr>
      <w:r>
        <w:rPr>
          <w:rFonts w:ascii="Times New Roman"/>
          <w:b w:val="false"/>
          <w:i w:val="false"/>
          <w:color w:val="000000"/>
          <w:sz w:val="28"/>
        </w:rPr>
        <w:t>
      Приоритетность критерия "Отражение в налоговой отчетности убытков на протяжении нескольких налоговых периодов" – плюс 3 балла, влияние на степень риска – отрицательное.</w:t>
      </w:r>
    </w:p>
    <w:bookmarkEnd w:id="11"/>
    <w:bookmarkStart w:name="z18" w:id="12"/>
    <w:p>
      <w:pPr>
        <w:spacing w:after="0"/>
        <w:ind w:left="0"/>
        <w:jc w:val="both"/>
      </w:pPr>
      <w:r>
        <w:rPr>
          <w:rFonts w:ascii="Times New Roman"/>
          <w:b w:val="false"/>
          <w:i w:val="false"/>
          <w:color w:val="000000"/>
          <w:sz w:val="28"/>
        </w:rPr>
        <w:t>
      17. Критерий "Многократное внесение изменений и дополнений в ранее представленную налоговую отчетность" определяется в случае, если налогоплательщиком представлено более пяти дополнительных деклараций к уменьшению по корпоративному подоходному налогу и (или) налогу на добавленную стоимость на общую сумму более чем 10 (десять) миллионов тенге, при этом с даты, установленной для представления таких деклараций, истекло двенадцать и более месяцев.</w:t>
      </w:r>
    </w:p>
    <w:bookmarkEnd w:id="12"/>
    <w:bookmarkStart w:name="z19" w:id="13"/>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13"/>
    <w:bookmarkStart w:name="z20" w:id="14"/>
    <w:p>
      <w:pPr>
        <w:spacing w:after="0"/>
        <w:ind w:left="0"/>
        <w:jc w:val="both"/>
      </w:pPr>
      <w:r>
        <w:rPr>
          <w:rFonts w:ascii="Times New Roman"/>
          <w:b w:val="false"/>
          <w:i w:val="false"/>
          <w:color w:val="000000"/>
          <w:sz w:val="28"/>
        </w:rPr>
        <w:t>
      Критерий не применяется по налогоплательщикам, состоящим на мониторинге крупных налогоплательщиков, а также по налогоплательщикам, имеющим филиалы и (или) представительства.</w:t>
      </w:r>
    </w:p>
    <w:bookmarkEnd w:id="14"/>
    <w:bookmarkStart w:name="z21" w:id="15"/>
    <w:p>
      <w:pPr>
        <w:spacing w:after="0"/>
        <w:ind w:left="0"/>
        <w:jc w:val="both"/>
      </w:pPr>
      <w:r>
        <w:rPr>
          <w:rFonts w:ascii="Times New Roman"/>
          <w:b w:val="false"/>
          <w:i w:val="false"/>
          <w:color w:val="000000"/>
          <w:sz w:val="28"/>
        </w:rPr>
        <w:t>
      Приоритетность критерия "Многократное внесение изменений и дополнений в ранее представленную налоговую отчетность" – плюс 4 балла, влияние на степень риска – отрицательное.";</w:t>
      </w:r>
    </w:p>
    <w:bookmarkEnd w:id="15"/>
    <w:bookmarkStart w:name="z22" w:id="16"/>
    <w:p>
      <w:pPr>
        <w:spacing w:after="0"/>
        <w:ind w:left="0"/>
        <w:jc w:val="both"/>
      </w:pPr>
      <w:r>
        <w:rPr>
          <w:rFonts w:ascii="Times New Roman"/>
          <w:b w:val="false"/>
          <w:i w:val="false"/>
          <w:color w:val="000000"/>
          <w:sz w:val="28"/>
        </w:rPr>
        <w:t>
      дополнить пунктами 26, 27 и 28 следующего содержания:</w:t>
      </w:r>
    </w:p>
    <w:bookmarkEnd w:id="16"/>
    <w:bookmarkStart w:name="z23" w:id="17"/>
    <w:p>
      <w:pPr>
        <w:spacing w:after="0"/>
        <w:ind w:left="0"/>
        <w:jc w:val="both"/>
      </w:pPr>
      <w:r>
        <w:rPr>
          <w:rFonts w:ascii="Times New Roman"/>
          <w:b w:val="false"/>
          <w:i w:val="false"/>
          <w:color w:val="000000"/>
          <w:sz w:val="28"/>
        </w:rPr>
        <w:t>
      "26. Критерий "Уплата налогов и других обязательных платежей в бюджет" определяется на основании динамики прироста уплаты налогов и других обязательных платежей в бюджет в полугодии, предшествующем периоду, на который осуществляется категорирование, по сравнению с аналогичным периодом прошлого года.</w:t>
      </w:r>
    </w:p>
    <w:bookmarkEnd w:id="17"/>
    <w:bookmarkStart w:name="z24" w:id="18"/>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18"/>
    <w:bookmarkStart w:name="z25" w:id="19"/>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19"/>
    <w:bookmarkStart w:name="z26" w:id="20"/>
    <w:p>
      <w:pPr>
        <w:spacing w:after="0"/>
        <w:ind w:left="0"/>
        <w:jc w:val="both"/>
      </w:pPr>
      <w:r>
        <w:rPr>
          <w:rFonts w:ascii="Times New Roman"/>
          <w:b w:val="false"/>
          <w:i w:val="false"/>
          <w:color w:val="000000"/>
          <w:sz w:val="28"/>
        </w:rPr>
        <w:t>
      Критерий рассчитывается по налогоплательщикам, имеющим исторические данные по уплате налогов свыше 1 (одного) миллиона тенге.</w:t>
      </w:r>
    </w:p>
    <w:bookmarkEnd w:id="20"/>
    <w:bookmarkStart w:name="z27" w:id="21"/>
    <w:p>
      <w:pPr>
        <w:spacing w:after="0"/>
        <w:ind w:left="0"/>
        <w:jc w:val="both"/>
      </w:pPr>
      <w:r>
        <w:rPr>
          <w:rFonts w:ascii="Times New Roman"/>
          <w:b w:val="false"/>
          <w:i w:val="false"/>
          <w:color w:val="000000"/>
          <w:sz w:val="28"/>
        </w:rPr>
        <w:t>
      Приоритетность критерия "Уплата налогов и других обязательных платежей в бюджет" приведена в приложении 6 к настоящим Правилам, влияние на степень риска – положительное.</w:t>
      </w:r>
    </w:p>
    <w:bookmarkEnd w:id="21"/>
    <w:bookmarkStart w:name="z28" w:id="22"/>
    <w:p>
      <w:pPr>
        <w:spacing w:after="0"/>
        <w:ind w:left="0"/>
        <w:jc w:val="both"/>
      </w:pPr>
      <w:r>
        <w:rPr>
          <w:rFonts w:ascii="Times New Roman"/>
          <w:b w:val="false"/>
          <w:i w:val="false"/>
          <w:color w:val="000000"/>
          <w:sz w:val="28"/>
        </w:rPr>
        <w:t>
      27. Критерий "Применение трехкомпонентной интегрированной системы" определяется при условии фактического использования налогоплательщиком трехкомпонентной интегрированной системы.</w:t>
      </w:r>
    </w:p>
    <w:bookmarkEnd w:id="22"/>
    <w:bookmarkStart w:name="z29" w:id="23"/>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23"/>
    <w:bookmarkStart w:name="z30" w:id="24"/>
    <w:p>
      <w:pPr>
        <w:spacing w:after="0"/>
        <w:ind w:left="0"/>
        <w:jc w:val="both"/>
      </w:pPr>
      <w:r>
        <w:rPr>
          <w:rFonts w:ascii="Times New Roman"/>
          <w:b w:val="false"/>
          <w:i w:val="false"/>
          <w:color w:val="000000"/>
          <w:sz w:val="28"/>
        </w:rPr>
        <w:t>
      Приоритетность критерия "Применение трехкомпонентной интегрированной системы" – минус 2 балла, влияние на степень риска – положительное.</w:t>
      </w:r>
    </w:p>
    <w:bookmarkEnd w:id="24"/>
    <w:bookmarkStart w:name="z31" w:id="25"/>
    <w:p>
      <w:pPr>
        <w:spacing w:after="0"/>
        <w:ind w:left="0"/>
        <w:jc w:val="both"/>
      </w:pPr>
      <w:r>
        <w:rPr>
          <w:rFonts w:ascii="Times New Roman"/>
          <w:b w:val="false"/>
          <w:i w:val="false"/>
          <w:color w:val="000000"/>
          <w:sz w:val="28"/>
        </w:rPr>
        <w:t>
      28. Критерий "Применение модуля "Виртуальный склад" определяется при условии ежемесячного оформления сопроводительных накладных на товары и выписки счетов-фактур в электронном виде на основе сопроводительных накладных на товары посредством модуля "Виртуальный склад".</w:t>
      </w:r>
    </w:p>
    <w:bookmarkEnd w:id="25"/>
    <w:bookmarkStart w:name="z32" w:id="26"/>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26"/>
    <w:bookmarkStart w:name="z33" w:id="27"/>
    <w:p>
      <w:pPr>
        <w:spacing w:after="0"/>
        <w:ind w:left="0"/>
        <w:jc w:val="both"/>
      </w:pPr>
      <w:r>
        <w:rPr>
          <w:rFonts w:ascii="Times New Roman"/>
          <w:b w:val="false"/>
          <w:i w:val="false"/>
          <w:color w:val="000000"/>
          <w:sz w:val="28"/>
        </w:rPr>
        <w:t>
      Приоритетность критерия "Применение модуля "Виртуальный склад" приведена в приложении 7 к настоящим Правилам, влияние на степень риска – положительное.";</w:t>
      </w:r>
    </w:p>
    <w:bookmarkEnd w:id="27"/>
    <w:bookmarkStart w:name="z34" w:id="28"/>
    <w:p>
      <w:pPr>
        <w:spacing w:after="0"/>
        <w:ind w:left="0"/>
        <w:jc w:val="both"/>
      </w:pPr>
      <w:r>
        <w:rPr>
          <w:rFonts w:ascii="Times New Roman"/>
          <w:b w:val="false"/>
          <w:i w:val="false"/>
          <w:color w:val="000000"/>
          <w:sz w:val="28"/>
        </w:rPr>
        <w:t xml:space="preserve">
      дополнить приложениями 6 и 7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9"/>
    <w:bookmarkStart w:name="z36"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37"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1"/>
    <w:bookmarkStart w:name="z38"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
    <w:bookmarkStart w:name="z39" w:id="3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998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применения системы </w:t>
            </w:r>
            <w:r>
              <w:br/>
            </w:r>
            <w:r>
              <w:rPr>
                <w:rFonts w:ascii="Times New Roman"/>
                <w:b w:val="false"/>
                <w:i w:val="false"/>
                <w:color w:val="000000"/>
                <w:sz w:val="20"/>
              </w:rPr>
              <w:t>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43" w:id="34"/>
    <w:p>
      <w:pPr>
        <w:spacing w:after="0"/>
        <w:ind w:left="0"/>
        <w:jc w:val="left"/>
      </w:pPr>
      <w:r>
        <w:rPr>
          <w:rFonts w:ascii="Times New Roman"/>
          <w:b/>
          <w:i w:val="false"/>
          <w:color w:val="000000"/>
        </w:rPr>
        <w:t xml:space="preserve"> Приоритетность критерия "Уплата налогов и других обязательных платежей в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841"/>
        <w:gridCol w:w="1486"/>
        <w:gridCol w:w="1811"/>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уплаченных сумм налогов и других обязательных платежей в бюджет (уплата в предыдущем полугодии минус уплата в аналогичном периоде прошлого года)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риска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миллиона тенге до 5 миллионов тенге включительно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миллионов тенге до  10 миллионов тенге включительно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миллионов тенге до  25 миллионов тенге включительно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миллионов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998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применения системы </w:t>
            </w:r>
            <w:r>
              <w:br/>
            </w:r>
            <w:r>
              <w:rPr>
                <w:rFonts w:ascii="Times New Roman"/>
                <w:b w:val="false"/>
                <w:i w:val="false"/>
                <w:color w:val="000000"/>
                <w:sz w:val="20"/>
              </w:rPr>
              <w:t>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46" w:id="35"/>
    <w:p>
      <w:pPr>
        <w:spacing w:after="0"/>
        <w:ind w:left="0"/>
        <w:jc w:val="left"/>
      </w:pPr>
      <w:r>
        <w:rPr>
          <w:rFonts w:ascii="Times New Roman"/>
          <w:b/>
          <w:i w:val="false"/>
          <w:color w:val="000000"/>
        </w:rPr>
        <w:t xml:space="preserve"> Приоритетность критерия "Применение модуля "Виртуальный склад"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7057"/>
        <w:gridCol w:w="1747"/>
        <w:gridCol w:w="2129"/>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количество оформленных сопроводительных накладных на товары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риска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тысяч</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тысяч до 10 тысяч</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тысяч до 100 тысяч</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тысяч до 500 тысяч</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тысяч</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