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8c876" w14:textId="0e8c8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национальной экономики Республики Казахстан от 19 марта 2015 года № 229 "Об утверждении Правил организации деятельности и осуществления функций заказчика (застройщика)"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3 ноября 2020 года № 590. Зарегистрирован в Министерстве юстиции Республики Казахстан 6 ноября 2020 года № 21605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19 марта 2015 года № 229 "Об утверждении Правил организации деятельности и осуществления функций заказчика (застройщика)" (зарегистрирован в Реестре государственной регистрации нормативных правовых актов Республики Казахстан под № 10795, опубликован 15 мая 2015 года в информационно-правовой системе "Әділет")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и осуществления функций заказчика (застройщика),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9), 10) и 11)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производит замену строительных материалов, оборудований, изделий и конструкций казахстанского производства на импортного производителя по согласованию с разработчиком проектно-сметной документации при условии соответствия техническим характеристикам и не превышающей стоимостных показателей в соответствии с проектно-сметной документацией в случае приостановленных (ликвидированных), отсутствующих производств или если объем производства не покрывает необходимую потребность товаров, работ и услуг с письменным подтверждением отечественных товаропроизводителей об отсутствии возможности поставки в требуемые для строительства сроки согласно, утвержденного плана производства работ. Регламент предоставления письменного подтверждения составляет 5 рабочих дней с момента обращения заказчика (подрядчика). В случае непредставления письменного подтверждения в срок, заказчик (подрядчик) производит замену без соответствующего подтверждения. При этом оформляется протокол, утверждаемый заказчиком, подписываемый подрядчиком, авторским и техническим надзором;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производит замену строительных материалов, оборудований, изделий и конструкций казахстанского производства по согласованию с разработчиком проектно-сметной документации на другого отечественного товаропроизводителя при условии соответствия техническим характеристикам, без превышения стоимостных показателей в соответствии с проектно-сметной документацией и в соответствии с Правилами ведения базы данных ТРУ. При этом оформляется протокол, утверждаемый заказчиком, подписываемый подрядчиком, авторским и техническим надзором;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производит замену строительных материалов, оборудований, изделий и конструкций по согласованию с разработчиком проектно-сметной документации с импортного товаропроизводителя на отечественного товаропроизводителя при условии соответствия техническим характеристикам, без превышения стоимостных показателей в соответствии с проектно-сметной документацией и в соответствии с Правилами ведения базы данных ТРУ. При этом оформляется протокол, утверждаемый заказчиком, подписываемый подрядчиком, авторским и техническим надзором.".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календарного дня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