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c1e7" w14:textId="8ebc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культуры и спорта Республики Казахстан от 31 декабря 2015 года № 419 "Об утверждении Реестра должностей гражданских служащих в сферах культуры, образования в области культуры, развития языков, архивного дела и документационного обеспечения управления, физической культуры и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13 ноября 2020 года № 313. Зарегистрирован в Министерстве юстиции Республики Казахстан 16 ноября 2020 года № 21641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исполняющего обязанности Министра культуры и спорта Республики Казахстан от 31 декабря 2015 года № 419 "Об утверждении Реестра должностей гражданских служащих в сферах культуры, образования в области культуры, развития языков, архивного дела и документационного обеспечения управления, физической культуры и спорта" (зарегистрирован в Реестре государственной регистрации нормативных правовых актов под № 13179, опубликован в информационно-правовой системе "Әділет" 11 марта 2016 года) следующие изменения:</w:t>
      </w:r>
    </w:p>
    <w:bookmarkEnd w:id="1"/>
    <w:bookmarkStart w:name="z6" w:id="2"/>
    <w:p>
      <w:pPr>
        <w:spacing w:after="0"/>
        <w:ind w:left="0"/>
        <w:jc w:val="both"/>
      </w:pPr>
      <w:r>
        <w:rPr>
          <w:rFonts w:ascii="Times New Roman"/>
          <w:b w:val="false"/>
          <w:i w:val="false"/>
          <w:color w:val="000000"/>
          <w:sz w:val="28"/>
        </w:rPr>
        <w:t>
      в заголовок указанного приказа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подпункт 3)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в сфере культуры, образования в области культуры, утвержденном указанным приказом:</w:t>
      </w:r>
    </w:p>
    <w:bookmarkEnd w:id="4"/>
    <w:bookmarkStart w:name="z9" w:id="5"/>
    <w:p>
      <w:pPr>
        <w:spacing w:after="0"/>
        <w:ind w:left="0"/>
        <w:jc w:val="both"/>
      </w:pPr>
      <w:r>
        <w:rPr>
          <w:rFonts w:ascii="Times New Roman"/>
          <w:b w:val="false"/>
          <w:i w:val="false"/>
          <w:color w:val="000000"/>
          <w:sz w:val="28"/>
        </w:rPr>
        <w:t>
      Блок А – Управленческий персонал изложить в следующей редакции:</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299"/>
        <w:gridCol w:w="10325"/>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и ГКП сельского значения</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факультета, научного-исследовательского института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кафедры, центра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факультета, научного-исследовательского института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филиала в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центра, управления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филиала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редактор, режиссер, балетмейстер, дирижер, хормейстер, художник ГУ и ГКП районного значения (города областного значения)</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научно-исследовательской лаборатории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инспектор по учету и охране объектов историко-культурного наследия, энергетик, экономист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 –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библиотеки, научно-исследовательской лаборатории высшего учебного заведения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отдела, лаборатории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заведующего (руководителя) труппой, литературно-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в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учебной частью учебного заведения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инспектор по учету и охране объектов историко-культурного наследия, энергетик, экономист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 – 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библиотеки, учебной частью учебного заведения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отдела, лаборатории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отдела филиала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центра, управления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редактора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отдела, лаборатории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инженер, экономист,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 литературно-драматической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группы, лаборатории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районного значения (города областного значения) Руководитель отдела ГУ и ГКП сельского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7"/>
    <w:p>
      <w:pPr>
        <w:spacing w:after="0"/>
        <w:ind w:left="0"/>
        <w:jc w:val="both"/>
      </w:pPr>
      <w:r>
        <w:rPr>
          <w:rFonts w:ascii="Times New Roman"/>
          <w:b w:val="false"/>
          <w:i w:val="false"/>
          <w:color w:val="000000"/>
          <w:sz w:val="28"/>
        </w:rPr>
        <w:t>
      в Блоке В – Основной персонал:</w:t>
      </w:r>
    </w:p>
    <w:bookmarkEnd w:id="7"/>
    <w:bookmarkStart w:name="z13" w:id="8"/>
    <w:p>
      <w:pPr>
        <w:spacing w:after="0"/>
        <w:ind w:left="0"/>
        <w:jc w:val="both"/>
      </w:pPr>
      <w:r>
        <w:rPr>
          <w:rFonts w:ascii="Times New Roman"/>
          <w:b w:val="false"/>
          <w:i w:val="false"/>
          <w:color w:val="000000"/>
          <w:sz w:val="28"/>
        </w:rPr>
        <w:t>
      в разделе "Культура":</w:t>
      </w:r>
    </w:p>
    <w:bookmarkEnd w:id="8"/>
    <w:bookmarkStart w:name="z14" w:id="9"/>
    <w:p>
      <w:pPr>
        <w:spacing w:after="0"/>
        <w:ind w:left="0"/>
        <w:jc w:val="both"/>
      </w:pPr>
      <w:r>
        <w:rPr>
          <w:rFonts w:ascii="Times New Roman"/>
          <w:b w:val="false"/>
          <w:i w:val="false"/>
          <w:color w:val="000000"/>
          <w:sz w:val="28"/>
        </w:rPr>
        <w:t>
      звенья В2 и В3 изложить в следующей редакции:</w:t>
      </w:r>
    </w:p>
    <w:bookmarkEnd w:id="9"/>
    <w:bookmarkStart w:name="z1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11808"/>
      </w:tblGrid>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ГУ и ГКП: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музыкальный оформитель,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1"/>
    <w:p>
      <w:pPr>
        <w:spacing w:after="0"/>
        <w:ind w:left="0"/>
        <w:jc w:val="both"/>
      </w:pPr>
      <w:r>
        <w:rPr>
          <w:rFonts w:ascii="Times New Roman"/>
          <w:b w:val="false"/>
          <w:i w:val="false"/>
          <w:color w:val="000000"/>
          <w:sz w:val="28"/>
        </w:rPr>
        <w:t>
      в Блоке С – Административный персонал":</w:t>
      </w:r>
    </w:p>
    <w:bookmarkEnd w:id="11"/>
    <w:bookmarkStart w:name="z18" w:id="12"/>
    <w:p>
      <w:pPr>
        <w:spacing w:after="0"/>
        <w:ind w:left="0"/>
        <w:jc w:val="both"/>
      </w:pPr>
      <w:r>
        <w:rPr>
          <w:rFonts w:ascii="Times New Roman"/>
          <w:b w:val="false"/>
          <w:i w:val="false"/>
          <w:color w:val="000000"/>
          <w:sz w:val="28"/>
        </w:rPr>
        <w:t>
      в звенья С1, С2 и С3 вносятся изменения на казахском языке, текст на русском языке не меняется;</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в сфере архивного дела и документационного обеспечения управления, утвержденном указанным приказом:</w:t>
      </w:r>
    </w:p>
    <w:bookmarkEnd w:id="13"/>
    <w:bookmarkStart w:name="z20" w:id="14"/>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14"/>
    <w:bookmarkStart w:name="z21" w:id="15"/>
    <w:p>
      <w:pPr>
        <w:spacing w:after="0"/>
        <w:ind w:left="0"/>
        <w:jc w:val="both"/>
      </w:pPr>
      <w:r>
        <w:rPr>
          <w:rFonts w:ascii="Times New Roman"/>
          <w:b w:val="false"/>
          <w:i w:val="false"/>
          <w:color w:val="000000"/>
          <w:sz w:val="28"/>
        </w:rPr>
        <w:t>
      в Блоке А - Управленческий персонал:</w:t>
      </w:r>
    </w:p>
    <w:bookmarkEnd w:id="15"/>
    <w:bookmarkStart w:name="z22" w:id="16"/>
    <w:p>
      <w:pPr>
        <w:spacing w:after="0"/>
        <w:ind w:left="0"/>
        <w:jc w:val="both"/>
      </w:pPr>
      <w:r>
        <w:rPr>
          <w:rFonts w:ascii="Times New Roman"/>
          <w:b w:val="false"/>
          <w:i w:val="false"/>
          <w:color w:val="000000"/>
          <w:sz w:val="28"/>
        </w:rPr>
        <w:t>
      звенья А1 и А2 изложить в следующей редакции:</w:t>
      </w:r>
    </w:p>
    <w:bookmarkEnd w:id="16"/>
    <w:bookmarkStart w:name="z23"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387"/>
        <w:gridCol w:w="7150"/>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ГУ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ГУ районного значения</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по административно-хозяйственным вопросам в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административно-хозяйственным вопросам в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 ГУ районного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8"/>
    <w:p>
      <w:pPr>
        <w:spacing w:after="0"/>
        <w:ind w:left="0"/>
        <w:jc w:val="both"/>
      </w:pPr>
      <w:r>
        <w:rPr>
          <w:rFonts w:ascii="Times New Roman"/>
          <w:b w:val="false"/>
          <w:i w:val="false"/>
          <w:color w:val="000000"/>
          <w:sz w:val="28"/>
        </w:rPr>
        <w:t xml:space="preserve">
      2. Департаменту экономики и финансов Министерства культуры и спорта Республики Казахстан в установленном законодательством порядке обеспечить: </w:t>
      </w:r>
    </w:p>
    <w:bookmarkEnd w:id="18"/>
    <w:bookmarkStart w:name="z26" w:id="1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9"/>
    <w:bookmarkStart w:name="z27"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20"/>
    <w:bookmarkStart w:name="z28"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и 2) настоящего пункта.</w:t>
      </w:r>
    </w:p>
    <w:bookmarkEnd w:id="21"/>
    <w:bookmarkStart w:name="z29" w:id="22"/>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культуры и спорта Республики Казахстан.</w:t>
      </w:r>
    </w:p>
    <w:bookmarkEnd w:id="22"/>
    <w:bookmarkStart w:name="z30"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культуры и спорта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bookmarkStart w:name="z32" w:id="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 социальной защиты</w:t>
      </w:r>
      <w:r>
        <w:br/>
      </w:r>
      <w:r>
        <w:rPr>
          <w:rFonts w:ascii="Times New Roman"/>
          <w:b w:val="false"/>
          <w:i w:val="false"/>
          <w:color w:val="000000"/>
          <w:sz w:val="28"/>
        </w:rPr>
        <w:t>Республики Казахстан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