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9baf" w14:textId="7049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декабря 2020 года № 89. Зарегистрирован в Министерстве юстиции Республики Казахстан 9 декабря 2020 года № 21738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опубликован 19 декабря 2014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4"/>
    <w:bookmarkStart w:name="z10" w:id="5"/>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5"/>
    <w:bookmarkStart w:name="z11" w:id="6"/>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6"/>
    <w:bookmarkStart w:name="z12" w:id="7"/>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w:t>
      </w:r>
    </w:p>
    <w:bookmarkEnd w:id="7"/>
    <w:bookmarkStart w:name="z13" w:id="8"/>
    <w:p>
      <w:pPr>
        <w:spacing w:after="0"/>
        <w:ind w:left="0"/>
        <w:jc w:val="both"/>
      </w:pPr>
      <w:r>
        <w:rPr>
          <w:rFonts w:ascii="Times New Roman"/>
          <w:b w:val="false"/>
          <w:i w:val="false"/>
          <w:color w:val="000000"/>
          <w:sz w:val="28"/>
        </w:rPr>
        <w:t>
      В целях представления недостающей информации для выработки рекомендаций на инвестиционные предложения АБП, согласно документам, указанным в пункте 6 настоящих Правил, юридическое лицо, определяемое Правительством Республики Казахстан,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8"/>
    <w:bookmarkStart w:name="z14" w:id="9"/>
    <w:p>
      <w:pPr>
        <w:spacing w:after="0"/>
        <w:ind w:left="0"/>
        <w:jc w:val="both"/>
      </w:pPr>
      <w:r>
        <w:rPr>
          <w:rFonts w:ascii="Times New Roman"/>
          <w:b w:val="false"/>
          <w:i w:val="false"/>
          <w:color w:val="000000"/>
          <w:sz w:val="28"/>
        </w:rPr>
        <w:t>
      В случае запроса недостающей информации сроки выработки рекомендаций приостанавливаются на период до их представления.</w:t>
      </w:r>
    </w:p>
    <w:bookmarkEnd w:id="9"/>
    <w:bookmarkStart w:name="z15" w:id="10"/>
    <w:p>
      <w:pPr>
        <w:spacing w:after="0"/>
        <w:ind w:left="0"/>
        <w:jc w:val="both"/>
      </w:pPr>
      <w:r>
        <w:rPr>
          <w:rFonts w:ascii="Times New Roman"/>
          <w:b w:val="false"/>
          <w:i w:val="false"/>
          <w:color w:val="000000"/>
          <w:sz w:val="28"/>
        </w:rPr>
        <w:t xml:space="preserve">
      В случае, если недостающая информация для выработки рекомендаций не представлена в установленные сроки, юридическое лицо, определяемое Правительством Республики Казахстан, возвращает представленные данные АБП с указанием о невозможности выработки рекомендаций на инвестиционные предложения АБП. </w:t>
      </w:r>
    </w:p>
    <w:bookmarkEnd w:id="10"/>
    <w:bookmarkStart w:name="z16" w:id="11"/>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 (при наличии).";</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отбора государственного инвестиционного проекта, утвержденной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3"/>
    <w:bookmarkStart w:name="z20" w:id="14"/>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14"/>
    <w:bookmarkStart w:name="z21" w:id="15"/>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15"/>
    <w:bookmarkStart w:name="z22" w:id="16"/>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или концессионный проект на стадии их отбора, в том числе собственных денежных средств частного партнера (концессионера).</w:t>
      </w:r>
    </w:p>
    <w:bookmarkEnd w:id="16"/>
    <w:bookmarkStart w:name="z23" w:id="17"/>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17"/>
    <w:bookmarkStart w:name="z24" w:id="18"/>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республиканских проектов государственно-частного партнерства и концессионных проектов;";</w:t>
      </w:r>
    </w:p>
    <w:bookmarkEnd w:id="18"/>
    <w:bookmarkStart w:name="z25"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опубликован от 4 февраля 2016 года в информационно-правовой системе "Әділет"):</w:t>
      </w:r>
    </w:p>
    <w:bookmarkEnd w:id="19"/>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28" w:id="21"/>
    <w:p>
      <w:pPr>
        <w:spacing w:after="0"/>
        <w:ind w:left="0"/>
        <w:jc w:val="both"/>
      </w:pPr>
      <w:r>
        <w:rPr>
          <w:rFonts w:ascii="Times New Roman"/>
          <w:b w:val="false"/>
          <w:i w:val="false"/>
          <w:color w:val="000000"/>
          <w:sz w:val="28"/>
        </w:rPr>
        <w:t>
      "8. Решение о реализации проекта ГЧП принимается уполномоченным лицом на основании документов Системы государственного планирования, поручений и/или актов Президента Республики Казахстан, Правительства Республики Казахстан, а также с учетом приоритетности и срочности проекта ГЧП.</w:t>
      </w:r>
    </w:p>
    <w:bookmarkEnd w:id="21"/>
    <w:bookmarkStart w:name="z29" w:id="22"/>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22"/>
    <w:bookmarkStart w:name="z30" w:id="23"/>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23"/>
    <w:bookmarkStart w:name="z31" w:id="24"/>
    <w:p>
      <w:pPr>
        <w:spacing w:after="0"/>
        <w:ind w:left="0"/>
        <w:jc w:val="both"/>
      </w:pPr>
      <w:r>
        <w:rPr>
          <w:rFonts w:ascii="Times New Roman"/>
          <w:b w:val="false"/>
          <w:i w:val="false"/>
          <w:color w:val="000000"/>
          <w:sz w:val="28"/>
        </w:rPr>
        <w:t>
      использует приоритизацию проектов ГЧП;</w:t>
      </w:r>
    </w:p>
    <w:bookmarkEnd w:id="24"/>
    <w:bookmarkStart w:name="z32" w:id="25"/>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25"/>
    <w:bookmarkStart w:name="z33" w:id="26"/>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26"/>
    <w:bookmarkStart w:name="z34" w:id="27"/>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27"/>
    <w:bookmarkStart w:name="z35" w:id="28"/>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проекта ГЧП.</w:t>
      </w:r>
    </w:p>
    <w:bookmarkEnd w:id="28"/>
    <w:bookmarkStart w:name="z36" w:id="29"/>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на привлечение инвестиций частным партнером, а также на эксплуатацию объекта ГЧП частным партнером на срок не менее 5 (пяти) лет в зависимости от особенностей проекта ГЧП.";</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 </w:t>
      </w:r>
    </w:p>
    <w:bookmarkStart w:name="z38" w:id="30"/>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срок не более 15 (пятнадцати) рабочих дней или в срок не более 3 (трех) рабочих дней, если проект предполагает строительство жилья в рамках государственной программы жилищно-коммунального развития "Нұрлы жер" на 2020-2025 годы, со дня ее поступления, определяет:</w:t>
      </w:r>
    </w:p>
    <w:bookmarkEnd w:id="30"/>
    <w:bookmarkStart w:name="z39" w:id="31"/>
    <w:p>
      <w:pPr>
        <w:spacing w:after="0"/>
        <w:ind w:left="0"/>
        <w:jc w:val="both"/>
      </w:pPr>
      <w:r>
        <w:rPr>
          <w:rFonts w:ascii="Times New Roman"/>
          <w:b w:val="false"/>
          <w:i w:val="false"/>
          <w:color w:val="000000"/>
          <w:sz w:val="28"/>
        </w:rPr>
        <w:t>
      необходимость в реализации проекта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w:t>
      </w:r>
    </w:p>
    <w:bookmarkEnd w:id="31"/>
    <w:bookmarkStart w:name="z40" w:id="32"/>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32"/>
    <w:bookmarkStart w:name="z41" w:id="33"/>
    <w:p>
      <w:pPr>
        <w:spacing w:after="0"/>
        <w:ind w:left="0"/>
        <w:jc w:val="both"/>
      </w:pPr>
      <w:r>
        <w:rPr>
          <w:rFonts w:ascii="Times New Roman"/>
          <w:b w:val="false"/>
          <w:i w:val="false"/>
          <w:color w:val="000000"/>
          <w:sz w:val="28"/>
        </w:rPr>
        <w:t xml:space="preserve">
      соответствие критерия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33"/>
    <w:bookmarkStart w:name="z42" w:id="34"/>
    <w:p>
      <w:pPr>
        <w:spacing w:after="0"/>
        <w:ind w:left="0"/>
        <w:jc w:val="both"/>
      </w:pPr>
      <w:r>
        <w:rPr>
          <w:rFonts w:ascii="Times New Roman"/>
          <w:b w:val="false"/>
          <w:i w:val="false"/>
          <w:color w:val="000000"/>
          <w:sz w:val="28"/>
        </w:rPr>
        <w:t>
      В случае, если общая сумма выплат из бюджета по местному проекту ГЧП, инициированного потенциальным частным партнером, составляет более 2 (двух) процентов от лимита государственных обязательств по проектам ГЧП местного исполнительного органа на текущий год, уполномоченный орган, которому внесена заявка на участие в прямых переговорах по определению частного партнера, в срок не более 1 (одного) рабочего дня направляет Центру развития ГЧП документы, указанные в пункте 130 настоящих Правил в целях выработки рекомендаций на бизнес-план к проекту ГЧП.</w:t>
      </w:r>
    </w:p>
    <w:bookmarkEnd w:id="34"/>
    <w:bookmarkStart w:name="z43" w:id="35"/>
    <w:p>
      <w:pPr>
        <w:spacing w:after="0"/>
        <w:ind w:left="0"/>
        <w:jc w:val="both"/>
      </w:pPr>
      <w:r>
        <w:rPr>
          <w:rFonts w:ascii="Times New Roman"/>
          <w:b w:val="false"/>
          <w:i w:val="false"/>
          <w:color w:val="000000"/>
          <w:sz w:val="28"/>
        </w:rPr>
        <w:t>
      Центр развития ГЧП в срок не более 10 (десяти) рабочих дней на основе оценки представленных данных вырабатывает рекомендации на бизнес-план к проекту ГЧП на предмет обоснованности (соответствия принципам и признакам ГЧП) реализации проекта ГЧП и направляет рекомендации уполномоченному органу.</w:t>
      </w:r>
    </w:p>
    <w:bookmarkEnd w:id="35"/>
    <w:bookmarkStart w:name="z44" w:id="36"/>
    <w:p>
      <w:pPr>
        <w:spacing w:after="0"/>
        <w:ind w:left="0"/>
        <w:jc w:val="both"/>
      </w:pPr>
      <w:r>
        <w:rPr>
          <w:rFonts w:ascii="Times New Roman"/>
          <w:b w:val="false"/>
          <w:i w:val="false"/>
          <w:color w:val="000000"/>
          <w:sz w:val="28"/>
        </w:rPr>
        <w:t>
      В целях предоставления недостающей информации для выработки рекомендаций на бизнес-план к проекту ГЧП, согласно документам, указанным в пункте 130 настоящих Правил, Центр развития ГЧП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36"/>
    <w:bookmarkStart w:name="z45" w:id="37"/>
    <w:p>
      <w:pPr>
        <w:spacing w:after="0"/>
        <w:ind w:left="0"/>
        <w:jc w:val="both"/>
      </w:pP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Центр развития ГЧП возвращает представленные данные уполномоченному органу с указанием о невозможности выработки рекомендаций на бизнес-план к проекту ГЧП.</w:t>
      </w:r>
    </w:p>
    <w:bookmarkEnd w:id="37"/>
    <w:bookmarkStart w:name="z46" w:id="38"/>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с учетом рекомендации Центра развития ГЧП (при наличии) за подписью первого руководителя, в случае его отсутствия лица его замещающего или лица уполномоченного им, которое направляется частному партнеру, инициировавшему проект ГЧП в срок не более 2 (двух) рабочих дней или в срок не более 1 (одного) дня, если проект предполагает строительство жилья в рамках государственной программы жилищно-коммунального развития "Нұрлы жер" на 2020-2025 годы, с момента подготовки.</w:t>
      </w:r>
    </w:p>
    <w:bookmarkEnd w:id="38"/>
    <w:bookmarkStart w:name="z47" w:id="39"/>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39"/>
    <w:bookmarkStart w:name="z48" w:id="40"/>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40"/>
    <w:bookmarkStart w:name="z49" w:id="41"/>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41"/>
    <w:bookmarkStart w:name="z50" w:id="42"/>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42"/>
    <w:bookmarkStart w:name="z51" w:id="43"/>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срок не более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 </w:t>
      </w:r>
    </w:p>
    <w:bookmarkStart w:name="z53" w:id="44"/>
    <w:p>
      <w:pPr>
        <w:spacing w:after="0"/>
        <w:ind w:left="0"/>
        <w:jc w:val="both"/>
      </w:pPr>
      <w:r>
        <w:rPr>
          <w:rFonts w:ascii="Times New Roman"/>
          <w:b w:val="false"/>
          <w:i w:val="false"/>
          <w:color w:val="000000"/>
          <w:sz w:val="28"/>
        </w:rPr>
        <w:t>
      "170. Внесение изменений и (или) дополнений в заключенный договор ГЧП осуществляется в порядке, установленном Законом, настоящими Правилами, а также в соответствии с договором ГЧП.</w:t>
      </w:r>
    </w:p>
    <w:bookmarkEnd w:id="44"/>
    <w:bookmarkStart w:name="z54" w:id="45"/>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45"/>
    <w:bookmarkStart w:name="z55" w:id="46"/>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46"/>
    <w:bookmarkStart w:name="z56" w:id="47"/>
    <w:p>
      <w:pPr>
        <w:spacing w:after="0"/>
        <w:ind w:left="0"/>
        <w:jc w:val="both"/>
      </w:pPr>
      <w:r>
        <w:rPr>
          <w:rFonts w:ascii="Times New Roman"/>
          <w:b w:val="false"/>
          <w:i w:val="false"/>
          <w:color w:val="000000"/>
          <w:sz w:val="28"/>
        </w:rPr>
        <w:t>
      В целях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47"/>
    <w:bookmarkStart w:name="z57" w:id="48"/>
    <w:p>
      <w:pPr>
        <w:spacing w:after="0"/>
        <w:ind w:left="0"/>
        <w:jc w:val="both"/>
      </w:pPr>
      <w:r>
        <w:rPr>
          <w:rFonts w:ascii="Times New Roman"/>
          <w:b w:val="false"/>
          <w:i w:val="false"/>
          <w:color w:val="000000"/>
          <w:sz w:val="28"/>
        </w:rPr>
        <w:t>
      В заключенный договор ГЧП в части исключения этапа эксплуатации объекта ГЧП частным партнером изменения и (или) дополнения не вносятся.</w:t>
      </w:r>
    </w:p>
    <w:bookmarkEnd w:id="48"/>
    <w:bookmarkStart w:name="z58" w:id="49"/>
    <w:p>
      <w:pPr>
        <w:spacing w:after="0"/>
        <w:ind w:left="0"/>
        <w:jc w:val="both"/>
      </w:pPr>
      <w:r>
        <w:rPr>
          <w:rFonts w:ascii="Times New Roman"/>
          <w:b w:val="false"/>
          <w:i w:val="false"/>
          <w:color w:val="000000"/>
          <w:sz w:val="28"/>
        </w:rPr>
        <w:t>
      Разрешается внесение изменений и (или) дополнений в заключенный договор ГЧП по соглашению сторон только при соблюдении следующих условий:</w:t>
      </w:r>
    </w:p>
    <w:bookmarkEnd w:id="49"/>
    <w:bookmarkStart w:name="z59" w:id="50"/>
    <w:p>
      <w:pPr>
        <w:spacing w:after="0"/>
        <w:ind w:left="0"/>
        <w:jc w:val="both"/>
      </w:pPr>
      <w:r>
        <w:rPr>
          <w:rFonts w:ascii="Times New Roman"/>
          <w:b w:val="false"/>
          <w:i w:val="false"/>
          <w:color w:val="000000"/>
          <w:sz w:val="28"/>
        </w:rPr>
        <w:t>
      1) сохранение и/или рост положительной бюджетной эффективности (в денежном выражении), предполагающей рост государственных доходов без увеличения расходов бюджета;</w:t>
      </w:r>
    </w:p>
    <w:bookmarkEnd w:id="50"/>
    <w:bookmarkStart w:name="z60" w:id="51"/>
    <w:p>
      <w:pPr>
        <w:spacing w:after="0"/>
        <w:ind w:left="0"/>
        <w:jc w:val="both"/>
      </w:pPr>
      <w:r>
        <w:rPr>
          <w:rFonts w:ascii="Times New Roman"/>
          <w:b w:val="false"/>
          <w:i w:val="false"/>
          <w:color w:val="000000"/>
          <w:sz w:val="28"/>
        </w:rPr>
        <w:t xml:space="preserve">
      2) сохранение предусмотренных договором ГЧП требований к качественным характеристикам и/или объему, и/или доступности товаров, работ, услуг; </w:t>
      </w:r>
    </w:p>
    <w:bookmarkEnd w:id="51"/>
    <w:bookmarkStart w:name="z61" w:id="52"/>
    <w:p>
      <w:pPr>
        <w:spacing w:after="0"/>
        <w:ind w:left="0"/>
        <w:jc w:val="both"/>
      </w:pPr>
      <w:r>
        <w:rPr>
          <w:rFonts w:ascii="Times New Roman"/>
          <w:b w:val="false"/>
          <w:i w:val="false"/>
          <w:color w:val="000000"/>
          <w:sz w:val="28"/>
        </w:rPr>
        <w:t>
      3) сохранение и/или увеличение экономической и социальной эффективности проекта ГЧП.";</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171-19</w:t>
      </w:r>
      <w:r>
        <w:rPr>
          <w:rFonts w:ascii="Times New Roman"/>
          <w:b w:val="false"/>
          <w:i w:val="false"/>
          <w:color w:val="000000"/>
          <w:sz w:val="28"/>
        </w:rPr>
        <w:t xml:space="preserve"> изложить в следующей редакции: </w:t>
      </w:r>
    </w:p>
    <w:bookmarkStart w:name="z63" w:id="53"/>
    <w:p>
      <w:pPr>
        <w:spacing w:after="0"/>
        <w:ind w:left="0"/>
        <w:jc w:val="both"/>
      </w:pPr>
      <w:r>
        <w:rPr>
          <w:rFonts w:ascii="Times New Roman"/>
          <w:b w:val="false"/>
          <w:i w:val="false"/>
          <w:color w:val="000000"/>
          <w:sz w:val="28"/>
        </w:rPr>
        <w:t>
      "171-19. В случае прекращения договора ГЧП по вине частного партнера на эксплуатационной фазе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100% совокупного размера всех понесенных и доказанных капитальных расходов, связанных со строительством/ реконструкцией/ созданием/ модернизацией объекта ГЧП, за минусом выплат, которые уже были выплачены государственным партнером. При этом сумма выплат компенсации инвестиционных затрат не должна превышать сумму компенсации инвестиционных затрат, изначально предусмотренных в договоре ГЧП";</w:t>
      </w:r>
    </w:p>
    <w:bookmarkEnd w:id="53"/>
    <w:bookmarkStart w:name="z64"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55"/>
    <w:bookmarkStart w:name="z67" w:id="56"/>
    <w:p>
      <w:pPr>
        <w:spacing w:after="0"/>
        <w:ind w:left="0"/>
        <w:jc w:val="both"/>
      </w:pPr>
      <w:r>
        <w:rPr>
          <w:rFonts w:ascii="Times New Roman"/>
          <w:b w:val="false"/>
          <w:i w:val="false"/>
          <w:color w:val="000000"/>
          <w:sz w:val="28"/>
        </w:rPr>
        <w:t>
      КИЗ не индексируется на уровень инфляции;</w:t>
      </w:r>
    </w:p>
    <w:bookmarkEnd w:id="56"/>
    <w:bookmarkStart w:name="z68" w:id="57"/>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57"/>
    <w:bookmarkStart w:name="z69" w:id="58"/>
    <w:p>
      <w:pPr>
        <w:spacing w:after="0"/>
        <w:ind w:left="0"/>
        <w:jc w:val="both"/>
      </w:pPr>
      <w:r>
        <w:rPr>
          <w:rFonts w:ascii="Times New Roman"/>
          <w:b w:val="false"/>
          <w:i w:val="false"/>
          <w:color w:val="000000"/>
          <w:sz w:val="28"/>
        </w:rPr>
        <w:t xml:space="preserve">
      Выплата КИЗ осуществляется после ввода объекта ГЧП в эксплуатацию равными долями в течение срока, составляющего не менее 5 (пяти) лет, в соответствии с договором ГЧП, за исключением проектов, которые реализуются по строительству жилья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жилищно-коммунального развития "Нұрлы жер" на 2020 - 2025 годы, утвержденной постановлением Правительства Республики Казахстана от 31 декабря 2019 года № 1054.</w:t>
      </w:r>
    </w:p>
    <w:bookmarkEnd w:id="58"/>
    <w:bookmarkStart w:name="z70" w:id="59"/>
    <w:p>
      <w:pPr>
        <w:spacing w:after="0"/>
        <w:ind w:left="0"/>
        <w:jc w:val="both"/>
      </w:pPr>
      <w:r>
        <w:rPr>
          <w:rFonts w:ascii="Times New Roman"/>
          <w:b w:val="false"/>
          <w:i w:val="false"/>
          <w:color w:val="000000"/>
          <w:sz w:val="28"/>
        </w:rPr>
        <w:t>
      При этом срок выплат КИЗ, установленных договором ГЧП не переносится на ранние периоды, за исключением случаев досрочного ввода в эксплуатацию объекта ГЧП без сокращения общего срока и сохранения равномерности выплат КИЗ.".</w:t>
      </w:r>
    </w:p>
    <w:bookmarkEnd w:id="59"/>
    <w:bookmarkStart w:name="z71" w:id="60"/>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60"/>
    <w:bookmarkStart w:name="z72"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73" w:id="62"/>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62"/>
    <w:bookmarkStart w:name="z74" w:id="6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3"/>
    <w:bookmarkStart w:name="z75" w:id="6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4"/>
    <w:bookmarkStart w:name="z76" w:id="6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восемнадцатого и девятнадцатого абзацев пункта 1 настоящего приказа, которые вводятся в действие с 1 апреля 2021 года.</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78" w:id="6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