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672a" w14:textId="0476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Акбулакского, Анарского, Арнасай, Берсуатского, Булаксайского, Волгодоновского, Жибек жолы, Ижевского, Константиновского, Михайловского, Сарабинского, Турген сельских округов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30 октября 2020 года № А-213. Зарегистрировано Департаментом юстиции Акмолинской области 30 октября 2020 года № 8114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акимат Аршалынского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на основании геоботанического обследования пастбищ Акбулакского, Анарского, Арнасай, Берсуатского, Булаксайского, Волгодоновского, Жибек жолы, Ижевского, Константиновского, Михайловского, Сарабинского, Турген сельских округов Аршалынского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Акбулакского сельского округа Аршалынского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Анарского сельского округа Аршалынского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Арнасай Аршалынского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Берсуатского сельского округа Аршалынского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Булаксайского сельского округа Аршалынского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Волгодоновского сельского округа Аршалынского района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Жибек жолы Аршалынского района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Ижевского сельского округа Аршалынского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Константиновского сельского округа Аршалынского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Михайловского сельского округа Аршалынского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Сарабинского сельского округа Аршалынского района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А-213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сельского округа Турген Аршалынского района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