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f488" w14:textId="71bf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2020 года № 6С-78-2. Зарегистрировано Департаментом юстиции Акмолинской области 12 января 2021 года № 8291.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- 3786797,1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- 668977,0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- 20130,2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- 18362,5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- 3079327,4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- 3903437,9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- 26421,0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- 52506,0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- 26085,0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- 31383,4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- 32338,4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-174445,2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- 174445,2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2021 год предусмотрены бюджетные субвенции, передаваемые из областного бюджета в бюджет района, в сумме 2389428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районного бюджета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предусмотрены объемы субвенций, передаваемых из районного бюджета бюджетам сельских округов и села, в сумме 182823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Астраханскому 29661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17915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Жалтырскому 23597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Колутонскому 14044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13883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14355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Новочеркасскскому 10534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Острогорскому 11945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14469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Староколутонскому 10606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9641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Каменка 12173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2021 год предусмотрено погашение основного долга по бюджетным кредитам, выделенным для реализации мер социальной поддержки специалистов в сумме 26085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2021 год в сумме 3162,1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специалистам в области здравоохранения, социального обеспечения, культуры и спорта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государственных активов и закупок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7С-5-2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сурдо-технические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Астраханского районного маслихата Акмолинской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7С-15-2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к селу Жалтыр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Булакты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села Жанатурмыс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Жалтыр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Новочеркасское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Орнек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Караколь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Таволжанка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Колутон Астраханского района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 улицам Пушкина, Молодежная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