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5a13" w14:textId="30a5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Байган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8 декабря 2020 года № 272. Зарегистрировано Департаментом юстиции Актюбинской области 29 декабря 2020 года № 786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Байган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ган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ган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Байганинского района от 28 декабря 2020 года № 272</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айган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ғанин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йганин" на праве хозяйственного ведения государственного учереждения "Байган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