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4716" w14:textId="84a4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сентября 2020 года № 333. Зарегистрировано Департаментом юстиции Актюбинской области 1 октября 2020 года № 7502. Утратило силу решением Иргизского районного маслихата Актюбинской области от 15 сентября 2023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в Иргизском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Иргизского районного маслихата: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13 марта 2020 года № 282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6911, опубликованное 30 марта 2020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9 апреля 2020 года № 301 "О внесении изменения и дополнения в решение Иргизского районного маслихата от 13 марта 2020 года № 282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7043, опубликованное 17 апреля 2020 года в эталонном контрольном банке нормативных правовых актов Республики Казахстан в электронном виде);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Иргизского районного маслихата от 21 сентября 2020 года № 333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Иргизском районе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Иргизского районного маслихата Актюбинской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Иргизском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Иргизского района Актюбинской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"Иргизский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статьей 16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Закона Республики Казахстан от 14 апреля 1993 года "О реабилитации жертв массовых политических репрессий", оказываются в порядке, определенном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–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"О ветеранах"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шестнадцати лет и детям с инвалидностью первой, второй, третьей групп с шестнадцати до восемнадцати лет, единовременно без учета среднедушевого дохода- в размере 50 000 (пятьдесят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согласно Закона Республики Казахстан от 14 апреля 1993 года "О реабилитации жертв массовых политических репрессий" – в размере 120 000 (сто двадцать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имеющим социально–значимые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 и лица, страдающие туберкулезным заболеванием, находящиеся на амбулаторном лечении, согласно списков, представленных государственным коммунальным предприятием "Иргизская районная больница" на праве хозяйственного ведения государственного учреждения "Управление здравоохранения Актюбинской области", а также лица инфицированные вирусом иммунодефицита человека, согласно справок представляемых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находящимся в трудной жизненной ситуации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 - предоставляется единовременно, с учетом среднедушевого дохода лица (семьи), не превышающего порога однократного размера прожиточного минимума -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многодетным семьям, малообеспеченным гражданам, единовременно, с учетом среднедушевого дохода не превышающего порога однократного размера прожиточного минимума – в размере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в течение шести месяцев с момента наступления данной ситуации по месту возникновения стихийного бедствия или пожара, без учета среднедушевого дохода в размере не более 300 000 (триста тысяч) тенге, единовременно.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Правила распространяются на лиц, постоянно проживающих в Иргизском районе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подлежат возврату в добровольном порядке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