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a2de" w14:textId="707a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28 сентября 2020 года № 68-201. Зарегистрировано Департаментом юстиции Алматинской области 5 октября 2020 года № 5693. Утратило силу решением Енбекшиказахского районного маслихата Алматинской области от 30 апреля 2021 года № 6-31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6-31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Енбекшиказахского района" 22 ноября 2019 года № 54-146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декабря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бюджета и финансов".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