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316" w14:textId="0cf7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30 июня 2020 года № 75-8. Зарегистрировано Департаментом юстиции Жамбылской области 16 июля 2020 года № 4683. Утратило силу решением Таласского районного маслихата Жамбылской области от 25 февраля 2021 года № 3-2</w:t>
      </w:r>
    </w:p>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25.02.2021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и согласно постановлению Правительства Республики Казахстан </w:t>
      </w:r>
      <w:r>
        <w:rPr>
          <w:rFonts w:ascii="Times New Roman"/>
          <w:b w:val="false"/>
          <w:i w:val="false"/>
          <w:color w:val="000000"/>
          <w:sz w:val="28"/>
        </w:rPr>
        <w:t>№ 2314</w:t>
      </w:r>
      <w:r>
        <w:rPr>
          <w:rFonts w:ascii="Times New Roman"/>
          <w:b w:val="false"/>
          <w:i w:val="false"/>
          <w:color w:val="000000"/>
          <w:sz w:val="28"/>
        </w:rPr>
        <w:t xml:space="preserve"> от 30 декабря 2009 года "Об утверждении Правил предоставления жилищной помощи" Таласский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оказания жилищной помощи малообеспеченным семьям (гражданам) по Таласскому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силу следующее решении Таласского районного маслихата:</w:t>
      </w:r>
    </w:p>
    <w:bookmarkEnd w:id="2"/>
    <w:bookmarkStart w:name="z10" w:id="3"/>
    <w:p>
      <w:pPr>
        <w:spacing w:after="0"/>
        <w:ind w:left="0"/>
        <w:jc w:val="both"/>
      </w:pPr>
      <w:r>
        <w:rPr>
          <w:rFonts w:ascii="Times New Roman"/>
          <w:b w:val="false"/>
          <w:i w:val="false"/>
          <w:color w:val="000000"/>
          <w:sz w:val="28"/>
        </w:rPr>
        <w:t xml:space="preserve">
      1) решение маслихата Таласского района </w:t>
      </w:r>
      <w:r>
        <w:rPr>
          <w:rFonts w:ascii="Times New Roman"/>
          <w:b w:val="false"/>
          <w:i w:val="false"/>
          <w:color w:val="000000"/>
          <w:sz w:val="28"/>
        </w:rPr>
        <w:t>№ 27-2</w:t>
      </w:r>
      <w:r>
        <w:rPr>
          <w:rFonts w:ascii="Times New Roman"/>
          <w:b w:val="false"/>
          <w:i w:val="false"/>
          <w:color w:val="000000"/>
          <w:sz w:val="28"/>
        </w:rPr>
        <w:t xml:space="preserve"> от 20 февраля 2014 года "Об утверждении Правил оказания жилищной помощи малообеспеченным семьям (гражданам) по Таласскому району" (Зарегистрировано в реестре нормативных правовых актов за </w:t>
      </w:r>
      <w:r>
        <w:rPr>
          <w:rFonts w:ascii="Times New Roman"/>
          <w:b w:val="false"/>
          <w:i w:val="false"/>
          <w:color w:val="000000"/>
          <w:sz w:val="28"/>
        </w:rPr>
        <w:t>№ 2123</w:t>
      </w:r>
      <w:r>
        <w:rPr>
          <w:rFonts w:ascii="Times New Roman"/>
          <w:b w:val="false"/>
          <w:i w:val="false"/>
          <w:color w:val="000000"/>
          <w:sz w:val="28"/>
        </w:rPr>
        <w:t>, опубликовано в информационно - правовой системе "Әділет" от 03 апреля 2014 года).</w:t>
      </w:r>
    </w:p>
    <w:bookmarkEnd w:id="3"/>
    <w:bookmarkStart w:name="z11" w:id="4"/>
    <w:p>
      <w:pPr>
        <w:spacing w:after="0"/>
        <w:ind w:left="0"/>
        <w:jc w:val="both"/>
      </w:pPr>
      <w:r>
        <w:rPr>
          <w:rFonts w:ascii="Times New Roman"/>
          <w:b w:val="false"/>
          <w:i w:val="false"/>
          <w:color w:val="000000"/>
          <w:sz w:val="28"/>
        </w:rPr>
        <w:t xml:space="preserve">
      2) решение маслихата Таласского района </w:t>
      </w:r>
      <w:r>
        <w:rPr>
          <w:rFonts w:ascii="Times New Roman"/>
          <w:b w:val="false"/>
          <w:i w:val="false"/>
          <w:color w:val="000000"/>
          <w:sz w:val="28"/>
        </w:rPr>
        <w:t>№ 8-15</w:t>
      </w:r>
      <w:r>
        <w:rPr>
          <w:rFonts w:ascii="Times New Roman"/>
          <w:b w:val="false"/>
          <w:i w:val="false"/>
          <w:color w:val="000000"/>
          <w:sz w:val="28"/>
        </w:rPr>
        <w:t xml:space="preserve"> от 10 октября 2016 года "О внесений изменений и дополнений в решение Таласского районного маслихата от 20 февраля 2014 года № 27-2 "Об утверждении Правил оказания жилищной помощи малообеспеченным семьям (гражданам) по Таласскому району" (Зарегистрировано в реестре нормативных правовых актов за </w:t>
      </w:r>
      <w:r>
        <w:rPr>
          <w:rFonts w:ascii="Times New Roman"/>
          <w:b w:val="false"/>
          <w:i w:val="false"/>
          <w:color w:val="000000"/>
          <w:sz w:val="28"/>
        </w:rPr>
        <w:t>№ 3204</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18 ноября 2016 года).</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социально – правовой защите жителей и вопросам культуры Таласского районного маслихата.</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Таласского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Кулекеев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Таласского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30 июня 2020 года</w:t>
            </w:r>
            <w:r>
              <w:rPr>
                <w:rFonts w:ascii="Times New Roman"/>
                <w:b w:val="false"/>
                <w:i w:val="false"/>
                <w:color w:val="000000"/>
                <w:sz w:val="20"/>
              </w:rPr>
              <w:t xml:space="preserve"> № 75-8</w:t>
            </w:r>
          </w:p>
        </w:tc>
      </w:tr>
    </w:tbl>
    <w:bookmarkStart w:name="z20" w:id="7"/>
    <w:p>
      <w:pPr>
        <w:spacing w:after="0"/>
        <w:ind w:left="0"/>
        <w:jc w:val="left"/>
      </w:pPr>
      <w:r>
        <w:rPr>
          <w:rFonts w:ascii="Times New Roman"/>
          <w:b/>
          <w:i w:val="false"/>
          <w:color w:val="000000"/>
        </w:rPr>
        <w:t xml:space="preserve"> Об утверждении Правил оказания жилищной помощи малообеспеченным семьям (гражданам) по Таласскому району.</w:t>
      </w:r>
    </w:p>
    <w:bookmarkEnd w:id="7"/>
    <w:bookmarkStart w:name="z21" w:id="8"/>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по Таласскому району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8"/>
    <w:bookmarkStart w:name="z22" w:id="9"/>
    <w:p>
      <w:pPr>
        <w:spacing w:after="0"/>
        <w:ind w:left="0"/>
        <w:jc w:val="left"/>
      </w:pPr>
      <w:r>
        <w:rPr>
          <w:rFonts w:ascii="Times New Roman"/>
          <w:b/>
          <w:i w:val="false"/>
          <w:color w:val="000000"/>
        </w:rPr>
        <w:t xml:space="preserve"> 1. Порядок оказания жилищной помощи.</w:t>
      </w:r>
    </w:p>
    <w:bookmarkEnd w:id="9"/>
    <w:bookmarkStart w:name="z23" w:id="10"/>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в Таласском районе, малообеспеченным семьям (гражданам) с месячным среднедушевым доходом ниже прожиточного минимума,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0"/>
    <w:bookmarkStart w:name="z24" w:id="11"/>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11"/>
    <w:bookmarkStart w:name="z25" w:id="12"/>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2"/>
    <w:bookmarkStart w:name="z26" w:id="13"/>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3"/>
    <w:bookmarkStart w:name="z27" w:id="14"/>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4"/>
    <w:bookmarkStart w:name="z28" w:id="15"/>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15"/>
    <w:bookmarkStart w:name="z29" w:id="16"/>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16"/>
    <w:bookmarkStart w:name="z30" w:id="17"/>
    <w:p>
      <w:pPr>
        <w:spacing w:after="0"/>
        <w:ind w:left="0"/>
        <w:jc w:val="both"/>
      </w:pPr>
      <w:r>
        <w:rPr>
          <w:rFonts w:ascii="Times New Roman"/>
          <w:b w:val="false"/>
          <w:i w:val="false"/>
          <w:color w:val="000000"/>
          <w:sz w:val="28"/>
        </w:rPr>
        <w:t>
      Жилищная помощь не назначается малообеспеченным семьям (гражданам) имеющим трудоспособных лиц, которые не работают, не зарегистрированы в "Центре занятости акимата Таласского района", за исключением лиц инвалидам, учащимся, студентам, слушателям, курсантам и магистрантам очной формы обучения, лицам, имеющим заболевания, при которых может устанавливаться срок временной нетрудоспособности более двух месяцев, лицам, осуществляющих уход за ребенком до трех лет, ребенком-инвалидом, инвалидами первой и второй групп, престарелыми старше восьмидесяти лет, которые нуждаются в постороннем уходе и помощи.</w:t>
      </w:r>
    </w:p>
    <w:bookmarkEnd w:id="17"/>
    <w:bookmarkStart w:name="z31" w:id="18"/>
    <w:p>
      <w:pPr>
        <w:spacing w:after="0"/>
        <w:ind w:left="0"/>
        <w:jc w:val="both"/>
      </w:pPr>
      <w:r>
        <w:rPr>
          <w:rFonts w:ascii="Times New Roman"/>
          <w:b w:val="false"/>
          <w:i w:val="false"/>
          <w:color w:val="000000"/>
          <w:sz w:val="28"/>
        </w:rPr>
        <w:t>
      3. Назначение жилищной помощи осуществляется коммунальным государственным учреждением "Отдел занятости и социальных программ акимата Таласского района" (далее - уполномоченный орган).</w:t>
      </w:r>
    </w:p>
    <w:bookmarkEnd w:id="18"/>
    <w:bookmarkStart w:name="z32" w:id="19"/>
    <w:p>
      <w:pPr>
        <w:spacing w:after="0"/>
        <w:ind w:left="0"/>
        <w:jc w:val="both"/>
      </w:pPr>
      <w:r>
        <w:rPr>
          <w:rFonts w:ascii="Times New Roman"/>
          <w:b w:val="false"/>
          <w:i w:val="false"/>
          <w:color w:val="000000"/>
          <w:sz w:val="28"/>
        </w:rPr>
        <w:t>
      1) Прием заявлений и выдача результатов оказания государственной услуги осуществляются через отделы города Тараз филиала некоммерческого акционерного общества "Государственная корпорация "Правительство для граждан" по Жамбылской области (далее - Государственная корпорация) и веб-портал "электронного правительства" www.egov.kz (далее – портал).</w:t>
      </w:r>
    </w:p>
    <w:bookmarkEnd w:id="19"/>
    <w:bookmarkStart w:name="z33" w:id="20"/>
    <w:p>
      <w:pPr>
        <w:spacing w:after="0"/>
        <w:ind w:left="0"/>
        <w:jc w:val="both"/>
      </w:pPr>
      <w:r>
        <w:rPr>
          <w:rFonts w:ascii="Times New Roman"/>
          <w:b w:val="false"/>
          <w:i w:val="false"/>
          <w:color w:val="000000"/>
          <w:sz w:val="28"/>
        </w:rPr>
        <w:t>
      2) Семья (гражданин) (либо его представитель по нотариально заверенной доверенности) вправе обратиться в Государственную корпорацию или на портал за назначением жилищной помощи один раз в квартал.</w:t>
      </w:r>
    </w:p>
    <w:bookmarkEnd w:id="20"/>
    <w:bookmarkStart w:name="z34" w:id="21"/>
    <w:p>
      <w:pPr>
        <w:spacing w:after="0"/>
        <w:ind w:left="0"/>
        <w:jc w:val="both"/>
      </w:pPr>
      <w:r>
        <w:rPr>
          <w:rFonts w:ascii="Times New Roman"/>
          <w:b w:val="false"/>
          <w:i w:val="false"/>
          <w:color w:val="000000"/>
          <w:sz w:val="28"/>
        </w:rPr>
        <w:t>
      3)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1"/>
    <w:bookmarkStart w:name="z35" w:id="22"/>
    <w:p>
      <w:pPr>
        <w:spacing w:after="0"/>
        <w:ind w:left="0"/>
        <w:jc w:val="both"/>
      </w:pPr>
      <w:r>
        <w:rPr>
          <w:rFonts w:ascii="Times New Roman"/>
          <w:b w:val="false"/>
          <w:i w:val="false"/>
          <w:color w:val="000000"/>
          <w:sz w:val="28"/>
        </w:rPr>
        <w:t>
      4.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портала предоставлением следующих документов:</w:t>
      </w:r>
    </w:p>
    <w:bookmarkEnd w:id="22"/>
    <w:bookmarkStart w:name="z36" w:id="23"/>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3"/>
    <w:bookmarkStart w:name="z37" w:id="24"/>
    <w:p>
      <w:pPr>
        <w:spacing w:after="0"/>
        <w:ind w:left="0"/>
        <w:jc w:val="both"/>
      </w:pPr>
      <w:r>
        <w:rPr>
          <w:rFonts w:ascii="Times New Roman"/>
          <w:b w:val="false"/>
          <w:i w:val="false"/>
          <w:color w:val="000000"/>
          <w:sz w:val="28"/>
        </w:rPr>
        <w:t>
      2) документа, подтверждающего доходы семьи. Документы, подтверждающие доходы семьи для назначения государственной адресной социальной помощи должны учитываются доходами, представленными для назначения жилищной помощи.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4"/>
    <w:bookmarkStart w:name="z38" w:id="25"/>
    <w:p>
      <w:pPr>
        <w:spacing w:after="0"/>
        <w:ind w:left="0"/>
        <w:jc w:val="both"/>
      </w:pPr>
      <w:r>
        <w:rPr>
          <w:rFonts w:ascii="Times New Roman"/>
          <w:b w:val="false"/>
          <w:i w:val="false"/>
          <w:color w:val="000000"/>
          <w:sz w:val="28"/>
        </w:rPr>
        <w:t>
      3)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25"/>
    <w:bookmarkStart w:name="z39" w:id="26"/>
    <w:p>
      <w:pPr>
        <w:spacing w:after="0"/>
        <w:ind w:left="0"/>
        <w:jc w:val="both"/>
      </w:pPr>
      <w:r>
        <w:rPr>
          <w:rFonts w:ascii="Times New Roman"/>
          <w:b w:val="false"/>
          <w:i w:val="false"/>
          <w:color w:val="000000"/>
          <w:sz w:val="28"/>
        </w:rPr>
        <w:t>
      4) справки о пенсионных отчислениях (за исключением сведений, получаемых из соответствующих государственных информационных систем);</w:t>
      </w:r>
    </w:p>
    <w:bookmarkEnd w:id="26"/>
    <w:bookmarkStart w:name="z40" w:id="27"/>
    <w:p>
      <w:pPr>
        <w:spacing w:after="0"/>
        <w:ind w:left="0"/>
        <w:jc w:val="both"/>
      </w:pPr>
      <w:r>
        <w:rPr>
          <w:rFonts w:ascii="Times New Roman"/>
          <w:b w:val="false"/>
          <w:i w:val="false"/>
          <w:color w:val="000000"/>
          <w:sz w:val="28"/>
        </w:rPr>
        <w:t>
      5) справки с места работы либо справки о регистрации в качестве безработного лица;</w:t>
      </w:r>
    </w:p>
    <w:bookmarkEnd w:id="27"/>
    <w:bookmarkStart w:name="z41" w:id="28"/>
    <w:p>
      <w:pPr>
        <w:spacing w:after="0"/>
        <w:ind w:left="0"/>
        <w:jc w:val="both"/>
      </w:pPr>
      <w:r>
        <w:rPr>
          <w:rFonts w:ascii="Times New Roman"/>
          <w:b w:val="false"/>
          <w:i w:val="false"/>
          <w:color w:val="000000"/>
          <w:sz w:val="28"/>
        </w:rPr>
        <w:t>
      6) сведений об алиментах на детей и других иждивенцев;</w:t>
      </w:r>
    </w:p>
    <w:bookmarkEnd w:id="28"/>
    <w:bookmarkStart w:name="z42" w:id="29"/>
    <w:p>
      <w:pPr>
        <w:spacing w:after="0"/>
        <w:ind w:left="0"/>
        <w:jc w:val="both"/>
      </w:pPr>
      <w:r>
        <w:rPr>
          <w:rFonts w:ascii="Times New Roman"/>
          <w:b w:val="false"/>
          <w:i w:val="false"/>
          <w:color w:val="000000"/>
          <w:sz w:val="28"/>
        </w:rPr>
        <w:t>
      7) банковского счета;</w:t>
      </w:r>
    </w:p>
    <w:bookmarkEnd w:id="29"/>
    <w:bookmarkStart w:name="z43" w:id="30"/>
    <w:p>
      <w:pPr>
        <w:spacing w:after="0"/>
        <w:ind w:left="0"/>
        <w:jc w:val="both"/>
      </w:pPr>
      <w:r>
        <w:rPr>
          <w:rFonts w:ascii="Times New Roman"/>
          <w:b w:val="false"/>
          <w:i w:val="false"/>
          <w:color w:val="000000"/>
          <w:sz w:val="28"/>
        </w:rPr>
        <w:t>
      8) счета о ежемесячных взносах на содержание общего имущества объекта кондоминиума;</w:t>
      </w:r>
    </w:p>
    <w:bookmarkEnd w:id="30"/>
    <w:bookmarkStart w:name="z44" w:id="31"/>
    <w:p>
      <w:pPr>
        <w:spacing w:after="0"/>
        <w:ind w:left="0"/>
        <w:jc w:val="both"/>
      </w:pPr>
      <w:r>
        <w:rPr>
          <w:rFonts w:ascii="Times New Roman"/>
          <w:b w:val="false"/>
          <w:i w:val="false"/>
          <w:color w:val="000000"/>
          <w:sz w:val="28"/>
        </w:rPr>
        <w:t>
      9) счета на потребление коммунальных услуг;</w:t>
      </w:r>
    </w:p>
    <w:bookmarkEnd w:id="31"/>
    <w:bookmarkStart w:name="z45" w:id="32"/>
    <w:p>
      <w:pPr>
        <w:spacing w:after="0"/>
        <w:ind w:left="0"/>
        <w:jc w:val="both"/>
      </w:pPr>
      <w:r>
        <w:rPr>
          <w:rFonts w:ascii="Times New Roman"/>
          <w:b w:val="false"/>
          <w:i w:val="false"/>
          <w:color w:val="000000"/>
          <w:sz w:val="28"/>
        </w:rPr>
        <w:t>
      10) квитанции-счета за услуги телекоммуникаций или копии договора на оказание услуг связи;</w:t>
      </w:r>
    </w:p>
    <w:bookmarkEnd w:id="32"/>
    <w:bookmarkStart w:name="z46" w:id="33"/>
    <w:p>
      <w:pPr>
        <w:spacing w:after="0"/>
        <w:ind w:left="0"/>
        <w:jc w:val="both"/>
      </w:pPr>
      <w:r>
        <w:rPr>
          <w:rFonts w:ascii="Times New Roman"/>
          <w:b w:val="false"/>
          <w:i w:val="false"/>
          <w:color w:val="000000"/>
          <w:sz w:val="28"/>
        </w:rPr>
        <w:t>
      11)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3"/>
    <w:bookmarkStart w:name="z47" w:id="34"/>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34"/>
    <w:bookmarkStart w:name="z48" w:id="35"/>
    <w:p>
      <w:pPr>
        <w:spacing w:after="0"/>
        <w:ind w:left="0"/>
        <w:jc w:val="both"/>
      </w:pPr>
      <w:r>
        <w:rPr>
          <w:rFonts w:ascii="Times New Roman"/>
          <w:b w:val="false"/>
          <w:i w:val="false"/>
          <w:color w:val="000000"/>
          <w:sz w:val="28"/>
        </w:rPr>
        <w:t>
      1) При приеме документов через Государственную корпорацию услугополучателю выдается расписка о приеме соответствующих документов.</w:t>
      </w:r>
    </w:p>
    <w:bookmarkEnd w:id="35"/>
    <w:bookmarkStart w:name="z49" w:id="36"/>
    <w:p>
      <w:pPr>
        <w:spacing w:after="0"/>
        <w:ind w:left="0"/>
        <w:jc w:val="both"/>
      </w:pPr>
      <w:r>
        <w:rPr>
          <w:rFonts w:ascii="Times New Roman"/>
          <w:b w:val="false"/>
          <w:i w:val="false"/>
          <w:color w:val="000000"/>
          <w:sz w:val="28"/>
        </w:rPr>
        <w:t xml:space="preserve">
      2)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работник Государственной корпорации выдает расписку об отказе в приеме документов.</w:t>
      </w:r>
    </w:p>
    <w:bookmarkEnd w:id="36"/>
    <w:bookmarkStart w:name="z50" w:id="37"/>
    <w:p>
      <w:pPr>
        <w:spacing w:after="0"/>
        <w:ind w:left="0"/>
        <w:jc w:val="both"/>
      </w:pPr>
      <w:r>
        <w:rPr>
          <w:rFonts w:ascii="Times New Roman"/>
          <w:b w:val="false"/>
          <w:i w:val="false"/>
          <w:color w:val="000000"/>
          <w:sz w:val="28"/>
        </w:rPr>
        <w:t>
      3) В случае обращения через портала,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7"/>
    <w:bookmarkStart w:name="z51" w:id="38"/>
    <w:p>
      <w:pPr>
        <w:spacing w:after="0"/>
        <w:ind w:left="0"/>
        <w:jc w:val="both"/>
      </w:pPr>
      <w:r>
        <w:rPr>
          <w:rFonts w:ascii="Times New Roman"/>
          <w:b w:val="false"/>
          <w:i w:val="false"/>
          <w:color w:val="000000"/>
          <w:sz w:val="28"/>
        </w:rPr>
        <w:t>
      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38"/>
    <w:bookmarkStart w:name="z52" w:id="39"/>
    <w:p>
      <w:pPr>
        <w:spacing w:after="0"/>
        <w:ind w:left="0"/>
        <w:jc w:val="both"/>
      </w:pPr>
      <w:r>
        <w:rPr>
          <w:rFonts w:ascii="Times New Roman"/>
          <w:b w:val="false"/>
          <w:i w:val="false"/>
          <w:color w:val="000000"/>
          <w:sz w:val="28"/>
        </w:rPr>
        <w:t>
      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портала либо Государственной корпорацией.</w:t>
      </w:r>
    </w:p>
    <w:bookmarkEnd w:id="39"/>
    <w:bookmarkStart w:name="z53" w:id="40"/>
    <w:p>
      <w:pPr>
        <w:spacing w:after="0"/>
        <w:ind w:left="0"/>
        <w:jc w:val="both"/>
      </w:pPr>
      <w:r>
        <w:rPr>
          <w:rFonts w:ascii="Times New Roman"/>
          <w:b w:val="false"/>
          <w:i w:val="false"/>
          <w:color w:val="000000"/>
          <w:sz w:val="28"/>
        </w:rPr>
        <w:t>
      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0"/>
    <w:bookmarkStart w:name="z54" w:id="41"/>
    <w:p>
      <w:pPr>
        <w:spacing w:after="0"/>
        <w:ind w:left="0"/>
        <w:jc w:val="both"/>
      </w:pPr>
      <w:r>
        <w:rPr>
          <w:rFonts w:ascii="Times New Roman"/>
          <w:b w:val="false"/>
          <w:i w:val="false"/>
          <w:color w:val="000000"/>
          <w:sz w:val="28"/>
        </w:rPr>
        <w:t>
      5. Совокупный доход семьи (гражданина) исчисляется уполномоченным органом за квартал, предшествующий кварталу обращения за назначением жилищной помощи, в порядке, установленном действующим законодательством и жилищная помощь назначается с месяца подачи заявления на текущий квартал.</w:t>
      </w:r>
    </w:p>
    <w:bookmarkEnd w:id="41"/>
    <w:bookmarkStart w:name="z55" w:id="42"/>
    <w:p>
      <w:pPr>
        <w:spacing w:after="0"/>
        <w:ind w:left="0"/>
        <w:jc w:val="left"/>
      </w:pPr>
      <w:r>
        <w:rPr>
          <w:rFonts w:ascii="Times New Roman"/>
          <w:b/>
          <w:i w:val="false"/>
          <w:color w:val="000000"/>
        </w:rPr>
        <w:t xml:space="preserve"> 2. Размер оказания жилищной помощи.</w:t>
      </w:r>
    </w:p>
    <w:bookmarkEnd w:id="42"/>
    <w:bookmarkStart w:name="z56" w:id="43"/>
    <w:p>
      <w:pPr>
        <w:spacing w:after="0"/>
        <w:ind w:left="0"/>
        <w:jc w:val="both"/>
      </w:pPr>
      <w:r>
        <w:rPr>
          <w:rFonts w:ascii="Times New Roman"/>
          <w:b w:val="false"/>
          <w:i w:val="false"/>
          <w:color w:val="000000"/>
          <w:sz w:val="28"/>
        </w:rPr>
        <w:t>
      6. Доля предельно допустимых расходов в пределах установленных норм устанавливается для жителей Таласского района в размере 7 процентов от совокупного дохода семьи (гражданина).</w:t>
      </w:r>
    </w:p>
    <w:bookmarkEnd w:id="43"/>
    <w:bookmarkStart w:name="z57" w:id="44"/>
    <w:p>
      <w:pPr>
        <w:spacing w:after="0"/>
        <w:ind w:left="0"/>
        <w:jc w:val="both"/>
      </w:pPr>
      <w:r>
        <w:rPr>
          <w:rFonts w:ascii="Times New Roman"/>
          <w:b w:val="false"/>
          <w:i w:val="false"/>
          <w:color w:val="000000"/>
          <w:sz w:val="28"/>
        </w:rPr>
        <w:t>
      7.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p>
    <w:bookmarkEnd w:id="44"/>
    <w:bookmarkStart w:name="z58" w:id="45"/>
    <w:p>
      <w:pPr>
        <w:spacing w:after="0"/>
        <w:ind w:left="0"/>
        <w:jc w:val="both"/>
      </w:pP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p>
    <w:bookmarkEnd w:id="45"/>
    <w:bookmarkStart w:name="z59" w:id="46"/>
    <w:p>
      <w:pPr>
        <w:spacing w:after="0"/>
        <w:ind w:left="0"/>
        <w:jc w:val="both"/>
      </w:pPr>
      <w:r>
        <w:rPr>
          <w:rFonts w:ascii="Times New Roman"/>
          <w:b w:val="false"/>
          <w:i w:val="false"/>
          <w:color w:val="000000"/>
          <w:sz w:val="28"/>
        </w:rPr>
        <w:t>
      8. Назначение жилищной помощи малообеспеченным семьям (гражданам) производится в соответствии c нижеследующими нормами потребления:</w:t>
      </w:r>
    </w:p>
    <w:bookmarkEnd w:id="46"/>
    <w:bookmarkStart w:name="z60" w:id="47"/>
    <w:p>
      <w:pPr>
        <w:spacing w:after="0"/>
        <w:ind w:left="0"/>
        <w:jc w:val="both"/>
      </w:pPr>
      <w:r>
        <w:rPr>
          <w:rFonts w:ascii="Times New Roman"/>
          <w:b w:val="false"/>
          <w:i w:val="false"/>
          <w:color w:val="000000"/>
          <w:sz w:val="28"/>
        </w:rPr>
        <w:t>
      1) нормы площади жилья, обеспечиваемые компенсационными мерами:</w:t>
      </w:r>
    </w:p>
    <w:bookmarkEnd w:id="47"/>
    <w:bookmarkStart w:name="z61" w:id="48"/>
    <w:p>
      <w:pPr>
        <w:spacing w:after="0"/>
        <w:ind w:left="0"/>
        <w:jc w:val="both"/>
      </w:pPr>
      <w:r>
        <w:rPr>
          <w:rFonts w:ascii="Times New Roman"/>
          <w:b w:val="false"/>
          <w:i w:val="false"/>
          <w:color w:val="000000"/>
          <w:sz w:val="28"/>
        </w:rPr>
        <w:t>
      - для одиноких граждан – 30 квадратных метров, но не менее размера однокомнатной квартиры и не более фактически занимаемой площади;</w:t>
      </w:r>
    </w:p>
    <w:bookmarkEnd w:id="48"/>
    <w:bookmarkStart w:name="z62" w:id="49"/>
    <w:p>
      <w:pPr>
        <w:spacing w:after="0"/>
        <w:ind w:left="0"/>
        <w:jc w:val="both"/>
      </w:pPr>
      <w:r>
        <w:rPr>
          <w:rFonts w:ascii="Times New Roman"/>
          <w:b w:val="false"/>
          <w:i w:val="false"/>
          <w:color w:val="000000"/>
          <w:sz w:val="28"/>
        </w:rPr>
        <w:t>
      - для семьи из двух и более человек - 18 квадратных метров на каждого члена семьи до 72 квадратных метров, но не более фактически занимаемой площади.</w:t>
      </w:r>
    </w:p>
    <w:bookmarkEnd w:id="49"/>
    <w:bookmarkStart w:name="z63" w:id="50"/>
    <w:p>
      <w:pPr>
        <w:spacing w:after="0"/>
        <w:ind w:left="0"/>
        <w:jc w:val="both"/>
      </w:pPr>
      <w:r>
        <w:rPr>
          <w:rFonts w:ascii="Times New Roman"/>
          <w:b w:val="false"/>
          <w:i w:val="false"/>
          <w:color w:val="000000"/>
          <w:sz w:val="28"/>
        </w:rPr>
        <w:t>
      2) нормы потребления электроэнергии (в месяц):</w:t>
      </w:r>
    </w:p>
    <w:bookmarkEnd w:id="50"/>
    <w:bookmarkStart w:name="z64" w:id="51"/>
    <w:p>
      <w:pPr>
        <w:spacing w:after="0"/>
        <w:ind w:left="0"/>
        <w:jc w:val="both"/>
      </w:pPr>
      <w:r>
        <w:rPr>
          <w:rFonts w:ascii="Times New Roman"/>
          <w:b w:val="false"/>
          <w:i w:val="false"/>
          <w:color w:val="000000"/>
          <w:sz w:val="28"/>
        </w:rPr>
        <w:t>
      - на семью от одного до пяти человек – 80 киловатт на каждого члена семьи;</w:t>
      </w:r>
    </w:p>
    <w:bookmarkEnd w:id="51"/>
    <w:bookmarkStart w:name="z65" w:id="52"/>
    <w:p>
      <w:pPr>
        <w:spacing w:after="0"/>
        <w:ind w:left="0"/>
        <w:jc w:val="both"/>
      </w:pPr>
      <w:r>
        <w:rPr>
          <w:rFonts w:ascii="Times New Roman"/>
          <w:b w:val="false"/>
          <w:i w:val="false"/>
          <w:color w:val="000000"/>
          <w:sz w:val="28"/>
        </w:rPr>
        <w:t>
      - от пяти и более человек – 400 киловатт.</w:t>
      </w:r>
    </w:p>
    <w:bookmarkEnd w:id="52"/>
    <w:bookmarkStart w:name="z66" w:id="53"/>
    <w:p>
      <w:pPr>
        <w:spacing w:after="0"/>
        <w:ind w:left="0"/>
        <w:jc w:val="both"/>
      </w:pPr>
      <w:r>
        <w:rPr>
          <w:rFonts w:ascii="Times New Roman"/>
          <w:b w:val="false"/>
          <w:i w:val="false"/>
          <w:color w:val="000000"/>
          <w:sz w:val="28"/>
        </w:rPr>
        <w:t>
      Нормы расходов и их тарифы по водоснабжению, теплоснабжению, вывозу мусора, расходов на содержание жилья предоставляются поставщикам услуг.</w:t>
      </w:r>
    </w:p>
    <w:bookmarkEnd w:id="53"/>
    <w:bookmarkStart w:name="z67" w:id="54"/>
    <w:p>
      <w:pPr>
        <w:spacing w:after="0"/>
        <w:ind w:left="0"/>
        <w:jc w:val="both"/>
      </w:pPr>
      <w:r>
        <w:rPr>
          <w:rFonts w:ascii="Times New Roman"/>
          <w:b w:val="false"/>
          <w:i w:val="false"/>
          <w:color w:val="000000"/>
          <w:sz w:val="28"/>
        </w:rPr>
        <w:t xml:space="preserve">
      9. Компенсация повышения тарифов абонентской платы за телефон, подключенный к сети телекоммуникаций, производится в соответствии с утвержденным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w:t>
      </w:r>
    </w:p>
    <w:bookmarkEnd w:id="54"/>
    <w:bookmarkStart w:name="z68" w:id="55"/>
    <w:p>
      <w:pPr>
        <w:spacing w:after="0"/>
        <w:ind w:left="0"/>
        <w:jc w:val="left"/>
      </w:pPr>
      <w:r>
        <w:rPr>
          <w:rFonts w:ascii="Times New Roman"/>
          <w:b/>
          <w:i w:val="false"/>
          <w:color w:val="000000"/>
        </w:rPr>
        <w:t xml:space="preserve"> 3. Финансирование и порядок выплаты жилищной помощи.</w:t>
      </w:r>
    </w:p>
    <w:bookmarkEnd w:id="55"/>
    <w:bookmarkStart w:name="z69" w:id="56"/>
    <w:p>
      <w:pPr>
        <w:spacing w:after="0"/>
        <w:ind w:left="0"/>
        <w:jc w:val="both"/>
      </w:pPr>
      <w:r>
        <w:rPr>
          <w:rFonts w:ascii="Times New Roman"/>
          <w:b w:val="false"/>
          <w:i w:val="false"/>
          <w:color w:val="000000"/>
          <w:sz w:val="28"/>
        </w:rPr>
        <w:t>
      10. Выплата жилищной помощи осуществляется уполномоченным органом через банки второго уровня, а также через организации, осуществляющие отдельные виды банковской деятельности (поставщикам услуг) путем перечисление начисленных сумм на лицевые счета получателя жилищной помощи.</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