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76c" w14:textId="970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Бухар-Жырауского районного маслихата от 14 января 2020 года № 4 "О бюджетах сел, поселков и сельских округов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октября 2020 года № 5. Зарегистрировано Департаментом юстиции Карагандинской области 5 ноября 2020 года № 6068.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Бухар-Жырауского районного маслихата от 14 января 2020 года №4 "О бюджете сел, поселков и сельских округов района на 2020-2022 годы" (зарегистрировано в Реестре государственной регистрации нормативных правовых актов за №5686,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248 573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229 681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252 863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4 290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146 546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7 810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138 736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151 786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5 240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184 371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51 060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133 311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187 165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315 784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306 684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317 011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59 524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5 331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54 193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60 796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42 165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1 742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40 423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42 466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38 491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35 591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42 119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80 244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79 134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80 811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64 485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3 211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60 924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65 188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140 384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16 303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124 081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145 204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25 106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24 143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25 106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25 255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24 334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25 255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27 309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26 540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27 309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тысяч тенге.;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26 767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1 591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24 019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26 767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Кызылкаинского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36 227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34 987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36 227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тысяч тенге.;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31 558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1 850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761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28 947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31 558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Бухар-Жырауского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31 185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30 532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31 185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Гагаринского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33 456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32 285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33 456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41 301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2 989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36 914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41 301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31 721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615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30 359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31 721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Жанаталап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36 718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35 339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36 718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Тузды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48 235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47 141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48 235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Новоузенского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42 519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2 361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37 868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42 519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Самаркандского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80 686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2 257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78 429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80 686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Суыксу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21 770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21 441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21 770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Тогызкудукского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28 121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24 175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28 121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33 584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2 172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30 722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33 584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35 729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3 069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1 753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30 907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35 729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32 022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2 607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28 925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32 022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0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0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2020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2020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2020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2020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2020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2020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2020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2020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2020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2020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2020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2020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2020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2020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2020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2020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2020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2020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2020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2020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