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76d" w14:textId="110c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61 сессии Осакаровского районного маслихата от 30 декабря 2019 года № 790 "О бюджете поселков, сельских округов Осакаровского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июня 2020 года № 862. Зарегистрировано Департаментом юстиции Карагандинской области 26 июня 2020 года № 5912.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61 сессии Осакаровского районного маслихата от 30 декабря 2019 года № 790 "О бюджете поселков, сельских округов Осакаровского района на 2020-2022 годы" (зарегистрировано в Реестре государственной регистрации нормативных правовых актов за № 5655, опубликовано в Эталонном контрольном банке нормативных правовых актов Республики Казахстан в электронном виде 14 января 2020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1 198 248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1 171 749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1 208 658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10 410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10 410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356 079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347 898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361 952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5 873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5873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29 143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26 020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31 327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2 184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29 173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23 619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33 779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4 606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4 606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81 808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2 338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77 338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81 808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составе поступлений в бюджет Батпактинского сельского округа на 2020 год целевые трансферты из областного и районного бюджетов согласно приложению 20-1.";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22 206 тысяч тенге, в том числе по: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21 939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22 206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составе поступлений в бюджет сельского округа Сункар на 2020 год целевые трансферты из районного бюджета согласно приложению 23-1.";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19 353 тысяч тенге, в том числе по: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18 332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19 353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42 840 тысяч тенге, в том числе по: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41 688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42 840 тысяч тенге;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составе поступлений в бюджет Озерного сельского округа на 2020 год целевые трансферты из областного и районного бюджетов согласно приложению 29-1.";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21 709 тысяч тенге, в том числе по: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21 532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21 709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составе поступлений в бюджет Кундуздинского сельского округа на 2020 год целевые трансферты из районного бюджета согласно приложению 32-1.";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31 445 тысяч тенге, в том числе по: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30 216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31 445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38 618 тысяч тенге, в том числе по: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38 153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38 618 тысяч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26 564 тысяч тенге, в том числе по: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737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25 827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26 564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составе поступлений в бюджет Садового сельского округа на 2020 год целевые трансферты из районного бюджета согласно приложению 42-1.";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49 224 тысяч тенге, в том числе по: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603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48 621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49 224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22 841 тысяч тенге, в том числе по: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22 750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22 841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составе поступлений в бюджет сельского округа Жансары на 2020 год целевые трансферты из районного бюджета согласно приложению 50-1.";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30 272 тысяч тенге, в том числе по: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тысяч тенге;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30 037 тысяч тенге;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30 272 тысяч тенге;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30 788 тысяч тенге, в том числе по: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30 582 тысяч тенге;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30 788 тысяч тенге;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22 459 тысяч тенге, в том числе по: 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 тысяч тенге;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21 926 тысяч тенге;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22 459 тысяч тенге;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Предусмотреть в составе поступлений в бюджет Шидертинского сельского округа на 2020 год целевые трансферты из районного бюджета согласно приложению 61-1.";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25 010 тысяч тенге, в том числе по: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тысяч тенге;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24 525 тысяч тенге;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25 010 тысяч тенге;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Предусмотреть в составе поступлений в бюджет сельского округа Акбулак на 2020 год целевые трансферты из районного бюджета согласно приложению 64-1.";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22 512 тысяч тенге, в том числе по: 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1 282 тысяч тенге;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21 230 тысяч тенге;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22 512 тысяч тенге;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Предусмотреть в составе поступлений в бюджет Родниковского сельского округа на 2020 год целевые трансферты из районного бюджета согласно приложению 67-1.";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19 821 тысяч тенге, в том числе по: 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 тысяч тенге;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1 635 тысяч тенге;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17 429 тысяч тенге;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19 821 тысяч тенге;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Предусмотреть в составе поступлений в бюджет Тельманского сельского округа на 2020 год целевые трансферты из районного бюджета согласно приложению 70-1.";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20 297 тысяч тенге, в том числе по: 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 тысяч тенге;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тысяч тенге;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19 895 тысяч тенге;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20 297 тысяч тенге;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2020 год в следующих объемах: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23 264 тысяч тенге, в том числе по: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 тысяч тенге;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22 632 тысяч тенге;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23 264 тысяч тенге;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Предусмотреть в составе поступлений в бюджет Трудового сельского округа на 2020 год целевые трансферты из районного бюджета согласно приложению 77-1.";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30 572 тысяч тенге, в том числе по: 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 тысяч тенге;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тысяч тенге;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30 279 тысяч тенге;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30 572 тысяч тенге;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Предусмотреть в составе поступлений в бюджет Мирного сельского округа на 2020 год целевые трансферты из районного бюджета согласно приложению 80-1.";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Учесть в составе поступлений и расходов бюджета поселка на 2020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20-1, 23-1, 26-1, 29-1, 32-1, 35-1, 39, 42-1, 46, 50-1, 54, 58, 61-1, 64-1, 67-1, 70-1, 74, 77-1 и 80-1.";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48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0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Молодежный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0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0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1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1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1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2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2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2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2020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2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3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2020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3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3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4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2020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4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4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Сарыозек на 2020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5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2020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5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2020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5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5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6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6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2020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6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2020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7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7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7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8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83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2020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8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8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Батпактинского сельского округа на 2020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9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Сункар на 2020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9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2020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9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Озерного сельского округа на 2020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0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Кундуздинского сельского округа на 2020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0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2020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0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Садового сельского округа на 2020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1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Жансары на 2020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1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Шидертинского сельского округа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1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Акбулак на 2020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1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Родниковского сельского округа на 2020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2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Тельманского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2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Трудового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2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2020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