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ae52" w14:textId="187a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Тупкараганского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 октября 2020 года № 48/356. Зарегистрировано Департаментом юстиции Мангистауской области 8 октября 2020 года № 4309.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25 мая 2020 года №05-10-937, Тупкараганский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Тупкараганского районного маслихата согласно приложению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А.Берішбаева).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48/356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Тупкараганского районного маслихата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решении Тупкараганского районного маслихата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28/193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2646, опубликовано 6 апреля 2015 года в информационно-правовой системе "Әділет"):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Тупкараганский районный маслихат РЕШИЛ:".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решении Тупкараганского районного маслихата от 3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3164, опубликовано 4 ноября 2016 года в информационно-правовой системе "Әділет"):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"О специальном государственном пособии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решении Тупкараганского районного маслихата от 5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17/142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3534, опубликовано 12 марта 2018 года в Эталонном контрольном банке нормативных правовых актов Республики Казахстан):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"О специальном государственном пособии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решении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22/193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3695, опубликовано 7 августа 2018 года в Эталонном контрольном банке нормативных правовых актов Республики Казахстан):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"О специальном государственном пособии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