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a30d" w14:textId="407a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Горняцкий и Качар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10 января 2020 года № 420. Зарегистрировано Департаментом юстиции Костанайской области 14 января 2020 года № 8879.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Горняцкий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- 44 593,2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2 021,7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16,3 тысячи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42 555,2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44 593,2 тысячи тенге;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Рудного Костанайской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объемы бюджетных субвенций, передаваемых из городского бюджета города Рудного в бюджет поселка Горняцкий, на 2020 год составляют 32 192,0 тысячи тенге.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объемы бюджетных изъятий, передаваемых из бюджета поселка Горняцкий в городской бюджет города Рудного, на 2020 год составляют 0,0 тысяч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Качар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310 294,5 тысячи тенге, в том числе по: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26 791,2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502,0 тысячи тенге;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283 001,3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316 048,0 тысяч тенге;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-5 753,5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5 753,5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города Рудного Костанайской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11.12.2020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объемы бюджетных субвенций, передаваемых из городского бюджета города Рудного в бюджет поселка Качар, на 2020 год составляют 205 557,0 тысяч тенге.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объемы бюджетных изъятий, передаваемых из бюджета поселка Качар в городской бюджет города Рудного, на 2020 год составляют 0,0 тысяч тенге.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шестнадцатой очередной сессии, секретарь Рудненского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2020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Рудного Костанайской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