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c2a7" w14:textId="ab5c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декабря 2020 года № 548. Зарегистрировано Департаментом юстиции Костанайской области 29 декабря 2020 года № 9666.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26 602 734,7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22 802 926,0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50 295,1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72 158,0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3 677 355,6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27 512 716,6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940 470,9 тысячи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940 470,9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-1 850 452,8 тысячи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1 850 452,8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городского бюджета города Рудного в бюджеты поселков Горняцкий и Качар: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городского бюджета города Рудного в бюджеты поселков Горняцкий и Качар на 2021 год в сумме 86 234,0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33 413,0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52 821,0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городского бюджета города Рудного в бюджеты поселков Горняцкий и Качар на 2022 год в сумме 87 438,0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34 160,0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53 278,0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городского бюджета города Рудного в бюджеты поселков Горняцкий и Качар на 2023 год в сумме 88 106,0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34 774,0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53 332,0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объемы бюджетных изъятий, передаваемых из бюджетов поселков Горняцкий и Качар составляют на 2021 год – 0,0 тысяч тенге, на 2022 год – 0,0 тысяч тенге, на 2023 год - 0,0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на 2021 год в сумме 100 000,0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бюджетных программ на 2021 год, не подлежащих секвестру в процессе исполнения городского бюджета города Рудного не установлен.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двадцатой очередной сессии, 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26 602 734,7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27 512 716,6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30 021 357,6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29 363 914,7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Рудного Костанайской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