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d006" w14:textId="ff0d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4 апреля 2017 года № 70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4 мая 2020 года № 357. Зарегистрировано Департаментом юстиции Северо-Казахстанской области 5 мая 2020 года № 6289. Утратило силу решением маслихата Тайыншинского района Северо-Казахстанской области от 15 января 2021 года № 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15.01.2021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4 апреля 2017 года № 70 (опубликовано 26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4145)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04 мая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4 мая 2020 года № 357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3" w:id="4"/>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440"/>
        <w:gridCol w:w="248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прозывавшиеся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15 (пятнадцать) месячных расчетных показателей</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10 (десять) месячных расчетных показателей</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Многодетная семья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w:t>
            </w:r>
          </w:p>
          <w:bookmarkEnd w:id="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5 (пять) месячных расчетных показателей</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val="false"/>
                <w:i w:val="false"/>
                <w:color w:val="000000"/>
                <w:sz w:val="20"/>
              </w:rPr>
              <w:t>100 (сто) месячных расчетных показателей, за исключением 9 мая 2020 года;</w:t>
            </w:r>
            <w:r>
              <w:br/>
            </w:r>
            <w:r>
              <w:rPr>
                <w:rFonts w:ascii="Times New Roman"/>
                <w:b w:val="false"/>
                <w:i w:val="false"/>
                <w:color w:val="000000"/>
                <w:sz w:val="20"/>
              </w:rPr>
              <w:t>
1 000 000 (один миллион) тенге к 9 мая 2020 года</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34"/>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15 (пятнадцать) месячных расчетных показателей</w:t>
            </w:r>
          </w:p>
          <w:bookmarkEnd w:id="3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7 (семь) месячных расчетных показателей</w:t>
            </w:r>
          </w:p>
          <w:bookmarkEnd w:id="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xml:space="preserve">
1 раз в год </w:t>
            </w:r>
            <w:r>
              <w:br/>
            </w:r>
            <w:r>
              <w:rPr>
                <w:rFonts w:ascii="Times New Roman"/>
                <w:b w:val="false"/>
                <w:i w:val="false"/>
                <w:color w:val="000000"/>
                <w:sz w:val="20"/>
              </w:rPr>
              <w:t>
10 (десять) месячных расчетных показателей</w:t>
            </w:r>
          </w:p>
          <w:bookmarkEnd w:id="3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