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4fb" w14:textId="cad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Пихтовка, ручьев без названия №№ 1-3 и родников №№ 1-3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206. Зарегистрировано Департаментом юстиции Восточно-Казахстанской области 1 июля 2020 года № 7239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Пихтовка, ручьев без названия №№ 1-3, и родников №№ 1-3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Пихтовка, ручьев без названия №№ 1-3 и родников №№ 1-3 в районе Алтай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Пихтовка, ручьев без названия </w:t>
      </w:r>
      <w:r>
        <w:br/>
      </w:r>
      <w:r>
        <w:rPr>
          <w:rFonts w:ascii="Times New Roman"/>
          <w:b/>
          <w:i w:val="false"/>
          <w:color w:val="000000"/>
        </w:rPr>
        <w:t>№№ 1-3 и родников №№ 1-3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024"/>
        <w:gridCol w:w="1382"/>
        <w:gridCol w:w="2880"/>
        <w:gridCol w:w="2025"/>
        <w:gridCol w:w="1060"/>
        <w:gridCol w:w="1223"/>
      </w:tblGrid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260,6-584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162,6-500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левобережная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247-455,6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правобережная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272,5-317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100-191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115-272,5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