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85ab" w14:textId="c928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Актас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июня 2020 года № 207. Зарегистрировано Департаментом юстиции Восточно-Казахстанской области 2 июля 2020 года № 7247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</w:t>
      </w:r>
      <w:r>
        <w:rPr>
          <w:rFonts w:ascii="Times New Roman"/>
          <w:b w:val="false"/>
          <w:i w:val="false"/>
          <w:color w:val="000000"/>
          <w:sz w:val="28"/>
        </w:rPr>
        <w:t xml:space="preserve">ы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</w:t>
      </w:r>
      <w:r>
        <w:rPr>
          <w:rFonts w:ascii="Times New Roman"/>
          <w:b w:val="false"/>
          <w:i w:val="false"/>
          <w:color w:val="000000"/>
          <w:sz w:val="28"/>
        </w:rPr>
        <w:t xml:space="preserve">ы ручья Актас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Актас в Курчумском районе 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Актас в Курчумском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16"/>
        <w:gridCol w:w="2360"/>
        <w:gridCol w:w="1693"/>
        <w:gridCol w:w="1917"/>
        <w:gridCol w:w="1917"/>
        <w:gridCol w:w="1247"/>
      </w:tblGrid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