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076" w14:textId="7b79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октября 2020 года № 42/477-VI. Зарегистрировано Департаментом юстиции Восточно-Казахстанской области 2 ноября 2020 года № 7751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Восточно-Казахстанской области.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42/477-VI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Восточно-Казахстанского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19/148-VІІІ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Восточно-Казахстанской области (далее – Правила) разработаны в соответствии с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 20540) и определяют порядок выпаса сельскохозяйственных животных.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комплектования сельскохозяйственных животных в зависимости от вида, половозрастной группы и упитанности,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осуществляющее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всем пути перегона сельскохозяйственных животных не допускается смешивание групп.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Перегону на отгонные пастбища подлежат все виды и группы сельскохозяйственных животных,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Скотопрогоны определяются местным исполнительным органом районов (городов)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Радиус водопоя сельскохозяйственных животных на равнинной местности пастбищ составляет: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районов, города областного значения обеспечивают: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Акимы города районного значения, поселка, села, сельского округа перед началом пастбищного периода: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Владельцы сельскохозяйственных животных, либо уполномоченные ими лица организуют: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Нарушение настоящих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Восточно-Казахстанской области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