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fb00" w14:textId="3d1f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23 ноября 2020 года № 4236. Зарегистрировано Департаментом юстиции Восточно-Казахстанской области 27 ноября 2020 года № 7878</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(зарегистрирован в Реестре государственной регистрации нормативных правовых актов № 17847), акимат города Усть-Каменогорска ПОСТАНОВЛЯЕТ:</w:t>
      </w:r>
    </w:p>
    <w:bookmarkEnd w:id="1"/>
    <w:bookmarkStart w:name="z8" w:id="2"/>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объектов налогообложения в городе Усть-Каменогорске и территории, переданной в его административное подчинение,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города Усть-Каменогорска"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Усть-Каменогорска;</w:t>
      </w:r>
    </w:p>
    <w:bookmarkEnd w:id="5"/>
    <w:bookmarkStart w:name="z12"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Усть-Каменогорска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28 ноября 2019 года № 4769 "Об утверждении коэффициентов зонирования, учитывающих месторасположение объектов налогообложения в городе Усть-Каменогорске и территории, переданной в его административное подчинение" (зарегистрировано в Реестре государственной регистрации нормативных правовых актов 19 декабря 2019 года № 6410, опубликовано 25 декабря 2019 года в газете "Мой город", 24 декабря 2019 года в Эталонном контрольном банке нормативных правовых актов Республики Казахстан в электронном виде).</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Усть-Каменогорска Искакова А.М.</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с 1 января 2021 года.</w:t>
      </w:r>
    </w:p>
    <w:bookmarkEnd w:id="9"/>
    <w:tbl>
      <w:tblPr>
        <w:tblW w:w="0" w:type="auto"/>
        <w:tblCellSpacing w:w="0" w:type="auto"/>
        <w:tblBorders>
          <w:top w:val="none"/>
          <w:left w:val="none"/>
          <w:bottom w:val="none"/>
          <w:right w:val="none"/>
          <w:insideH w:val="none"/>
          <w:insideV w:val="none"/>
        </w:tblBorders>
      </w:tblPr>
      <w:tblGrid>
        <w:gridCol w:w="7830"/>
        <w:gridCol w:w="4170"/>
      </w:tblGrid>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r>
        <w:trPr>
          <w:trHeight w:val="30" w:hRule="atLeast"/>
        </w:trPr>
        <w:tc>
          <w:tcPr>
            <w:tcW w:w="783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r>
              <w:br/>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руководителя республиканского </w:t>
            </w:r>
            <w:r>
              <w:br/>
            </w:r>
            <w:r>
              <w:rPr>
                <w:rFonts w:ascii="Times New Roman"/>
                <w:b w:val="false"/>
                <w:i/>
                <w:color w:val="000000"/>
                <w:sz w:val="20"/>
              </w:rPr>
              <w:t xml:space="preserve">государственного учреждения </w:t>
            </w:r>
            <w:r>
              <w:br/>
            </w:r>
            <w:r>
              <w:rPr>
                <w:rFonts w:ascii="Times New Roman"/>
                <w:b w:val="false"/>
                <w:i/>
                <w:color w:val="000000"/>
                <w:sz w:val="20"/>
              </w:rPr>
              <w:t xml:space="preserve">"Управление государственных </w:t>
            </w:r>
            <w:r>
              <w:br/>
            </w:r>
            <w:r>
              <w:rPr>
                <w:rFonts w:ascii="Times New Roman"/>
                <w:b w:val="false"/>
                <w:i/>
                <w:color w:val="000000"/>
                <w:sz w:val="20"/>
              </w:rPr>
              <w:t xml:space="preserve">доходов по городу Усть-Каменогорск </w:t>
            </w:r>
            <w:r>
              <w:br/>
            </w:r>
            <w:r>
              <w:rPr>
                <w:rFonts w:ascii="Times New Roman"/>
                <w:b w:val="false"/>
                <w:i/>
                <w:color w:val="000000"/>
                <w:sz w:val="20"/>
              </w:rPr>
              <w:t xml:space="preserve">Департамента государственных доходов </w:t>
            </w:r>
            <w:r>
              <w:br/>
            </w:r>
            <w:r>
              <w:rPr>
                <w:rFonts w:ascii="Times New Roman"/>
                <w:b w:val="false"/>
                <w:i/>
                <w:color w:val="000000"/>
                <w:sz w:val="20"/>
              </w:rPr>
              <w:t xml:space="preserve">по Восточно-Казахстанской области </w:t>
            </w:r>
            <w:r>
              <w:br/>
            </w:r>
            <w:r>
              <w:rPr>
                <w:rFonts w:ascii="Times New Roman"/>
                <w:b w:val="false"/>
                <w:i/>
                <w:color w:val="000000"/>
                <w:sz w:val="20"/>
              </w:rPr>
              <w:t xml:space="preserve">Комитета государственных доходов </w:t>
            </w:r>
            <w:r>
              <w:br/>
            </w:r>
            <w:r>
              <w:rPr>
                <w:rFonts w:ascii="Times New Roman"/>
                <w:b w:val="false"/>
                <w:i/>
                <w:color w:val="000000"/>
                <w:sz w:val="20"/>
              </w:rPr>
              <w:t xml:space="preserve">Министерства финансов </w:t>
            </w:r>
            <w:r>
              <w:br/>
            </w:r>
            <w:r>
              <w:rPr>
                <w:rFonts w:ascii="Times New Roman"/>
                <w:b w:val="false"/>
                <w:i/>
                <w:color w:val="000000"/>
                <w:sz w:val="20"/>
              </w:rPr>
              <w:t xml:space="preserve">Республики Казахстан" </w:t>
            </w:r>
            <w:r>
              <w:br/>
            </w:r>
            <w:r>
              <w:rPr>
                <w:rFonts w:ascii="Times New Roman"/>
                <w:b/>
                <w:i/>
                <w:color w:val="000000"/>
                <w:sz w:val="20"/>
              </w:rPr>
              <w:t>"____"__________2020 года</w:t>
            </w:r>
            <w:r>
              <w:rPr>
                <w:rFonts w:ascii="Times New Roman"/>
                <w:b w:val="false"/>
                <w:i/>
                <w:color w:val="000000"/>
                <w:sz w:val="20"/>
              </w:rPr>
              <w:t xml:space="preserve"> </w:t>
            </w:r>
            <w:r>
              <w:br/>
            </w:r>
            <w:r>
              <w:rPr>
                <w:rFonts w:ascii="Times New Roman"/>
                <w:b w:val="false"/>
                <w:i/>
                <w:color w:val="000000"/>
                <w:sz w:val="20"/>
              </w:rPr>
              <w:t xml:space="preserve">_____________________ </w:t>
            </w:r>
            <w:r>
              <w:rPr>
                <w:rFonts w:ascii="Times New Roman"/>
                <w:b w:val="false"/>
                <w:i w:val="false"/>
                <w:color w:val="000000"/>
                <w:sz w:val="20"/>
              </w:rPr>
              <w:t>
</w:t>
            </w:r>
          </w:p>
        </w:tc>
        <w:tc>
          <w:tcPr>
            <w:tcW w:w="417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Бабышев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 города Усть-Каменогорска </w:t>
            </w:r>
            <w:r>
              <w:br/>
            </w:r>
            <w:r>
              <w:rPr>
                <w:rFonts w:ascii="Times New Roman"/>
                <w:b w:val="false"/>
                <w:i w:val="false"/>
                <w:color w:val="000000"/>
                <w:sz w:val="20"/>
              </w:rPr>
              <w:t>от 23 ноября 2020 года № 4236</w:t>
            </w:r>
          </w:p>
        </w:tc>
      </w:tr>
    </w:tbl>
    <w:bookmarkStart w:name="z19" w:id="10"/>
    <w:p>
      <w:pPr>
        <w:spacing w:after="0"/>
        <w:ind w:left="0"/>
        <w:jc w:val="left"/>
      </w:pPr>
      <w:r>
        <w:rPr>
          <w:rFonts w:ascii="Times New Roman"/>
          <w:b/>
          <w:i w:val="false"/>
          <w:color w:val="000000"/>
        </w:rPr>
        <w:t xml:space="preserve"> Коэффициенты зонирования, учитывающие месторасположение объектов налогообложения в городе Усть-Каменогорске и территории, переданной в его административное подчинение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9312"/>
        <w:gridCol w:w="595"/>
        <w:gridCol w:w="666"/>
        <w:gridCol w:w="596"/>
        <w:gridCol w:w="597"/>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участка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индивидуальных жилых домов</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1: территория дачного массива, находящегося южнее аэропорта, за исключением дач, находящихся юго-восточнее массива Прохладный.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1: территория массива Старая Согра от берега реки Ульба до улицы Охотской. С улицы Охотской граница участка проходит на север по переулку Вешнему до пересечения с улицей Дружинников, затем до пересечения с улицей Целиноградской до улицы Согринской. Далее по улице Согринской до жилого массива Новый подхоз и Старый подхоз, включая их территории. В состав данного участка также вошли земли жилого массива Новая гавань и дачного массива, находящегося рядом с ним, а также район жилого массива Мельзавод 10-й.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2: территория полуострова Комендантский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2: территория города, граничащая с северной стороны с промышленным узлом в следующих границах: от улицы Бажова по границе территории промышленного предприятия до проспекта Нурсултана Назарбаева, затем по проспекту до пересечения с улицей Белинского, с улицей Михаэлиса, далее до улицы Алматинской. Затем в северо-восточную сторону до проспекта Шәкәріма, по проспекту Шәкәріма до пересечения с улицей Красина, до переулка Саратовского, улицы Роза Люксембург и до улицы Тихой, исключая многоэтажную застройку. Далее граница проходит по левому берегу реки Ульба до проспекта Абая, затем на юг до пересечения с улицей Тракторной и вдоль нее до промышленного узла.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2: территория массива Прохладный, а также район частного сектора. Границы оценочной зоны проходят вдоль переулка 2-й Паровозный, до улицы Деповской, затем до пересечения с переулком 1-й Паровозный, до улицы Элеваторной, вдоль нее до улицы Грейдерной и до улицы Вытяжной тупик, затем по улице Нефтяной до переулка Западный и до проспекта Нурсултана Назарбаева. Далее по проспекту Нурсултана Назарбаева до улицы Мостовой, по улице Сафонова до улицы Гурьевской, по переулку Целинный до улицы Пограничной и по реке Иртыш. Далее границы оценочной зоны проходят вдоль правого берега реки Иртыш до дачного массива, находящегося южнее аэропорта, и до района Прохладный.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4 оценочной зоны N 2: территория жилого района Защита и промышленного узла с юго-восточной стороны.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3: территория жилого района Новая Согра в границах улиц Охотская (Согринская) до переулка Вешнего и до улицы Егорова, до улицы Менделеева, включая многоэтажную застройку.</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3: территория дачного массива, находящегося северо-западнее поселка Мирный.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3: территория дачного массива, находящегося юго-западнее поселка Мирный.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4 оценочной зоны N 3: территория дачного массива, находящегося на правом берегу реки Иртыш южнее жилого массива Аблакетка и территория товарищества с ограниченной ответственностью "Усть-Каменогорский конденсаторный завод".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5 оценочной зоны N 3: территория жилых массивов в районах аэропорта и Кирзавода.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4: территория жилого массива Мирный и территория акционерного общества "Востокмашзавод". Границы участка проходят вдоль проспекта Нурсултана Назарбаева до пересечения с бульваром Гагарина, вдоль парка Металлургов, исключая его территорию, до улицы Виноградова, затем вдоль нее до пересечения с улицей Белинского, далее по улице Михаэлиса до улицы Алматинской, до улицы 30-й Гвардейской Дивизии, улицы Карбышева, затем вдоль правого берега реки Иртыш до улицы Актюбинской, вдоль дачного массива до улицы Дружбы, до улицы Целинной вдоль частного сектора до улицы Сафонова и по переулку Лопатинский до проспекта Нурсултана Назарбаева.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4: территория поселка имени Красина, гаражные кооперативы и другие объекты.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4: территория индивидуальной жилой застройки северо-восточной части жилого массива Аблакетка в пределах улицы Северной, а также дачные массивы в районе Лесхоза.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5: территория левого берега реки Иртыш в границах улицы Иртышской до пересечения с проспектом имени Каныша Сатпаева до 14 жилого района (район КШТ), вдоль границы поселка Металлург до улицы Прииртышской, далее по левому берегу реки Иртыш.</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5: территория промышленных предприятий и дачного массива в северо-восточной части города в границах улицы Согринской, улицы Егорова, вдоль нее до улицы Менделеева и до переулка Вешнего.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5: территория жилого массива Шмелев лог в границах улицы Мызы до побережья реки Ульба.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4 оценочной зоны N 5: территория промышленных объектов, находящихся с южной стороны от железной дороги в границах улицы Деповской до 1-го Паровозного переулка, до улицы Нефтяной, включая железнодорожную ветку со всеми объектами.</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5 оценочной зоны N 5: территория жилого массива Лесозавод от правого берега реки Иртыш до дачного массива, находящегося восточнее массива Лесозавод.</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6: территория производственных объектов в районе акционерного общества "Усть-Каменогорский арматурный завод", территории отстойников, поселок Загородный и дачный массив, находящийся северо-западнее массива Старая Согра.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6: территория жилого массива 14 жилого района (район КШТ), 23-го жилого района, дачные массивы.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3 оценочной зоны N 6: территория жилого массива Аблакетка в границах улицы Северной, дачного массива до правого берега реки Иртыш.</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7: территория поселка Металлург и поселка Ульбинский, до левого берега реки Иртыш. В данный участок не входит дачный массив.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7: территория Северного промышленного узла.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1 оценочной зоны N 8: территория центральной части города микрорайона Стрелка в границах набережной имени Е.П. Славского до улицы имени Александра Протозанова, до улицы Мызы. Далее по улице Новаторов, по улице имени Кабанбая батыра, вдоль правого берега реки Иртыш до набережной имени Е.П. Славского.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N 2 оценочной зоны N 8: Центральная часть города в районе дворца Спорта, территорию от проспекта Абая до улицы Космической, от проспекта Шәкәрім до улицы Красина, до левого берега реки Ульба. Далее граница участка проходит вдоль берега до улицы Астаны, включая в себя территорию Студенческого городка.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Меновное.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Ново-Троицкое.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Ново-Явленка.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Ново-Ахмирово.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Ахмирово.</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Самсоновка.</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Прудхоз.</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