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5024" w14:textId="ac9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декабря 2019 года № 38/2-VI "О бюджете города Риддера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октября 2020 года № 48/2-VI. Зарегистрировано Департаментом юстиции Восточно-Казахстанской области 28 октября 2020 года № 7734. Утратило силу - решением Риддерского городского маслихата Восточно-Казахстанской области от 25 декабря 2020 года № 50/3-VI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7648),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38/2-VI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8829298,2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3479358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46377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5291863,2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9058396,0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112023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- 112023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-341121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341121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278357,8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86586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149349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2020 год нормативы распределения доходов в бюджет города,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 в размере 84,4 процентов;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индивидуальному подоходному налогу с доходов иностранных граждан, не облагаемых у источника выплаты, индивидуальному подоходному налогу с доходов, не облагаемых у источника выплаты в размере 100 процентов.";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2020 год в размере 29488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размере 239216,5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2020 год целевые трансферты на развитие из областного бюджета в размере 90947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размере 1259859,7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городском бюджете на 2020 год кредиты из областного бюджета для финансирования мер в рамках Дорожной карты занятости в размере 278357,8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Предусмотреть в городском бюджете на 2020 год трансферты на компенсацию потерь в связи со снижением налоговой нагрузки для субъектов малого и среднего бизнеса в размере 287712 тыс.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8829298,2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781487,5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781487,5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1192530,5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5291863,2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5291863,2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5291863,2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804509,1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