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636c" w14:textId="b856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23 апреля 2020 года № 219. Зарегистрировано Департаментом юстиции Восточно-Казахстанской области 29 апреля 2020 года № 7031. Утратило силу - Постановлением акимата Аягозского района Восточно-Казахстанской области от 16 апреля 2021 года № 366.</w:t>
      </w:r>
    </w:p>
    <w:p>
      <w:pPr>
        <w:spacing w:after="0"/>
        <w:ind w:left="0"/>
        <w:jc w:val="both"/>
      </w:pPr>
      <w:bookmarkStart w:name="z5" w:id="0"/>
      <w:r>
        <w:rPr>
          <w:rFonts w:ascii="Times New Roman"/>
          <w:b w:val="false"/>
          <w:i w:val="false"/>
          <w:color w:val="ff0000"/>
          <w:sz w:val="28"/>
        </w:rPr>
        <w:t xml:space="preserve">
      Сноска. Утратило силу - Постановлением акимата Аягозского района Восточно-Казахстанской области от 16.04.2021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Аягозского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Аягозского района от 11 февраля 2019 года № 71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номером 5-6-196, опубликовано в Эталонном контрольном банке нормативных правовых актов Республики Казахстан в электронном виде 14 февраля 2019 года).</w:t>
      </w:r>
    </w:p>
    <w:bookmarkEnd w:id="3"/>
    <w:bookmarkStart w:name="z10" w:id="4"/>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Аягозского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 такое право на конкурсной основе, в порядке, определяемом Правительством Республики Казахстан;</w:t>
      </w:r>
    </w:p>
    <w:bookmarkEnd w:id="6"/>
    <w:bookmarkStart w:name="z13" w:id="7"/>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Аягозского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Сулейменова Б.</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акиматаАягозского района </w:t>
            </w:r>
            <w:r>
              <w:br/>
            </w:r>
            <w:r>
              <w:rPr>
                <w:rFonts w:ascii="Times New Roman"/>
                <w:b w:val="false"/>
                <w:i w:val="false"/>
                <w:color w:val="000000"/>
                <w:sz w:val="20"/>
              </w:rPr>
              <w:t>от "23" апреля 2020 года № 219</w:t>
            </w:r>
          </w:p>
        </w:tc>
      </w:tr>
    </w:tbl>
    <w:bookmarkStart w:name="z18"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5464"/>
        <w:gridCol w:w="1647"/>
        <w:gridCol w:w="2951"/>
        <w:gridCol w:w="1217"/>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управления здравоохранения Восточно-Казахстанской области "Аягозская центральная районная больница"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