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d352" w14:textId="2d1d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55/539-VI. Зарегистрировано Департаментом юстиции Восточно-Казахстанской области 5 января 2021 года № 8310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43470,4тысяч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–14,6тысяч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14,6тысяч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8/140-VIІ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8/140-VIІ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55/539-VI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46/353-VI "О внесении изменений в решение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6979,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 48/389-VI "О внесении изменений в решение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7176,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52/455-VI "О внесении изменений в решение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7565, опубликовано в Эталонном контрольном банке нормативных правовых актов Республики Казахстан в электронном виде 24 сентября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 53/487-VI "О внесении изменений в решение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7820,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 54/513-VI "О внесении изменений в решение Аягозского районного маслихата от 10 января 2020 года № 43/310-VІ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7942,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