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28ec" w14:textId="8632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Мамырсуского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55/545-VI. Зарегистрировано Департаментом юстиции Восточно-Казахстанской области 5 января 2021 года № 8315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Мамырсуского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1доходы – 51198,0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9/175-VIІ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55/545-VI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43/316-VІ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6586,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 46/359-VI "О внесении изменений в решение Аягозского районного маслихата от 10 января 2020 года № 43/316-VІ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6972,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 48/393-VI "О внесении изменений в решение Аягозского районного маслихата от 10 января 2020 года № 43/316-VІ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7184, опубликовано в Эталонном контрольном банке нормативных правовых актов Республики Казахстан в электронном виде 16 июня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 52/461-VI "О внесении изменений в решение Аягозского районного маслихата от 10 января 2020 года № 43/316-VІ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7576, опубликовано в Эталонном контрольном банке нормативных правовых актов Республики Казахстан в электронном виде 28 сентября 2020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 53/491-VI "О внесении изменений в решение Аягозского районного маслихата от 10 января 2020 года № 43/316-VІ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7834, опубликовано в Эталонном контрольном банке нормативных правовых актов Республики Казахстан в электронном виде 19 ноября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