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360953" w14:textId="836095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на 2020-2021 годы по Зайсанскому району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Зайсанского районного маслихата Восточно-Казахстанской области от 26 июня 2020 года № 56-4. Зарегистрировано Департаментом юстиции Восточно-Казахстанской области 9 июля 2020 года № 7303</w:t>
      </w:r>
    </w:p>
    <w:p>
      <w:pPr>
        <w:spacing w:after="0"/>
        <w:ind w:left="0"/>
        <w:jc w:val="both"/>
      </w:pPr>
      <w:bookmarkStart w:name="z5" w:id="0"/>
      <w:r>
        <w:rPr>
          <w:rFonts w:ascii="Times New Roman"/>
          <w:b w:val="false"/>
          <w:i w:val="false"/>
          <w:color w:val="ff0000"/>
          <w:sz w:val="28"/>
        </w:rPr>
        <w:t>
      Примечание ИЗПИ.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ff0000"/>
          <w:sz w:val="28"/>
        </w:rPr>
        <w:t>В тексте документа сохранена пунктуация и орфография оригинала.</w:t>
      </w:r>
    </w:p>
    <w:bookmarkEnd w:id="0"/>
    <w:bookmarkStart w:name="z7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статьями 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пастбищах", подпунктом 15) пункта 1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 Зайсанский районный маслихат РЕШИЛ:</w:t>
      </w:r>
    </w:p>
    <w:bookmarkEnd w:id="1"/>
    <w:bookmarkStart w:name="z8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на 2020-2021 годы по Зайсанскому району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2"/>
    <w:bookmarkStart w:name="z9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Признать утратившим силу решение Зайсанского районного маслихата от 22 июня 2018 года </w:t>
      </w:r>
      <w:r>
        <w:rPr>
          <w:rFonts w:ascii="Times New Roman"/>
          <w:b w:val="false"/>
          <w:i w:val="false"/>
          <w:color w:val="000000"/>
          <w:sz w:val="28"/>
        </w:rPr>
        <w:t>№ 27-9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плана по управлению пастбищами и их использованию на 2018-2019 годы по Зайсанскому району" (зарегистрировано в Реестре государственной регистрации нормативных правовых актов за номером 5-11-161, опубликовано в Эталонном контрольном банке нормативных правовых актов Республики Казахстан в электронном виде от 27 июля 2018 года).</w:t>
      </w:r>
    </w:p>
    <w:bookmarkEnd w:id="3"/>
    <w:bookmarkStart w:name="z1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сессии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Т. Тусупов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Секретарь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Д. Ыдырышев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Зайсанского районного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маслихата от 26 июня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года № 56-4</w:t>
            </w:r>
          </w:p>
        </w:tc>
      </w:tr>
    </w:tbl>
    <w:bookmarkStart w:name="z14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на 2020-2021 годы по Зайсанскому району</w:t>
      </w:r>
    </w:p>
    <w:bookmarkEnd w:id="5"/>
    <w:bookmarkStart w:name="z1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Зайсанскому району на 2020-2021 годы (далее - План) разработан в соответствии с Законами Республики Казахстан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в Рес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(зарегистрировано в Реестре государственной регистрации нормативных правовых актов за номером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(зарегистрировано в Реестре государственной регистрации нормативных правовых актов за номером 11064).</w:t>
      </w:r>
    </w:p>
    <w:bookmarkEnd w:id="6"/>
    <w:bookmarkStart w:name="z1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7"/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8"/>
    <w:bookmarkStart w:name="z1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Плана;</w:t>
      </w:r>
    </w:p>
    <w:bookmarkEnd w:id="9"/>
    <w:bookmarkStart w:name="z1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приемлемые схемы пастбищеоборотов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Плана;</w:t>
      </w:r>
    </w:p>
    <w:bookmarkEnd w:id="10"/>
    <w:bookmarkStart w:name="z2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карту с обозначением внешних и внутренних границ и площадей пастбищ, в том числе сезонных, объектов пастбищной инфраструктуры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Плана;</w:t>
      </w:r>
    </w:p>
    <w:bookmarkEnd w:id="11"/>
    <w:bookmarkStart w:name="z2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Плана;</w:t>
      </w:r>
    </w:p>
    <w:bookmarkEnd w:id="12"/>
    <w:bookmarkStart w:name="z2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Плана;</w:t>
      </w:r>
    </w:p>
    <w:bookmarkEnd w:id="13"/>
    <w:bookmarkStart w:name="z2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Плана;</w:t>
      </w:r>
    </w:p>
    <w:bookmarkEnd w:id="14"/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календарный график по использованию пастбищ, устанавливающий сезонные маршруты выпаса и передвижения сельскохозяйственных животных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Плана;</w:t>
      </w:r>
    </w:p>
    <w:bookmarkEnd w:id="15"/>
    <w:bookmarkStart w:name="z2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bookmarkEnd w:id="16"/>
    <w:bookmarkStart w:name="z2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17"/>
    <w:bookmarkStart w:name="z2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Зайсанском районе имеются 1 городской и 8 сельских округов, 37 сельских населенных пункта.</w:t>
      </w:r>
    </w:p>
    <w:bookmarkEnd w:id="18"/>
    <w:bookmarkStart w:name="z2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Зайсанского района 1 044 424 га, из них пастбищные земли – 747 944 га, орошаемые земли – 28 562 га.</w:t>
      </w:r>
    </w:p>
    <w:bookmarkEnd w:id="19"/>
    <w:bookmarkStart w:name="z29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20"/>
    <w:bookmarkStart w:name="z3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сельскохозяйственного угодья – 837 100 га;</w:t>
      </w:r>
    </w:p>
    <w:bookmarkEnd w:id="21"/>
    <w:bookmarkStart w:name="z3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68 853 га;</w:t>
      </w:r>
    </w:p>
    <w:bookmarkEnd w:id="22"/>
    <w:bookmarkStart w:name="z3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- 3 500 га;</w:t>
      </w:r>
    </w:p>
    <w:bookmarkEnd w:id="23"/>
    <w:bookmarkStart w:name="z3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 – 88 077 га;</w:t>
      </w:r>
    </w:p>
    <w:bookmarkEnd w:id="24"/>
    <w:bookmarkStart w:name="z3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– 54 571 га;</w:t>
      </w:r>
    </w:p>
    <w:bookmarkEnd w:id="25"/>
    <w:bookmarkStart w:name="z35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238 212 га.</w:t>
      </w:r>
    </w:p>
    <w:bookmarkEnd w:id="26"/>
    <w:bookmarkStart w:name="z3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резко континентальный, отличается с большими суточными амплитудами температуры воздуха. По климатическим условиям территория района относится к пустынно-степной и горным зонам. Приблизительно 45 % территории района является горным. Занимая всю южную часть района горы Сауыр, Сайхан и Манырак тянутся с востока на запад до гор Тарбагатая. Высшая точка горы Сауыр (Мұзтау) достигает 3800 метра. Гора Манырак примерно 1900 метр. Почвенный слой представлены из плодородного горного чернозема, горными темно-каштановыми и горными светло-каштановыми почвами.</w:t>
      </w:r>
    </w:p>
    <w:bookmarkEnd w:id="27"/>
    <w:bookmarkStart w:name="z3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Степная, луговая зона занимает центральную и северо-западную часть района. Составляет приблизительно 35-40% территории района. Пахотные и сенокосные угодья в основном расположены в этом районе. Почвенный слой в основном низкопродуктивные светлокаштановые почвы.</w:t>
      </w:r>
    </w:p>
    <w:bookmarkEnd w:id="28"/>
    <w:bookmarkStart w:name="z38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Полупустынные регионы занимает северо-восток от района, что составляет примерно 15-20% от всей площади. В этих местах расположены песчаные массивы Акжон и Кабыргатал.</w:t>
      </w:r>
    </w:p>
    <w:bookmarkEnd w:id="29"/>
    <w:bookmarkStart w:name="z39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действуют 9 ветеринарных пунктов, 21 скотомогильников и 125 колодцев. Половины этих колодцев требует реконструкций.</w:t>
      </w:r>
    </w:p>
    <w:bookmarkEnd w:id="30"/>
    <w:bookmarkStart w:name="z40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в Зайсанском районе насчитывается 79591 голов крупного скота, 88148 голов мелкого скота, 30650 голов лошадей , из них у подсобного хозяйства 41637 голов крупного скота, 54853 голов мелкого скота, 9298 голов лошадей.</w:t>
      </w:r>
    </w:p>
    <w:bookmarkEnd w:id="31"/>
    <w:bookmarkStart w:name="z4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Зайсанскому району имеются всего 747 944 га пастбищных угодий. В черте населенного пункта числится 61 266 га пастбищ.</w:t>
      </w:r>
    </w:p>
    <w:bookmarkEnd w:id="32"/>
    <w:bookmarkStart w:name="z42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некоторых сельских округах в связи с ростом поголовья скота на личных подворьях ощущается недостаток 27320 га пастбищных угодий.</w:t>
      </w:r>
    </w:p>
    <w:bookmarkEnd w:id="33"/>
    <w:bookmarkStart w:name="z4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Необходимая площадь пастбища на одну голову животного рассчитана на 12 месяцев и учитывая длительность пастбищного периода в районе, в плане продолжительность пастбищного периода для крупного скота принято 7 месяцев, для овец и коз 8 месяцев и для лошадей 12 месяцев. Крупные и мелкие скоты остальные 4-5 месяцев в году будут находиться на стойловом содержании.</w:t>
      </w:r>
    </w:p>
    <w:bookmarkEnd w:id="34"/>
    <w:bookmarkStart w:name="z4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Закону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пастбищеоборот – это система периодического и последовательного использования пастбищ и ухода за ними для поддержания их в продуктивном состоянии в соответствии с планом по управлению пастбищами и их использованию.</w:t>
      </w:r>
    </w:p>
    <w:bookmarkEnd w:id="35"/>
    <w:bookmarkStart w:name="z45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подготовке схемы пастбищного оборота ежегодно рассматривается замена порядка использования пастбищами. Так же учитываются природные особенности пастбищ и хозяйственные условия пользователей пастбищ.</w:t>
      </w:r>
    </w:p>
    <w:bookmarkEnd w:id="3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Зайсанскому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2020-2021 годы</w:t>
            </w:r>
          </w:p>
        </w:tc>
      </w:tr>
    </w:tbl>
    <w:bookmarkStart w:name="z47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7"/>
    <w:bookmarkStart w:name="z48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10500" cy="899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Зайсанскому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2020-2021 годы</w:t>
            </w:r>
          </w:p>
        </w:tc>
      </w:tr>
    </w:tbl>
    <w:bookmarkStart w:name="z50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39"/>
    <w:bookmarkStart w:name="z51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810500" cy="872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Зайсанскому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2020-2021 годы</w:t>
            </w:r>
          </w:p>
        </w:tc>
      </w:tr>
    </w:tbl>
    <w:bookmarkStart w:name="z53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 с обозначением внешних и внутренних границ и площадей пастбищ, в том числе сезонных, объектов пастбищной инфраструктуры</w:t>
      </w:r>
    </w:p>
    <w:bookmarkEnd w:id="41"/>
    <w:bookmarkStart w:name="z54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810500" cy="858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Зайсанскому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2020-2021 годы</w:t>
            </w:r>
          </w:p>
        </w:tc>
      </w:tr>
    </w:tbl>
    <w:bookmarkStart w:name="z56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43"/>
    <w:bookmarkStart w:name="z57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810500" cy="891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Зайсанскому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2020-2021 годы</w:t>
            </w:r>
          </w:p>
        </w:tc>
      </w:tr>
    </w:tbl>
    <w:bookmarkStart w:name="z59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45"/>
    <w:bookmarkStart w:name="z60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810500" cy="952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Зайсанскому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2020-2021 годы</w:t>
            </w:r>
          </w:p>
        </w:tc>
      </w:tr>
    </w:tbl>
    <w:bookmarkStart w:name="z62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47"/>
    <w:bookmarkStart w:name="z63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7810500" cy="947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7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Зайсанскому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2020-2021 годы</w:t>
            </w:r>
          </w:p>
        </w:tc>
      </w:tr>
    </w:tbl>
    <w:bookmarkStart w:name="z65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4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37"/>
        <w:gridCol w:w="2419"/>
        <w:gridCol w:w="3472"/>
        <w:gridCol w:w="3472"/>
      </w:tblGrid>
      <w:tr>
        <w:trPr>
          <w:trHeight w:val="30" w:hRule="atLeast"/>
        </w:trPr>
        <w:tc>
          <w:tcPr>
            <w:tcW w:w="2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№  </w:t>
            </w:r>
          </w:p>
        </w:tc>
        <w:tc>
          <w:tcPr>
            <w:tcW w:w="2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Городские и сельские округа</w:t>
            </w:r>
          </w:p>
        </w:tc>
        <w:tc>
          <w:tcPr>
            <w:tcW w:w="3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на отдаленные пастбища</w:t>
            </w:r>
          </w:p>
        </w:tc>
        <w:tc>
          <w:tcPr>
            <w:tcW w:w="3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отдаленных пастбищ</w:t>
            </w:r>
          </w:p>
        </w:tc>
      </w:tr>
      <w:tr>
        <w:trPr>
          <w:trHeight w:val="30" w:hRule="atLeast"/>
        </w:trPr>
        <w:tc>
          <w:tcPr>
            <w:tcW w:w="2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Айнабулакский сельский округ</w:t>
            </w:r>
          </w:p>
        </w:tc>
        <w:tc>
          <w:tcPr>
            <w:tcW w:w="3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Апрель-Июнь</w:t>
            </w:r>
          </w:p>
        </w:tc>
        <w:tc>
          <w:tcPr>
            <w:tcW w:w="3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</w:tr>
      <w:tr>
        <w:trPr>
          <w:trHeight w:val="30" w:hRule="atLeast"/>
        </w:trPr>
        <w:tc>
          <w:tcPr>
            <w:tcW w:w="2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Биржанский сельский округ</w:t>
            </w:r>
          </w:p>
        </w:tc>
        <w:tc>
          <w:tcPr>
            <w:tcW w:w="3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Апрель-Июнь</w:t>
            </w:r>
          </w:p>
        </w:tc>
        <w:tc>
          <w:tcPr>
            <w:tcW w:w="3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</w:tr>
      <w:tr>
        <w:trPr>
          <w:trHeight w:val="30" w:hRule="atLeast"/>
        </w:trPr>
        <w:tc>
          <w:tcPr>
            <w:tcW w:w="2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Дайырский сельский округ</w:t>
            </w:r>
          </w:p>
        </w:tc>
        <w:tc>
          <w:tcPr>
            <w:tcW w:w="3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Апрель-Июнь</w:t>
            </w:r>
          </w:p>
        </w:tc>
        <w:tc>
          <w:tcPr>
            <w:tcW w:w="3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</w:tr>
      <w:tr>
        <w:trPr>
          <w:trHeight w:val="30" w:hRule="atLeast"/>
        </w:trPr>
        <w:tc>
          <w:tcPr>
            <w:tcW w:w="2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Карабулакский сельский округ</w:t>
            </w:r>
          </w:p>
        </w:tc>
        <w:tc>
          <w:tcPr>
            <w:tcW w:w="3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Апрель-Июнь</w:t>
            </w:r>
          </w:p>
        </w:tc>
        <w:tc>
          <w:tcPr>
            <w:tcW w:w="3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</w:tr>
      <w:tr>
        <w:trPr>
          <w:trHeight w:val="30" w:hRule="atLeast"/>
        </w:trPr>
        <w:tc>
          <w:tcPr>
            <w:tcW w:w="2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Каратальский сельский округ</w:t>
            </w:r>
          </w:p>
        </w:tc>
        <w:tc>
          <w:tcPr>
            <w:tcW w:w="3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Апрель-Июнь</w:t>
            </w:r>
          </w:p>
        </w:tc>
        <w:tc>
          <w:tcPr>
            <w:tcW w:w="3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</w:tr>
      <w:tr>
        <w:trPr>
          <w:trHeight w:val="30" w:hRule="atLeast"/>
        </w:trPr>
        <w:tc>
          <w:tcPr>
            <w:tcW w:w="2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Кенсайский сельский округ</w:t>
            </w:r>
          </w:p>
        </w:tc>
        <w:tc>
          <w:tcPr>
            <w:tcW w:w="3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Апрель-Июнь</w:t>
            </w:r>
          </w:p>
        </w:tc>
        <w:tc>
          <w:tcPr>
            <w:tcW w:w="3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</w:tr>
      <w:tr>
        <w:trPr>
          <w:trHeight w:val="30" w:hRule="atLeast"/>
        </w:trPr>
        <w:tc>
          <w:tcPr>
            <w:tcW w:w="2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Сартерекский сельский округ</w:t>
            </w:r>
          </w:p>
        </w:tc>
        <w:tc>
          <w:tcPr>
            <w:tcW w:w="3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Апрель-Июнь</w:t>
            </w:r>
          </w:p>
        </w:tc>
        <w:tc>
          <w:tcPr>
            <w:tcW w:w="3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</w:tr>
      <w:tr>
        <w:trPr>
          <w:trHeight w:val="30" w:hRule="atLeast"/>
        </w:trPr>
        <w:tc>
          <w:tcPr>
            <w:tcW w:w="2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Шиликтинский сельский округ</w:t>
            </w:r>
          </w:p>
        </w:tc>
        <w:tc>
          <w:tcPr>
            <w:tcW w:w="3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Апрель-Июнь</w:t>
            </w:r>
          </w:p>
        </w:tc>
        <w:tc>
          <w:tcPr>
            <w:tcW w:w="3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</w:tr>
      <w:tr>
        <w:trPr>
          <w:trHeight w:val="30" w:hRule="atLeast"/>
        </w:trPr>
        <w:tc>
          <w:tcPr>
            <w:tcW w:w="2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Зайсанский городской округ</w:t>
            </w:r>
          </w:p>
        </w:tc>
        <w:tc>
          <w:tcPr>
            <w:tcW w:w="3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Апрель-Июнь</w:t>
            </w:r>
          </w:p>
        </w:tc>
        <w:tc>
          <w:tcPr>
            <w:tcW w:w="3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