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1ca1" w14:textId="dc61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в населенных пунктах Кокпектинского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28 августа 2020 года № 285. Зарегистрировано Департаментом юстиции Восточно-Казахстанской области 14 сентября 2020 года № 7522. Утратило силу постановлением акимата Кокпектинского района области Абай от 14 августа 2024 года № 287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Кокпектинского района области Абай от 14.08.2024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 утвержденных приказом исполняющего обязанности Министра национальной экономики Республики Казахстан от 27 марта 2015 года № 264 (Зарегистрировано в реестре государственной регистрации нормативных правовых актов № 11148), в целях упорядочения торговой деятельности на территории населенных пунктов Кокпектинского района, акимат Кокпектинского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на территории населенных пунктов Кокпектинского района места для осуществления выездной торговли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туризма Кокпектинского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 – Казахстанской области;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Кокпектинского района.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 Кокпектинского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Кокпектинского района Койгельдина Даурена Бакытжановича.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Кокпектинского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августа 2020 года № 285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осуществления выездной торговли в населенных пунктах Кокпектинского района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селе Кулынжон по улице Кенес между кафе "Жолан" и детской площадкой;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селе Миролюбовка по улице Асламова площадка между зданиями мечети и кафе "Пикник";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селе Раздольное по улице Мира возле магазина "Березка";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селе Мариногорка по улице Абая возле магазина "Нива";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селе Преображенка по улице Заречная на территории прилегающей к зданию дома культуры;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селе Улгулималшы возле здания дома культуры;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селе Кокпекты по улице Абая возле магазина "Ырыс";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селе Самарское на территории открытого рынка "Арман";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селе Теректы по улице Бірлік возле магазина "Дана";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селе Бигаш по улице М. Цепура возле магазина "Раушан";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селе Аккала по улице Тәуелсіздік возле магазина "Алена";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селе Сарыбел по улице Абая напротив здания дома культуры;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селе Тассай по улице М.Толегенова возле магазина "Жайдары";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селе Бастаушы по улице Абая возле магазина "Айман";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селе Улкенбокен по улице Кирова напротив здания школы;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селе Кокжайык по улице Саяхимова напротив магазина "Айя";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селе Палатцы по улице М. Горького возле магазина "Ульяна".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