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9d6" w14:textId="a017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Аккала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56-2. Зарегистрировано Департаментом юстиции Восточно-Казахстанской области 31 декабря 2020 года № 8177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38 863,7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2021 год целевые текущие трансферты из областного бюджета в размере 9 500,0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2020года № 56-2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44-2 "О бюджете сельского округа Аккала на 2020-2022 годы" (зарегистрировано в Реестре государственной регистрации нормативных правовых актов за № 6551,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46-2 "О внесении изменений в решение Кокпектинского районного маслихата от 6 января 2020 года № 44-2 "О бюджете сельского округа Аккала на 2020-2022 годы" (зарегистрировано в Реестре государственной регистрации нормативных правовых актов за № 7002,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51-5/1 "О внесении изменений в решение Кокпектинского районного маслихата от 6 января 2020 года № 44-2 "О бюджете сельского округа Аккала на 2020-2022 годы" (зарегистрировано в Реестре государственной регистрации нормативных правовых актов за № 7655, опубликовано в Эталонном контрольном банке нормативных правовых актов Республики Казахстан в электронном виде 20 октября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