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3d62" w14:textId="fe03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Урджарского района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26 февраля 2020 года № 50-582/VI. Зарегистрировано Департаментом юстиции Восточно-Казахстанской области 13 марта 2020 года № 6764. Утратило силу - решением Урджарского районного маслихата Восточно-Казахстанской области от 22 декабря 2020 года № 57-747/VI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22.12.2020 </w:t>
      </w:r>
      <w:r>
        <w:rPr>
          <w:rFonts w:ascii="Times New Roman"/>
          <w:b w:val="false"/>
          <w:i w:val="false"/>
          <w:color w:val="ff0000"/>
          <w:sz w:val="28"/>
        </w:rPr>
        <w:t>№ 57-747/VI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– в редакции решения маслихата Урджарского района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55-715/VI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пунктом 2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населҰнные пункты Урджарского района, следующие меры социальной поддержки на 2020 год: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маслихата Урджарского района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55-715/VI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Жакиянова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Урджарского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