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3382" w14:textId="af63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48-543/VI "О бюджете Алтыншокинского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50-587/VI. Зарегистрировано Департаментом юстиции Восточно-Казахстанской области 19 марта 2020 года № 6783. Утратило силу - решением Урджарского районного маслихата Восточно-Казахстанской области от 29 декабря 2020 года № 57-757/VI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VI "О внесении изменений в решение Урджарского районного маслихата  от 24 декабря 2019 года №47-525/VI  "О бюджете Урджарского района на 2020-2022 годы" (зарегистрировано в Реестре государственной регистрации нормативных правовых актов за номером 6756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48-543/VI "О бюджете Алтыншокинского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6560,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Алтыншокинского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31 087,0 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 поступления – 3 532,0 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 поступления – 0,0 тысяч тенге;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32 049,5  тысяч тенге;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дефицит (профицит) бюджета –  - 962,5 тысяч тенге;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962,5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50-587/VI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