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0d01" w14:textId="ba20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31 декабря 2019 года №37-1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12 мая 2020 года № 42-3. Зарегистрировано Департаментом юстиции Западно-Казахстанской области 13 мая 2020 года № 6227.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№5924,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10 101 969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1 279 120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8 781 796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10 280 984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6 844 457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6 910 323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-7 023 472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7 023 472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6 910 093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179 245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2 710 996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214 799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 детям – 78 853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80 864 тысячи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38 003 тысячи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исключить;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44 200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компенсацию потерь в связи со снижением налоговой нагрузки для субъектов малого и среднего бизнеса – 137 951 тысяча тенге;";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объемы субвенции, передаваемой из районного бюджета бюджетам сельских округов на 2020 год в общей сумме 462 457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37 948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29 215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14 745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33 388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26 472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28 774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15 804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55 864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24 960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24 842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18 263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52 820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17 901 тысяча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35 127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46 334 тысячи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42-3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37-1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10 101 969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8 781 796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8 781 796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6 598 796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5 678 453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