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4404" w14:textId="d2d4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надлежащих фармацевтических практик</w:t>
      </w:r>
    </w:p>
    <w:p>
      <w:pPr>
        <w:spacing w:after="0"/>
        <w:ind w:left="0"/>
        <w:jc w:val="both"/>
      </w:pPr>
      <w:r>
        <w:rPr>
          <w:rFonts w:ascii="Times New Roman"/>
          <w:b w:val="false"/>
          <w:i w:val="false"/>
          <w:color w:val="000000"/>
          <w:sz w:val="28"/>
        </w:rPr>
        <w:t>Приказ и.о. Министра здравоохранения Республики Казахстан от 4 февраля 2021 года № ҚР ДСМ-15. Зарегистрирован в Министерстве юстиции Республики Казахстан 9 февраля 2021 года № 22167.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Стандарт надлежащей лабораторной практики (GLP)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Стандарт надлежащей клинической практики (GCP)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Стандарт надлежащей производственной практики (GMP)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Стандарт надлежащей дистрибьюторской практики (GDP)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Стандарт надлежащей аптечной практики (GPP)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Стандарт надлежащей практики фармаконадзора (GVP)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2. Признать утратившими силу:</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 в Реестре государственной регистрации нормативных правовых актов под № 95286, опубликован 12 ноября 2015 года в информационно-правовой системе "Әділет");</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мая 2019 года № ҚР ДСМ-71 "О внесении изменений в приказ Министра здравоохранения и социального развития Республики Казахстан от 27 мая 2015 года № 392 "Об утверждении надлежащих фармацевтических практик" (зарегистрирован в Реестре государственной регистрации нормативных правовых актов под № 131411, опубликован 20 мая 2019 года в Эталонном контрольном банке нормативных правовых актов Республики Казахстан в электронном виде).</w:t>
      </w:r>
    </w:p>
    <w:bookmarkEnd w:id="10"/>
    <w:bookmarkStart w:name="z15" w:id="11"/>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5"/>
    <w:bookmarkStart w:name="z20"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здравоохранения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2021 года</w:t>
            </w:r>
            <w:r>
              <w:br/>
            </w:r>
            <w:r>
              <w:rPr>
                <w:rFonts w:ascii="Times New Roman"/>
                <w:b w:val="false"/>
                <w:i w:val="false"/>
                <w:color w:val="000000"/>
                <w:sz w:val="20"/>
              </w:rPr>
              <w:t>№ ҚР ДСМ-15</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приказа и.о. Министра здравоохранения РК от 03.04.2023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Стандарт надлежащей лабораторной практики (GLP)</w:t>
      </w:r>
    </w:p>
    <w:bookmarkEnd w:id="17"/>
    <w:bookmarkStart w:name="z24" w:id="18"/>
    <w:p>
      <w:pPr>
        <w:spacing w:after="0"/>
        <w:ind w:left="0"/>
        <w:jc w:val="left"/>
      </w:pPr>
      <w:r>
        <w:rPr>
          <w:rFonts w:ascii="Times New Roman"/>
          <w:b/>
          <w:i w:val="false"/>
          <w:color w:val="000000"/>
        </w:rPr>
        <w:t xml:space="preserve"> Глава 1. Общие положения</w:t>
      </w:r>
    </w:p>
    <w:bookmarkEnd w:id="18"/>
    <w:bookmarkStart w:name="z25" w:id="19"/>
    <w:p>
      <w:pPr>
        <w:spacing w:after="0"/>
        <w:ind w:left="0"/>
        <w:jc w:val="both"/>
      </w:pPr>
      <w:r>
        <w:rPr>
          <w:rFonts w:ascii="Times New Roman"/>
          <w:b w:val="false"/>
          <w:i w:val="false"/>
          <w:color w:val="000000"/>
          <w:sz w:val="28"/>
        </w:rPr>
        <w:t>
      1. Стандарт надлежащей лабораторной практики (далее - Стандарт) применяются в доклинических (неклинических) исследованиях по безопасности лекарственных средств и (или) веществ, содержащихся в лекарственных препаратах.</w:t>
      </w:r>
    </w:p>
    <w:bookmarkEnd w:id="19"/>
    <w:bookmarkStart w:name="z26" w:id="20"/>
    <w:p>
      <w:pPr>
        <w:spacing w:after="0"/>
        <w:ind w:left="0"/>
        <w:jc w:val="both"/>
      </w:pPr>
      <w:r>
        <w:rPr>
          <w:rFonts w:ascii="Times New Roman"/>
          <w:b w:val="false"/>
          <w:i w:val="false"/>
          <w:color w:val="000000"/>
          <w:sz w:val="28"/>
        </w:rPr>
        <w:t>
      2. Целью исследования является получение данных об их свойствах и (или) безопасности для здоровья человека и окружающей среды.</w:t>
      </w:r>
    </w:p>
    <w:bookmarkEnd w:id="20"/>
    <w:bookmarkStart w:name="z27" w:id="21"/>
    <w:p>
      <w:pPr>
        <w:spacing w:after="0"/>
        <w:ind w:left="0"/>
        <w:jc w:val="both"/>
      </w:pPr>
      <w:r>
        <w:rPr>
          <w:rFonts w:ascii="Times New Roman"/>
          <w:b w:val="false"/>
          <w:i w:val="false"/>
          <w:color w:val="000000"/>
          <w:sz w:val="28"/>
        </w:rPr>
        <w:t>
      3. Цель Стандарта - содействие обеспечению качества результатов исследований.</w:t>
      </w:r>
    </w:p>
    <w:bookmarkEnd w:id="21"/>
    <w:bookmarkStart w:name="z28" w:id="22"/>
    <w:p>
      <w:pPr>
        <w:spacing w:after="0"/>
        <w:ind w:left="0"/>
        <w:jc w:val="both"/>
      </w:pPr>
      <w:r>
        <w:rPr>
          <w:rFonts w:ascii="Times New Roman"/>
          <w:b w:val="false"/>
          <w:i w:val="false"/>
          <w:color w:val="000000"/>
          <w:sz w:val="28"/>
        </w:rPr>
        <w:t>
      4. Стандарт применяется в неклинических исследованиях по безопасности испытуемых веществ, содержащихся в лекарственных средствах, медицинских изделий.</w:t>
      </w:r>
    </w:p>
    <w:bookmarkEnd w:id="22"/>
    <w:bookmarkStart w:name="z29" w:id="23"/>
    <w:p>
      <w:pPr>
        <w:spacing w:after="0"/>
        <w:ind w:left="0"/>
        <w:jc w:val="both"/>
      </w:pPr>
      <w:r>
        <w:rPr>
          <w:rFonts w:ascii="Times New Roman"/>
          <w:b w:val="false"/>
          <w:i w:val="false"/>
          <w:color w:val="000000"/>
          <w:sz w:val="28"/>
        </w:rPr>
        <w:t>
      5. Эти испытуемые вещества часто являются синтетическими химикатами, либо натурального или биологического происхождения, а в некоторых случаях, живыми организмами. Целью исследования этих испытуемых веществ является получение данных об их свойствах и (или) безопасности для здоровья человека и окружающей среды.</w:t>
      </w:r>
    </w:p>
    <w:bookmarkEnd w:id="23"/>
    <w:bookmarkStart w:name="z30" w:id="24"/>
    <w:p>
      <w:pPr>
        <w:spacing w:after="0"/>
        <w:ind w:left="0"/>
        <w:jc w:val="both"/>
      </w:pPr>
      <w:r>
        <w:rPr>
          <w:rFonts w:ascii="Times New Roman"/>
          <w:b w:val="false"/>
          <w:i w:val="false"/>
          <w:color w:val="000000"/>
          <w:sz w:val="28"/>
        </w:rPr>
        <w:t>
      6. Применение принципов Стандарта оказывает помощь в устранении создания технических барьеров в торговле, и дальнейшего улучшения защиты здоровья человека и окружающей среды.</w:t>
      </w:r>
    </w:p>
    <w:bookmarkEnd w:id="24"/>
    <w:bookmarkStart w:name="z31" w:id="25"/>
    <w:p>
      <w:pPr>
        <w:spacing w:after="0"/>
        <w:ind w:left="0"/>
        <w:jc w:val="both"/>
      </w:pPr>
      <w:r>
        <w:rPr>
          <w:rFonts w:ascii="Times New Roman"/>
          <w:b w:val="false"/>
          <w:i w:val="false"/>
          <w:color w:val="000000"/>
          <w:sz w:val="28"/>
        </w:rPr>
        <w:t>
      7. Доклинические (неклинические) исследования безопасности для здоровья человека и окружающей среды, к которым применяется Стандарт, включают работу, проводимую в лаборатории и условиях вивария.</w:t>
      </w:r>
    </w:p>
    <w:bookmarkEnd w:id="25"/>
    <w:bookmarkStart w:name="z32" w:id="26"/>
    <w:p>
      <w:pPr>
        <w:spacing w:after="0"/>
        <w:ind w:left="0"/>
        <w:jc w:val="both"/>
      </w:pPr>
      <w:r>
        <w:rPr>
          <w:rFonts w:ascii="Times New Roman"/>
          <w:b w:val="false"/>
          <w:i w:val="false"/>
          <w:color w:val="000000"/>
          <w:sz w:val="28"/>
        </w:rPr>
        <w:t xml:space="preserve">
      8. Стандарт применяется ко всем доклиническим и неклиническим исследованиям безопасности для здоровья человека и окружающей среды, проведение которых требуется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23 Кодекса Республики Казахстан "О здоровье народа и системе здравоохранения" 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22167).</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9. Стандарт пересматривается на регулярной основе с учетом опыта их применения в Республике Казахстан, а также в случае изменений положений международных норм проведения доклинических (неклинических) исследований с внесением соответствующих изменений и дополнений не реже 1 раза в 5 лет.</w:t>
      </w:r>
    </w:p>
    <w:bookmarkEnd w:id="27"/>
    <w:bookmarkStart w:name="z34" w:id="28"/>
    <w:p>
      <w:pPr>
        <w:spacing w:after="0"/>
        <w:ind w:left="0"/>
        <w:jc w:val="both"/>
      </w:pPr>
      <w:r>
        <w:rPr>
          <w:rFonts w:ascii="Times New Roman"/>
          <w:b w:val="false"/>
          <w:i w:val="false"/>
          <w:color w:val="000000"/>
          <w:sz w:val="28"/>
        </w:rPr>
        <w:t>
      10. Стандарт применяется также в целях исследования других веществ и видов продукции.</w:t>
      </w:r>
    </w:p>
    <w:bookmarkEnd w:id="28"/>
    <w:bookmarkStart w:name="z35" w:id="29"/>
    <w:p>
      <w:pPr>
        <w:spacing w:after="0"/>
        <w:ind w:left="0"/>
        <w:jc w:val="left"/>
      </w:pPr>
      <w:r>
        <w:rPr>
          <w:rFonts w:ascii="Times New Roman"/>
          <w:b/>
          <w:i w:val="false"/>
          <w:color w:val="000000"/>
        </w:rPr>
        <w:t xml:space="preserve"> Глава 2. Термины</w:t>
      </w:r>
    </w:p>
    <w:bookmarkEnd w:id="29"/>
    <w:bookmarkStart w:name="z36" w:id="30"/>
    <w:p>
      <w:pPr>
        <w:spacing w:after="0"/>
        <w:ind w:left="0"/>
        <w:jc w:val="both"/>
      </w:pPr>
      <w:r>
        <w:rPr>
          <w:rFonts w:ascii="Times New Roman"/>
          <w:b w:val="false"/>
          <w:i w:val="false"/>
          <w:color w:val="000000"/>
          <w:sz w:val="28"/>
        </w:rPr>
        <w:t>
      11. В Стандарте применяются следующие термины:</w:t>
      </w:r>
    </w:p>
    <w:bookmarkEnd w:id="30"/>
    <w:bookmarkStart w:name="z37" w:id="31"/>
    <w:p>
      <w:pPr>
        <w:spacing w:after="0"/>
        <w:ind w:left="0"/>
        <w:jc w:val="both"/>
      </w:pPr>
      <w:r>
        <w:rPr>
          <w:rFonts w:ascii="Times New Roman"/>
          <w:b w:val="false"/>
          <w:i w:val="false"/>
          <w:color w:val="000000"/>
          <w:sz w:val="28"/>
        </w:rPr>
        <w:t>
      1) исследования in vitro (ин витро) - исследования, в которых в качестве тест-систем используют не многоклеточные целостные организмы, а микроорганизмы или материал, изолированный от целостных организмов, или их имитации;</w:t>
      </w:r>
    </w:p>
    <w:bookmarkEnd w:id="31"/>
    <w:bookmarkStart w:name="z38" w:id="32"/>
    <w:p>
      <w:pPr>
        <w:spacing w:after="0"/>
        <w:ind w:left="0"/>
        <w:jc w:val="both"/>
      </w:pPr>
      <w:r>
        <w:rPr>
          <w:rFonts w:ascii="Times New Roman"/>
          <w:b w:val="false"/>
          <w:i w:val="false"/>
          <w:color w:val="000000"/>
          <w:sz w:val="28"/>
        </w:rPr>
        <w:t>
      2) неклиническое исследование безопасности для здоровья человека и окружающей среды - опыт или серия опытов, в которых исследуемое вещество проходит проверку в лабораторных условиях или в окружающей среде с целью получения данных о его свойствах и (или) безопасности, которые направляются в уполномоченный орган;</w:t>
      </w:r>
    </w:p>
    <w:bookmarkEnd w:id="32"/>
    <w:bookmarkStart w:name="z39" w:id="33"/>
    <w:p>
      <w:pPr>
        <w:spacing w:after="0"/>
        <w:ind w:left="0"/>
        <w:jc w:val="both"/>
      </w:pPr>
      <w:r>
        <w:rPr>
          <w:rFonts w:ascii="Times New Roman"/>
          <w:b w:val="false"/>
          <w:i w:val="false"/>
          <w:color w:val="000000"/>
          <w:sz w:val="28"/>
        </w:rPr>
        <w:t>
      3) перекрестное загрязнение - загрязнение исследуемого вещества другим исследуемым веществом или тест-системы другим исследуемым веществом или другой тест-системой, которые вносятся непреднамеренно и загрязняют исследуемое вещество или повреждают тест-систему;</w:t>
      </w:r>
    </w:p>
    <w:bookmarkEnd w:id="33"/>
    <w:bookmarkStart w:name="z40" w:id="34"/>
    <w:p>
      <w:pPr>
        <w:spacing w:after="0"/>
        <w:ind w:left="0"/>
        <w:jc w:val="both"/>
      </w:pPr>
      <w:r>
        <w:rPr>
          <w:rFonts w:ascii="Times New Roman"/>
          <w:b w:val="false"/>
          <w:i w:val="false"/>
          <w:color w:val="000000"/>
          <w:sz w:val="28"/>
        </w:rPr>
        <w:t>
      4) аппаратное обеспечение - физические компоненты компьютеризированной системы, включая как сам компьютер, так и его периферийные компоненты;</w:t>
      </w:r>
    </w:p>
    <w:bookmarkEnd w:id="34"/>
    <w:bookmarkStart w:name="z41" w:id="35"/>
    <w:p>
      <w:pPr>
        <w:spacing w:after="0"/>
        <w:ind w:left="0"/>
        <w:jc w:val="both"/>
      </w:pPr>
      <w:r>
        <w:rPr>
          <w:rFonts w:ascii="Times New Roman"/>
          <w:b w:val="false"/>
          <w:i w:val="false"/>
          <w:color w:val="000000"/>
          <w:sz w:val="28"/>
        </w:rPr>
        <w:t>
      5) асептические условия - условия, предоставляемые или существующие в рабочей среде, при которых возможность микробного и (или) вирусного заражения сведена к минимуму;</w:t>
      </w:r>
    </w:p>
    <w:bookmarkEnd w:id="35"/>
    <w:bookmarkStart w:name="z42" w:id="36"/>
    <w:p>
      <w:pPr>
        <w:spacing w:after="0"/>
        <w:ind w:left="0"/>
        <w:jc w:val="both"/>
      </w:pPr>
      <w:r>
        <w:rPr>
          <w:rFonts w:ascii="Times New Roman"/>
          <w:b w:val="false"/>
          <w:i w:val="false"/>
          <w:color w:val="000000"/>
          <w:sz w:val="28"/>
        </w:rPr>
        <w:t>
      6) программное обеспечение - программа, приобретенная или разработанная, адаптированная или приспособленная к требованиям испытательной лаборатории с целью контроля процессов, сбора, обработки, представления данных и (или) архивирования;</w:t>
      </w:r>
    </w:p>
    <w:bookmarkEnd w:id="36"/>
    <w:bookmarkStart w:name="z43" w:id="37"/>
    <w:p>
      <w:pPr>
        <w:spacing w:after="0"/>
        <w:ind w:left="0"/>
        <w:jc w:val="both"/>
      </w:pPr>
      <w:r>
        <w:rPr>
          <w:rFonts w:ascii="Times New Roman"/>
          <w:b w:val="false"/>
          <w:i w:val="false"/>
          <w:color w:val="000000"/>
          <w:sz w:val="28"/>
        </w:rPr>
        <w:t>
      7) исходные данные - исходные записи и документация или их заверенные копии, которые являются результатом первоначальных наблюдений и видов деятельности в исследовании;</w:t>
      </w:r>
    </w:p>
    <w:bookmarkEnd w:id="37"/>
    <w:bookmarkStart w:name="z44" w:id="38"/>
    <w:p>
      <w:pPr>
        <w:spacing w:after="0"/>
        <w:ind w:left="0"/>
        <w:jc w:val="both"/>
      </w:pPr>
      <w:r>
        <w:rPr>
          <w:rFonts w:ascii="Times New Roman"/>
          <w:b w:val="false"/>
          <w:i w:val="false"/>
          <w:color w:val="000000"/>
          <w:sz w:val="28"/>
        </w:rPr>
        <w:t>
      8) первичные клетки - клетки, изолированные из животного или растительного источника, имеющие ограниченную продолжительность жизни;</w:t>
      </w:r>
    </w:p>
    <w:bookmarkEnd w:id="38"/>
    <w:bookmarkStart w:name="z45" w:id="39"/>
    <w:p>
      <w:pPr>
        <w:spacing w:after="0"/>
        <w:ind w:left="0"/>
        <w:jc w:val="both"/>
      </w:pPr>
      <w:r>
        <w:rPr>
          <w:rFonts w:ascii="Times New Roman"/>
          <w:b w:val="false"/>
          <w:i w:val="false"/>
          <w:color w:val="000000"/>
          <w:sz w:val="28"/>
        </w:rPr>
        <w:t>
      9) исходный код - оригинальная компьютерная программа, выраженная в пригодной для чтения человеком форме (язык программирования), которую переводят в машиночитаемую форму, прежде чем выполняется компьютером;</w:t>
      </w:r>
    </w:p>
    <w:bookmarkEnd w:id="39"/>
    <w:bookmarkStart w:name="z46" w:id="40"/>
    <w:p>
      <w:pPr>
        <w:spacing w:after="0"/>
        <w:ind w:left="0"/>
        <w:jc w:val="both"/>
      </w:pPr>
      <w:r>
        <w:rPr>
          <w:rFonts w:ascii="Times New Roman"/>
          <w:b w:val="false"/>
          <w:i w:val="false"/>
          <w:color w:val="000000"/>
          <w:sz w:val="28"/>
        </w:rPr>
        <w:t>
      10) валидация - подтверждение на основе представаления объективных свидетельств того, что требования, предназначенные для конкретного использования или применения, выполнены;</w:t>
      </w:r>
    </w:p>
    <w:bookmarkEnd w:id="40"/>
    <w:bookmarkStart w:name="z47" w:id="41"/>
    <w:p>
      <w:pPr>
        <w:spacing w:after="0"/>
        <w:ind w:left="0"/>
        <w:jc w:val="both"/>
      </w:pPr>
      <w:r>
        <w:rPr>
          <w:rFonts w:ascii="Times New Roman"/>
          <w:b w:val="false"/>
          <w:i w:val="false"/>
          <w:color w:val="000000"/>
          <w:sz w:val="28"/>
        </w:rPr>
        <w:t>
      11) виварий - место содержания и (или) разведения, использования животных при проведении доклинических (неклинических) исследований;</w:t>
      </w:r>
    </w:p>
    <w:bookmarkEnd w:id="41"/>
    <w:bookmarkStart w:name="z48" w:id="42"/>
    <w:p>
      <w:pPr>
        <w:spacing w:after="0"/>
        <w:ind w:left="0"/>
        <w:jc w:val="both"/>
      </w:pPr>
      <w:r>
        <w:rPr>
          <w:rFonts w:ascii="Times New Roman"/>
          <w:b w:val="false"/>
          <w:i w:val="false"/>
          <w:color w:val="000000"/>
          <w:sz w:val="28"/>
        </w:rPr>
        <w:t>
      12) генная трансфекция - введение чужеродной, дополнительной дезоксирибонуклейновой кислотой (далее - ДНК) (одиночные или множественные гены) в клетку-хозяина;</w:t>
      </w:r>
    </w:p>
    <w:bookmarkEnd w:id="42"/>
    <w:bookmarkStart w:name="z49" w:id="43"/>
    <w:p>
      <w:pPr>
        <w:spacing w:after="0"/>
        <w:ind w:left="0"/>
        <w:jc w:val="both"/>
      </w:pPr>
      <w:r>
        <w:rPr>
          <w:rFonts w:ascii="Times New Roman"/>
          <w:b w:val="false"/>
          <w:i w:val="false"/>
          <w:color w:val="000000"/>
          <w:sz w:val="28"/>
        </w:rPr>
        <w:t>
      13) спонсор (разработчик) лекарственного средства - юридическое лицо, которое заказывает, оказывает финансовую поддержку и (или) запрашивает проведение доклинического, неклинического исследования безопасности для здоровья человека и окружающей среды;</w:t>
      </w:r>
    </w:p>
    <w:bookmarkEnd w:id="43"/>
    <w:bookmarkStart w:name="z50" w:id="44"/>
    <w:p>
      <w:pPr>
        <w:spacing w:after="0"/>
        <w:ind w:left="0"/>
        <w:jc w:val="both"/>
      </w:pPr>
      <w:r>
        <w:rPr>
          <w:rFonts w:ascii="Times New Roman"/>
          <w:b w:val="false"/>
          <w:i w:val="false"/>
          <w:color w:val="000000"/>
          <w:sz w:val="28"/>
        </w:rPr>
        <w:t>
      14) общепризнанные технические стандарты - стандарты, распространенные национальными или международными органами по стандартизации;</w:t>
      </w:r>
    </w:p>
    <w:bookmarkEnd w:id="44"/>
    <w:bookmarkStart w:name="z51" w:id="45"/>
    <w:p>
      <w:pPr>
        <w:spacing w:after="0"/>
        <w:ind w:left="0"/>
        <w:jc w:val="both"/>
      </w:pPr>
      <w:r>
        <w:rPr>
          <w:rFonts w:ascii="Times New Roman"/>
          <w:b w:val="false"/>
          <w:i w:val="false"/>
          <w:color w:val="000000"/>
          <w:sz w:val="28"/>
        </w:rPr>
        <w:t>
      15) клеточные линии - клетки, которые подверглись генетическому изменению до иммортализации и которые, вследствие этого, способны размножаться в течение продленных периодов in vitro (ин витро), увеличиваться и подвергаться криоконсервации в банке клеток;</w:t>
      </w:r>
    </w:p>
    <w:bookmarkEnd w:id="45"/>
    <w:bookmarkStart w:name="z52" w:id="46"/>
    <w:p>
      <w:pPr>
        <w:spacing w:after="0"/>
        <w:ind w:left="0"/>
        <w:jc w:val="both"/>
      </w:pPr>
      <w:r>
        <w:rPr>
          <w:rFonts w:ascii="Times New Roman"/>
          <w:b w:val="false"/>
          <w:i w:val="false"/>
          <w:color w:val="000000"/>
          <w:sz w:val="28"/>
        </w:rPr>
        <w:t>
      16) ведущий исследователь - лицо, которое, в случае проведения исследований на нескольких площадках (мультицентровое исследование), действует от имени руководителя исследования и отвечает за переданные в его ведение фазы исследования;</w:t>
      </w:r>
    </w:p>
    <w:bookmarkEnd w:id="46"/>
    <w:bookmarkStart w:name="z53" w:id="47"/>
    <w:p>
      <w:pPr>
        <w:spacing w:after="0"/>
        <w:ind w:left="0"/>
        <w:jc w:val="both"/>
      </w:pPr>
      <w:r>
        <w:rPr>
          <w:rFonts w:ascii="Times New Roman"/>
          <w:b w:val="false"/>
          <w:i w:val="false"/>
          <w:color w:val="000000"/>
          <w:sz w:val="28"/>
        </w:rPr>
        <w:t>
      17) поставщик - юридическое лицо, выполняющее в рамках договора с испытательной лабораторией обязательства по обеспечению доклинических (неклинических) исследований оборудованием, реактивами, расходными материалами, тест-системами;</w:t>
      </w:r>
    </w:p>
    <w:bookmarkEnd w:id="47"/>
    <w:bookmarkStart w:name="z54" w:id="48"/>
    <w:p>
      <w:pPr>
        <w:spacing w:after="0"/>
        <w:ind w:left="0"/>
        <w:jc w:val="both"/>
      </w:pPr>
      <w:r>
        <w:rPr>
          <w:rFonts w:ascii="Times New Roman"/>
          <w:b w:val="false"/>
          <w:i w:val="false"/>
          <w:color w:val="000000"/>
          <w:sz w:val="28"/>
        </w:rPr>
        <w:t>
      18) исследуемое вещество (лекарственное средство) - вещество (лекарственное средство), подлежащее исследованию;</w:t>
      </w:r>
    </w:p>
    <w:bookmarkEnd w:id="48"/>
    <w:bookmarkStart w:name="z55" w:id="49"/>
    <w:p>
      <w:pPr>
        <w:spacing w:after="0"/>
        <w:ind w:left="0"/>
        <w:jc w:val="both"/>
      </w:pPr>
      <w:r>
        <w:rPr>
          <w:rFonts w:ascii="Times New Roman"/>
          <w:b w:val="false"/>
          <w:i w:val="false"/>
          <w:color w:val="000000"/>
          <w:sz w:val="28"/>
        </w:rPr>
        <w:t>
      19) спецификация на исследуемое вещество (лекарственное средство) - документ, устанавливающий требования к исследуемому веществу (лекарственному средству);</w:t>
      </w:r>
    </w:p>
    <w:bookmarkEnd w:id="49"/>
    <w:bookmarkStart w:name="z56" w:id="50"/>
    <w:p>
      <w:pPr>
        <w:spacing w:after="0"/>
        <w:ind w:left="0"/>
        <w:jc w:val="both"/>
      </w:pPr>
      <w:r>
        <w:rPr>
          <w:rFonts w:ascii="Times New Roman"/>
          <w:b w:val="false"/>
          <w:i w:val="false"/>
          <w:color w:val="000000"/>
          <w:sz w:val="28"/>
        </w:rPr>
        <w:t>
      20) аудит исследования - систематическое, независимое и документированное сравнение исходных данных и имеющей к ним отношение информации с промежуточным и заключительным отчетом с целью определения точности предоставления исходных данных, проведения испытания согласно протоколу, плану, программе исследования и стандартным операционным процедурам, получения дополнительной информации, не описанной в отчете, и определения, повлияли ли методы, применяемые при получении данных, на их достоверность у всех вовлеченных в исследование сторон;</w:t>
      </w:r>
    </w:p>
    <w:bookmarkEnd w:id="50"/>
    <w:bookmarkStart w:name="z57" w:id="51"/>
    <w:p>
      <w:pPr>
        <w:spacing w:after="0"/>
        <w:ind w:left="0"/>
        <w:jc w:val="both"/>
      </w:pPr>
      <w:r>
        <w:rPr>
          <w:rFonts w:ascii="Times New Roman"/>
          <w:b w:val="false"/>
          <w:i w:val="false"/>
          <w:color w:val="000000"/>
          <w:sz w:val="28"/>
        </w:rPr>
        <w:t>
      21) руководитель исследования - лицо, отвечающее за общее проведение неклинического исследования безопасности для здоровья человека и окружающей среды;</w:t>
      </w:r>
    </w:p>
    <w:bookmarkEnd w:id="51"/>
    <w:bookmarkStart w:name="z58" w:id="52"/>
    <w:p>
      <w:pPr>
        <w:spacing w:after="0"/>
        <w:ind w:left="0"/>
        <w:jc w:val="both"/>
      </w:pPr>
      <w:r>
        <w:rPr>
          <w:rFonts w:ascii="Times New Roman"/>
          <w:b w:val="false"/>
          <w:i w:val="false"/>
          <w:color w:val="000000"/>
          <w:sz w:val="28"/>
        </w:rPr>
        <w:t>
      22) протокол, план, программа исследования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p>
    <w:bookmarkEnd w:id="52"/>
    <w:bookmarkStart w:name="z59" w:id="53"/>
    <w:p>
      <w:pPr>
        <w:spacing w:after="0"/>
        <w:ind w:left="0"/>
        <w:jc w:val="both"/>
      </w:pPr>
      <w:r>
        <w:rPr>
          <w:rFonts w:ascii="Times New Roman"/>
          <w:b w:val="false"/>
          <w:i w:val="false"/>
          <w:color w:val="000000"/>
          <w:sz w:val="28"/>
        </w:rPr>
        <w:t>
      23) отклонения от протокола, плана, программы исследования - непреднамеренное отступление от протокола, плана, программы исследования после даты начала исследования;</w:t>
      </w:r>
    </w:p>
    <w:bookmarkEnd w:id="53"/>
    <w:bookmarkStart w:name="z60" w:id="54"/>
    <w:p>
      <w:pPr>
        <w:spacing w:after="0"/>
        <w:ind w:left="0"/>
        <w:jc w:val="both"/>
      </w:pPr>
      <w:r>
        <w:rPr>
          <w:rFonts w:ascii="Times New Roman"/>
          <w:b w:val="false"/>
          <w:i w:val="false"/>
          <w:color w:val="000000"/>
          <w:sz w:val="28"/>
        </w:rPr>
        <w:t>
      24) изменения протокола, плана, программы исследования - преднамеренные поправки (внесение изменений) в протокол, план, программу исследования после даты начала исследования;</w:t>
      </w:r>
    </w:p>
    <w:bookmarkEnd w:id="54"/>
    <w:bookmarkStart w:name="z61" w:id="55"/>
    <w:p>
      <w:pPr>
        <w:spacing w:after="0"/>
        <w:ind w:left="0"/>
        <w:jc w:val="both"/>
      </w:pPr>
      <w:r>
        <w:rPr>
          <w:rFonts w:ascii="Times New Roman"/>
          <w:b w:val="false"/>
          <w:i w:val="false"/>
          <w:color w:val="000000"/>
          <w:sz w:val="28"/>
        </w:rPr>
        <w:t>
      25) дата окончания исследования - дата подписания заключительного отчета руководителем исследования;</w:t>
      </w:r>
    </w:p>
    <w:bookmarkEnd w:id="55"/>
    <w:bookmarkStart w:name="z62" w:id="56"/>
    <w:p>
      <w:pPr>
        <w:spacing w:after="0"/>
        <w:ind w:left="0"/>
        <w:jc w:val="both"/>
      </w:pPr>
      <w:r>
        <w:rPr>
          <w:rFonts w:ascii="Times New Roman"/>
          <w:b w:val="false"/>
          <w:i w:val="false"/>
          <w:color w:val="000000"/>
          <w:sz w:val="28"/>
        </w:rPr>
        <w:t>
      26) дата начала исследования - дата подписания протокола, плана, программы исследования руководителем исследования;</w:t>
      </w:r>
    </w:p>
    <w:bookmarkEnd w:id="56"/>
    <w:bookmarkStart w:name="z63" w:id="57"/>
    <w:p>
      <w:pPr>
        <w:spacing w:after="0"/>
        <w:ind w:left="0"/>
        <w:jc w:val="both"/>
      </w:pPr>
      <w:r>
        <w:rPr>
          <w:rFonts w:ascii="Times New Roman"/>
          <w:b w:val="false"/>
          <w:i w:val="false"/>
          <w:color w:val="000000"/>
          <w:sz w:val="28"/>
        </w:rPr>
        <w:t>
      27) инспектор - лицо, выполняющее инспекции испытательных лабораторий и аудиты доклинических (неклинических) исследований лекарственных средств;</w:t>
      </w:r>
    </w:p>
    <w:bookmarkEnd w:id="57"/>
    <w:bookmarkStart w:name="z64" w:id="58"/>
    <w:p>
      <w:pPr>
        <w:spacing w:after="0"/>
        <w:ind w:left="0"/>
        <w:jc w:val="both"/>
      </w:pPr>
      <w:r>
        <w:rPr>
          <w:rFonts w:ascii="Times New Roman"/>
          <w:b w:val="false"/>
          <w:i w:val="false"/>
          <w:color w:val="000000"/>
          <w:sz w:val="28"/>
        </w:rPr>
        <w:t>
      28) калибровка - установление зависимости между показаниями средства измерительной техники (прибора) и размером измеряемой (входной) величины;</w:t>
      </w:r>
    </w:p>
    <w:bookmarkEnd w:id="58"/>
    <w:bookmarkStart w:name="z65" w:id="59"/>
    <w:p>
      <w:pPr>
        <w:spacing w:after="0"/>
        <w:ind w:left="0"/>
        <w:jc w:val="both"/>
      </w:pPr>
      <w:r>
        <w:rPr>
          <w:rFonts w:ascii="Times New Roman"/>
          <w:b w:val="false"/>
          <w:i w:val="false"/>
          <w:color w:val="000000"/>
          <w:sz w:val="28"/>
        </w:rPr>
        <w:t>
      29) 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исследования или серия исследований по изучению исследуемого вещества (лекарственного средства) или физического воздействия, средств, методов и технологий профилактики, диагностики и лечения заболеваний путем применения научных методов оценок в целях изучения специфического действия и (или) доказательств безопасности для здоровья человека;</w:t>
      </w:r>
    </w:p>
    <w:bookmarkEnd w:id="59"/>
    <w:bookmarkStart w:name="z66" w:id="60"/>
    <w:p>
      <w:pPr>
        <w:spacing w:after="0"/>
        <w:ind w:left="0"/>
        <w:jc w:val="both"/>
      </w:pPr>
      <w:r>
        <w:rPr>
          <w:rFonts w:ascii="Times New Roman"/>
          <w:b w:val="false"/>
          <w:i w:val="false"/>
          <w:color w:val="000000"/>
          <w:sz w:val="28"/>
        </w:rPr>
        <w:t>
      30) компьютеризированная система - группа компонентов аппаратных средств и связанного с ними программного обеспечения, разработанных и собранных для выполнения определенной функции или группы функций;</w:t>
      </w:r>
    </w:p>
    <w:bookmarkEnd w:id="60"/>
    <w:bookmarkStart w:name="z67" w:id="61"/>
    <w:p>
      <w:pPr>
        <w:spacing w:after="0"/>
        <w:ind w:left="0"/>
        <w:jc w:val="both"/>
      </w:pPr>
      <w:r>
        <w:rPr>
          <w:rFonts w:ascii="Times New Roman"/>
          <w:b w:val="false"/>
          <w:i w:val="false"/>
          <w:color w:val="000000"/>
          <w:sz w:val="28"/>
        </w:rPr>
        <w:t>
      31) валидация компьютеризированной системы - подтверждение того, что компьютерная система подходит для предусмотренной области применения;</w:t>
      </w:r>
    </w:p>
    <w:bookmarkEnd w:id="61"/>
    <w:bookmarkStart w:name="z68" w:id="62"/>
    <w:p>
      <w:pPr>
        <w:spacing w:after="0"/>
        <w:ind w:left="0"/>
        <w:jc w:val="both"/>
      </w:pPr>
      <w:r>
        <w:rPr>
          <w:rFonts w:ascii="Times New Roman"/>
          <w:b w:val="false"/>
          <w:i w:val="false"/>
          <w:color w:val="000000"/>
          <w:sz w:val="28"/>
        </w:rPr>
        <w:t>
      32) компьютерная безопасность - защита компьютерного аппаратного и программного обеспечения от случайного или предумышленного доступа, использования, модификации, уничтожения или разглашения. Также безопасность относится к персоналу, данным, коммуникационным связям и физической и логической защите компьютерных инсталляций;</w:t>
      </w:r>
    </w:p>
    <w:bookmarkEnd w:id="62"/>
    <w:bookmarkStart w:name="z69" w:id="63"/>
    <w:p>
      <w:pPr>
        <w:spacing w:after="0"/>
        <w:ind w:left="0"/>
        <w:jc w:val="both"/>
      </w:pPr>
      <w:r>
        <w:rPr>
          <w:rFonts w:ascii="Times New Roman"/>
          <w:b w:val="false"/>
          <w:i w:val="false"/>
          <w:color w:val="000000"/>
          <w:sz w:val="28"/>
        </w:rPr>
        <w:t>
      33) многоцентровое исследование - исследование, фазы которого проводятся более чем на одной площадке;</w:t>
      </w:r>
    </w:p>
    <w:bookmarkEnd w:id="63"/>
    <w:bookmarkStart w:name="z70" w:id="64"/>
    <w:p>
      <w:pPr>
        <w:spacing w:after="0"/>
        <w:ind w:left="0"/>
        <w:jc w:val="both"/>
      </w:pPr>
      <w:r>
        <w:rPr>
          <w:rFonts w:ascii="Times New Roman"/>
          <w:b w:val="false"/>
          <w:i w:val="false"/>
          <w:color w:val="000000"/>
          <w:sz w:val="28"/>
        </w:rPr>
        <w:t>
      34) критерии приемки - документированные критерии, соответствие которым обеспечивает успешное завершение этапа испытания или выполнения требований поставки;</w:t>
      </w:r>
    </w:p>
    <w:bookmarkEnd w:id="64"/>
    <w:bookmarkStart w:name="z71" w:id="65"/>
    <w:p>
      <w:pPr>
        <w:spacing w:after="0"/>
        <w:ind w:left="0"/>
        <w:jc w:val="both"/>
      </w:pPr>
      <w:r>
        <w:rPr>
          <w:rFonts w:ascii="Times New Roman"/>
          <w:b w:val="false"/>
          <w:i w:val="false"/>
          <w:color w:val="000000"/>
          <w:sz w:val="28"/>
        </w:rPr>
        <w:t>
      35) приемочные испытания - выполненное испытание компьютеризированной системы в предполагаемой рабочей среде с целью определения соответствия критериям приемки испытательной лаборатории, а также приемлемости системы для эксплуатации;</w:t>
      </w:r>
    </w:p>
    <w:bookmarkEnd w:id="65"/>
    <w:bookmarkStart w:name="z72" w:id="66"/>
    <w:p>
      <w:pPr>
        <w:spacing w:after="0"/>
        <w:ind w:left="0"/>
        <w:jc w:val="both"/>
      </w:pPr>
      <w:r>
        <w:rPr>
          <w:rFonts w:ascii="Times New Roman"/>
          <w:b w:val="false"/>
          <w:i w:val="false"/>
          <w:color w:val="000000"/>
          <w:sz w:val="28"/>
        </w:rPr>
        <w:t>
      36) критические фазы - отдельные определенные процедуры или виды деятельности в рамках исследования, от исполнения которых критически зависит качество, действительность и надежность исследования;</w:t>
      </w:r>
    </w:p>
    <w:bookmarkEnd w:id="66"/>
    <w:bookmarkStart w:name="z73" w:id="67"/>
    <w:p>
      <w:pPr>
        <w:spacing w:after="0"/>
        <w:ind w:left="0"/>
        <w:jc w:val="both"/>
      </w:pPr>
      <w:r>
        <w:rPr>
          <w:rFonts w:ascii="Times New Roman"/>
          <w:b w:val="false"/>
          <w:i w:val="false"/>
          <w:color w:val="000000"/>
          <w:sz w:val="28"/>
        </w:rPr>
        <w:t>
      37) документация - записи в любой форме, описывающие, либо регистрирующие методы, организацию и (или) результаты доклинического (неклинического) исследования лекарственного средства, факторы, влияющие на исследование и принятые меры;</w:t>
      </w:r>
    </w:p>
    <w:bookmarkEnd w:id="67"/>
    <w:bookmarkStart w:name="z74" w:id="68"/>
    <w:p>
      <w:pPr>
        <w:spacing w:after="0"/>
        <w:ind w:left="0"/>
        <w:jc w:val="both"/>
      </w:pPr>
      <w:r>
        <w:rPr>
          <w:rFonts w:ascii="Times New Roman"/>
          <w:b w:val="false"/>
          <w:i w:val="false"/>
          <w:color w:val="000000"/>
          <w:sz w:val="28"/>
        </w:rPr>
        <w:t>
      38) конфиденциальность - хранение в тайне информации, принадлежащей спонсору и (или) испытательной лаборатории, от неуполномоченных лиц;</w:t>
      </w:r>
    </w:p>
    <w:bookmarkEnd w:id="68"/>
    <w:bookmarkStart w:name="z75" w:id="69"/>
    <w:p>
      <w:pPr>
        <w:spacing w:after="0"/>
        <w:ind w:left="0"/>
        <w:jc w:val="both"/>
      </w:pPr>
      <w:r>
        <w:rPr>
          <w:rFonts w:ascii="Times New Roman"/>
          <w:b w:val="false"/>
          <w:i w:val="false"/>
          <w:color w:val="000000"/>
          <w:sz w:val="28"/>
        </w:rPr>
        <w:t>
      39) краткосрочное исследование - исследование с коротким временем проведения и широко применимыми стандартными методами;</w:t>
      </w:r>
    </w:p>
    <w:bookmarkEnd w:id="69"/>
    <w:bookmarkStart w:name="z76" w:id="70"/>
    <w:p>
      <w:pPr>
        <w:spacing w:after="0"/>
        <w:ind w:left="0"/>
        <w:jc w:val="both"/>
      </w:pPr>
      <w:r>
        <w:rPr>
          <w:rFonts w:ascii="Times New Roman"/>
          <w:b w:val="false"/>
          <w:i w:val="false"/>
          <w:color w:val="000000"/>
          <w:sz w:val="28"/>
        </w:rPr>
        <w:t>
      40) монитор - представитель спонсора, заказчика, разработчика лекарственного средства (его уполномоченного лица), отвечающий за проведение мониторинга доклинического (неклинического) исследования;</w:t>
      </w:r>
    </w:p>
    <w:bookmarkEnd w:id="70"/>
    <w:bookmarkStart w:name="z77" w:id="71"/>
    <w:p>
      <w:pPr>
        <w:spacing w:after="0"/>
        <w:ind w:left="0"/>
        <w:jc w:val="both"/>
      </w:pPr>
      <w:r>
        <w:rPr>
          <w:rFonts w:ascii="Times New Roman"/>
          <w:b w:val="false"/>
          <w:i w:val="false"/>
          <w:color w:val="000000"/>
          <w:sz w:val="28"/>
        </w:rPr>
        <w:t>
      41) мониторинг - процедура контроля выполнения доклинического (неклинического) исследования и обеспечения его проведения, сбора данных и представления результатов исследования согласно протоколу, плану, программе, стандартным операционным процедурам и Стандарту;</w:t>
      </w:r>
    </w:p>
    <w:bookmarkEnd w:id="71"/>
    <w:bookmarkStart w:name="z78" w:id="72"/>
    <w:p>
      <w:pPr>
        <w:spacing w:after="0"/>
        <w:ind w:left="0"/>
        <w:jc w:val="both"/>
      </w:pPr>
      <w:r>
        <w:rPr>
          <w:rFonts w:ascii="Times New Roman"/>
          <w:b w:val="false"/>
          <w:i w:val="false"/>
          <w:color w:val="000000"/>
          <w:sz w:val="28"/>
        </w:rPr>
        <w:t>
      42) основной график - система распределения и планирования ресурсов;</w:t>
      </w:r>
    </w:p>
    <w:bookmarkEnd w:id="72"/>
    <w:bookmarkStart w:name="z79" w:id="73"/>
    <w:p>
      <w:pPr>
        <w:spacing w:after="0"/>
        <w:ind w:left="0"/>
        <w:jc w:val="both"/>
      </w:pPr>
      <w:r>
        <w:rPr>
          <w:rFonts w:ascii="Times New Roman"/>
          <w:b w:val="false"/>
          <w:i w:val="false"/>
          <w:color w:val="000000"/>
          <w:sz w:val="28"/>
        </w:rPr>
        <w:t>
      43) контроль изменений - постоянная оценка и документирование системных операций и изменений с целью определения необходимости процесса валидации после появления в компьютеризированной системе каких-либо изменений;</w:t>
      </w:r>
    </w:p>
    <w:bookmarkEnd w:id="73"/>
    <w:bookmarkStart w:name="z80" w:id="74"/>
    <w:p>
      <w:pPr>
        <w:spacing w:after="0"/>
        <w:ind w:left="0"/>
        <w:jc w:val="both"/>
      </w:pPr>
      <w:r>
        <w:rPr>
          <w:rFonts w:ascii="Times New Roman"/>
          <w:b w:val="false"/>
          <w:i w:val="false"/>
          <w:color w:val="000000"/>
          <w:sz w:val="28"/>
        </w:rPr>
        <w:t>
      44) поверка средства измерений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техническим и метрологическим требованиям;</w:t>
      </w:r>
    </w:p>
    <w:bookmarkEnd w:id="74"/>
    <w:bookmarkStart w:name="z81" w:id="75"/>
    <w:p>
      <w:pPr>
        <w:spacing w:after="0"/>
        <w:ind w:left="0"/>
        <w:jc w:val="both"/>
      </w:pPr>
      <w:r>
        <w:rPr>
          <w:rFonts w:ascii="Times New Roman"/>
          <w:b w:val="false"/>
          <w:i w:val="false"/>
          <w:color w:val="000000"/>
          <w:sz w:val="28"/>
        </w:rPr>
        <w:t>
      45) патентованный материал - материал, защищенный законодательством от незаконного использования;</w:t>
      </w:r>
    </w:p>
    <w:bookmarkEnd w:id="75"/>
    <w:bookmarkStart w:name="z82" w:id="76"/>
    <w:p>
      <w:pPr>
        <w:spacing w:after="0"/>
        <w:ind w:left="0"/>
        <w:jc w:val="both"/>
      </w:pPr>
      <w:r>
        <w:rPr>
          <w:rFonts w:ascii="Times New Roman"/>
          <w:b w:val="false"/>
          <w:i w:val="false"/>
          <w:color w:val="000000"/>
          <w:sz w:val="28"/>
        </w:rPr>
        <w:t>
      46) резервное копирование - меры, предпринимаемые для восстановления файлов данных и программного обеспечения, возобновления обработки данных или использования альтернативного компьютерного оборудования после системного сбоя или аварии;</w:t>
      </w:r>
    </w:p>
    <w:bookmarkEnd w:id="76"/>
    <w:bookmarkStart w:name="z83" w:id="77"/>
    <w:p>
      <w:pPr>
        <w:spacing w:after="0"/>
        <w:ind w:left="0"/>
        <w:jc w:val="both"/>
      </w:pPr>
      <w:r>
        <w:rPr>
          <w:rFonts w:ascii="Times New Roman"/>
          <w:b w:val="false"/>
          <w:i w:val="false"/>
          <w:color w:val="000000"/>
          <w:sz w:val="28"/>
        </w:rPr>
        <w:t>
      47) образец сравнения (контрольный образец) - образец вещества (лекарственного средства), используемый в качестве основы для сравнения с исследуемым веществом (лекарственным средством). Вещество (лекарственное средство), которое используется для оценки научными методами безопасности исследуемого вещества (лекарственного средства) на основе сравнения их физических, химических, биологических и фармацевтических свойств;</w:t>
      </w:r>
    </w:p>
    <w:bookmarkEnd w:id="77"/>
    <w:bookmarkStart w:name="z84" w:id="78"/>
    <w:p>
      <w:pPr>
        <w:spacing w:after="0"/>
        <w:ind w:left="0"/>
        <w:jc w:val="both"/>
      </w:pPr>
      <w:r>
        <w:rPr>
          <w:rFonts w:ascii="Times New Roman"/>
          <w:b w:val="false"/>
          <w:i w:val="false"/>
          <w:color w:val="000000"/>
          <w:sz w:val="28"/>
        </w:rPr>
        <w:t>
      48) обеспечение качества - совокупность систематических и планомерных действий, обеспечивающих соответствие проведения исследования Стандарту;</w:t>
      </w:r>
    </w:p>
    <w:bookmarkEnd w:id="78"/>
    <w:bookmarkStart w:name="z85" w:id="79"/>
    <w:p>
      <w:pPr>
        <w:spacing w:after="0"/>
        <w:ind w:left="0"/>
        <w:jc w:val="both"/>
      </w:pPr>
      <w:r>
        <w:rPr>
          <w:rFonts w:ascii="Times New Roman"/>
          <w:b w:val="false"/>
          <w:i w:val="false"/>
          <w:color w:val="000000"/>
          <w:sz w:val="28"/>
        </w:rPr>
        <w:t>
      49) система обеспечения качества - комплекс мер, направленный на соблюдение Стандарта со стороны персонала и предназначен для обеспечения управления испытательной лабораторией;</w:t>
      </w:r>
    </w:p>
    <w:bookmarkEnd w:id="79"/>
    <w:bookmarkStart w:name="z86" w:id="80"/>
    <w:p>
      <w:pPr>
        <w:spacing w:after="0"/>
        <w:ind w:left="0"/>
        <w:jc w:val="both"/>
      </w:pPr>
      <w:r>
        <w:rPr>
          <w:rFonts w:ascii="Times New Roman"/>
          <w:b w:val="false"/>
          <w:i w:val="false"/>
          <w:color w:val="000000"/>
          <w:sz w:val="28"/>
        </w:rPr>
        <w:t>
      50) серия - определенное количество или партия исследуемого вещества, произведенного в течение определенного производственного цикла в такой форме, когда предполагается однородность его содержания и характеризоваться как таковое;</w:t>
      </w:r>
    </w:p>
    <w:bookmarkEnd w:id="80"/>
    <w:bookmarkStart w:name="z87" w:id="81"/>
    <w:p>
      <w:pPr>
        <w:spacing w:after="0"/>
        <w:ind w:left="0"/>
        <w:jc w:val="both"/>
      </w:pPr>
      <w:r>
        <w:rPr>
          <w:rFonts w:ascii="Times New Roman"/>
          <w:b w:val="false"/>
          <w:i w:val="false"/>
          <w:color w:val="000000"/>
          <w:sz w:val="28"/>
        </w:rPr>
        <w:t>
      51) стандартные операционные процедуры (далее - СОП) - документально оформленные процедуры, в которых описано, как проводить исследования или виды деятельности, обычно не указанные подробно в протоколах, планах, программах или указаниях по проведению исследований;</w:t>
      </w:r>
    </w:p>
    <w:bookmarkEnd w:id="81"/>
    <w:bookmarkStart w:name="z88" w:id="82"/>
    <w:p>
      <w:pPr>
        <w:spacing w:after="0"/>
        <w:ind w:left="0"/>
        <w:jc w:val="both"/>
      </w:pPr>
      <w:r>
        <w:rPr>
          <w:rFonts w:ascii="Times New Roman"/>
          <w:b w:val="false"/>
          <w:i w:val="false"/>
          <w:color w:val="000000"/>
          <w:sz w:val="28"/>
        </w:rPr>
        <w:t>
      52) испытательная площадка - место проведения какого-либо этапа исследования;</w:t>
      </w:r>
    </w:p>
    <w:bookmarkEnd w:id="82"/>
    <w:bookmarkStart w:name="z89" w:id="83"/>
    <w:p>
      <w:pPr>
        <w:spacing w:after="0"/>
        <w:ind w:left="0"/>
        <w:jc w:val="both"/>
      </w:pPr>
      <w:r>
        <w:rPr>
          <w:rFonts w:ascii="Times New Roman"/>
          <w:b w:val="false"/>
          <w:i w:val="false"/>
          <w:color w:val="000000"/>
          <w:sz w:val="28"/>
        </w:rPr>
        <w:t>
      53) испытательная лаборатория - лаборатория, организация, имеющая материально-техническую базу и квалифицированный персонал для проведения доклинических (неклинических) исследований лекарственных средств в соответствующей области;</w:t>
      </w:r>
    </w:p>
    <w:bookmarkEnd w:id="83"/>
    <w:bookmarkStart w:name="z90" w:id="84"/>
    <w:p>
      <w:pPr>
        <w:spacing w:after="0"/>
        <w:ind w:left="0"/>
        <w:jc w:val="both"/>
      </w:pPr>
      <w:r>
        <w:rPr>
          <w:rFonts w:ascii="Times New Roman"/>
          <w:b w:val="false"/>
          <w:i w:val="false"/>
          <w:color w:val="000000"/>
          <w:sz w:val="28"/>
        </w:rPr>
        <w:t>
      54) руководство испытательной лаборатории - лицо, которое отвечает за организацию и функционирование испытательной лаборатории согласно Стандарта;</w:t>
      </w:r>
    </w:p>
    <w:bookmarkEnd w:id="84"/>
    <w:bookmarkStart w:name="z91" w:id="85"/>
    <w:p>
      <w:pPr>
        <w:spacing w:after="0"/>
        <w:ind w:left="0"/>
        <w:jc w:val="both"/>
      </w:pPr>
      <w:r>
        <w:rPr>
          <w:rFonts w:ascii="Times New Roman"/>
          <w:b w:val="false"/>
          <w:i w:val="false"/>
          <w:color w:val="000000"/>
          <w:sz w:val="28"/>
        </w:rPr>
        <w:t>
      55) инспекция испытательной лаборатории - проверка на месте процедур и практических действий лаборатории для оценки степени соответствия принципам Стандарта;</w:t>
      </w:r>
    </w:p>
    <w:bookmarkEnd w:id="85"/>
    <w:bookmarkStart w:name="z92" w:id="86"/>
    <w:p>
      <w:pPr>
        <w:spacing w:after="0"/>
        <w:ind w:left="0"/>
        <w:jc w:val="both"/>
      </w:pPr>
      <w:r>
        <w:rPr>
          <w:rFonts w:ascii="Times New Roman"/>
          <w:b w:val="false"/>
          <w:i w:val="false"/>
          <w:color w:val="000000"/>
          <w:sz w:val="28"/>
        </w:rPr>
        <w:t>
      56) руководство испытательного участка (при его назначении) - лицо, отвечающее за контроль стадии (стадий) исследования и проведение исследования согласно Стандарту;</w:t>
      </w:r>
    </w:p>
    <w:bookmarkEnd w:id="86"/>
    <w:bookmarkStart w:name="z93" w:id="87"/>
    <w:p>
      <w:pPr>
        <w:spacing w:after="0"/>
        <w:ind w:left="0"/>
        <w:jc w:val="both"/>
      </w:pPr>
      <w:r>
        <w:rPr>
          <w:rFonts w:ascii="Times New Roman"/>
          <w:b w:val="false"/>
          <w:i w:val="false"/>
          <w:color w:val="000000"/>
          <w:sz w:val="28"/>
        </w:rPr>
        <w:t>
      57) носитель или растворитель - вещество, используемое для смешивания, диспергирования или растворения исследуемого вещества (лекарственного средства) или образца сравнения или контрольного образца и позволяющее облегчить его введение в тест-систему;</w:t>
      </w:r>
    </w:p>
    <w:bookmarkEnd w:id="87"/>
    <w:bookmarkStart w:name="z94" w:id="88"/>
    <w:p>
      <w:pPr>
        <w:spacing w:after="0"/>
        <w:ind w:left="0"/>
        <w:jc w:val="both"/>
      </w:pPr>
      <w:r>
        <w:rPr>
          <w:rFonts w:ascii="Times New Roman"/>
          <w:b w:val="false"/>
          <w:i w:val="false"/>
          <w:color w:val="000000"/>
          <w:sz w:val="28"/>
        </w:rPr>
        <w:t>
      58) тест-система - используемая в исследовании биологическая, химическая, физическая система, аналитическое оборудование или их комбинация;</w:t>
      </w:r>
    </w:p>
    <w:bookmarkEnd w:id="88"/>
    <w:bookmarkStart w:name="z95" w:id="89"/>
    <w:p>
      <w:pPr>
        <w:spacing w:after="0"/>
        <w:ind w:left="0"/>
        <w:jc w:val="both"/>
      </w:pPr>
      <w:r>
        <w:rPr>
          <w:rFonts w:ascii="Times New Roman"/>
          <w:b w:val="false"/>
          <w:i w:val="false"/>
          <w:color w:val="000000"/>
          <w:sz w:val="28"/>
        </w:rPr>
        <w:t>
      59) спецификация на тест-системы - документ, устанавливающий требования к тест-системам;</w:t>
      </w:r>
    </w:p>
    <w:bookmarkEnd w:id="89"/>
    <w:bookmarkStart w:name="z96" w:id="90"/>
    <w:p>
      <w:pPr>
        <w:spacing w:after="0"/>
        <w:ind w:left="0"/>
        <w:jc w:val="both"/>
      </w:pPr>
      <w:r>
        <w:rPr>
          <w:rFonts w:ascii="Times New Roman"/>
          <w:b w:val="false"/>
          <w:i w:val="false"/>
          <w:color w:val="000000"/>
          <w:sz w:val="28"/>
        </w:rPr>
        <w:t>
      60) надлежащая лабораторная практика (стандарт лабораторной практики) -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bookmarkEnd w:id="90"/>
    <w:bookmarkStart w:name="z97" w:id="91"/>
    <w:p>
      <w:pPr>
        <w:spacing w:after="0"/>
        <w:ind w:left="0"/>
        <w:jc w:val="both"/>
      </w:pPr>
      <w:r>
        <w:rPr>
          <w:rFonts w:ascii="Times New Roman"/>
          <w:b w:val="false"/>
          <w:i w:val="false"/>
          <w:color w:val="000000"/>
          <w:sz w:val="28"/>
        </w:rPr>
        <w:t>
      61) токсикогеномика - исследование реакции генома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генетических профилях объектов, подвергшихся воздействию этих токсичных веществ;</w:t>
      </w:r>
    </w:p>
    <w:bookmarkEnd w:id="91"/>
    <w:bookmarkStart w:name="z98" w:id="92"/>
    <w:p>
      <w:pPr>
        <w:spacing w:after="0"/>
        <w:ind w:left="0"/>
        <w:jc w:val="both"/>
      </w:pPr>
      <w:r>
        <w:rPr>
          <w:rFonts w:ascii="Times New Roman"/>
          <w:b w:val="false"/>
          <w:i w:val="false"/>
          <w:color w:val="000000"/>
          <w:sz w:val="28"/>
        </w:rPr>
        <w:t>
      62) токсикометабономика - количественное измерение зависящей от времени, многопараметрической метаболической реакции живых систем на патофизиологические стимулы или генетическую модификацию путем систематического изучения состава биожидкости с использованием технологии ядерно-магнетического резонанса (далее - ЯМР), распознавания набора, для определения связи токсичности органа-мишени со спектральными наборами ЯМР и определения новых суррогатных маркеров токсичности;</w:t>
      </w:r>
    </w:p>
    <w:bookmarkEnd w:id="92"/>
    <w:bookmarkStart w:name="z99" w:id="93"/>
    <w:p>
      <w:pPr>
        <w:spacing w:after="0"/>
        <w:ind w:left="0"/>
        <w:jc w:val="both"/>
      </w:pPr>
      <w:r>
        <w:rPr>
          <w:rFonts w:ascii="Times New Roman"/>
          <w:b w:val="false"/>
          <w:i w:val="false"/>
          <w:color w:val="000000"/>
          <w:sz w:val="28"/>
        </w:rPr>
        <w:t>
      63) трансгенные клетки - клетки, получившие трансфекцию одного или более чужеродного гена, которые впоследствии имеют характеристики и функции, которые в родительской клетке отсутствуют или присутствуют только с низкими уровнями экспрессии;</w:t>
      </w:r>
    </w:p>
    <w:bookmarkEnd w:id="93"/>
    <w:bookmarkStart w:name="z100" w:id="94"/>
    <w:p>
      <w:pPr>
        <w:spacing w:after="0"/>
        <w:ind w:left="0"/>
        <w:jc w:val="both"/>
      </w:pPr>
      <w:r>
        <w:rPr>
          <w:rFonts w:ascii="Times New Roman"/>
          <w:b w:val="false"/>
          <w:i w:val="false"/>
          <w:color w:val="000000"/>
          <w:sz w:val="28"/>
        </w:rPr>
        <w:t>
      64) резюме (автобиография) - документ, подтверждающий образование, профессиональную подготовку и опыт;</w:t>
      </w:r>
    </w:p>
    <w:bookmarkEnd w:id="94"/>
    <w:bookmarkStart w:name="z101" w:id="95"/>
    <w:p>
      <w:pPr>
        <w:spacing w:after="0"/>
        <w:ind w:left="0"/>
        <w:jc w:val="both"/>
      </w:pPr>
      <w:r>
        <w:rPr>
          <w:rFonts w:ascii="Times New Roman"/>
          <w:b w:val="false"/>
          <w:i w:val="false"/>
          <w:color w:val="000000"/>
          <w:sz w:val="28"/>
        </w:rPr>
        <w:t>
      65) уполномоченный орган - государственный орган в сфере обращения лекарственных средств и медицинских изделий, проводящий контроль соблюдения Стандарта испытательными лабораториями на территории Республики Казахстан при проведении доклинических (неклинических) исследований лекарственных средств и инспекции (далее - уполномоченный орган);</w:t>
      </w:r>
    </w:p>
    <w:bookmarkEnd w:id="95"/>
    <w:bookmarkStart w:name="z102" w:id="96"/>
    <w:p>
      <w:pPr>
        <w:spacing w:after="0"/>
        <w:ind w:left="0"/>
        <w:jc w:val="both"/>
      </w:pPr>
      <w:r>
        <w:rPr>
          <w:rFonts w:ascii="Times New Roman"/>
          <w:b w:val="false"/>
          <w:i w:val="false"/>
          <w:color w:val="000000"/>
          <w:sz w:val="28"/>
        </w:rPr>
        <w:t>
      66) токсичность - мера вредного воздействия исследуемого материала на организм в условиях однократного или многократного введения;</w:t>
      </w:r>
    </w:p>
    <w:bookmarkEnd w:id="96"/>
    <w:bookmarkStart w:name="z103" w:id="97"/>
    <w:p>
      <w:pPr>
        <w:spacing w:after="0"/>
        <w:ind w:left="0"/>
        <w:jc w:val="both"/>
      </w:pPr>
      <w:r>
        <w:rPr>
          <w:rFonts w:ascii="Times New Roman"/>
          <w:b w:val="false"/>
          <w:i w:val="false"/>
          <w:color w:val="000000"/>
          <w:sz w:val="28"/>
        </w:rPr>
        <w:t>
      67) образцы (пробы) - материалы, полученные из испытательной тест-системы с целью изучения, анализа или сохранения;</w:t>
      </w:r>
    </w:p>
    <w:bookmarkEnd w:id="97"/>
    <w:bookmarkStart w:name="z104" w:id="98"/>
    <w:p>
      <w:pPr>
        <w:spacing w:after="0"/>
        <w:ind w:left="0"/>
        <w:jc w:val="both"/>
      </w:pPr>
      <w:r>
        <w:rPr>
          <w:rFonts w:ascii="Times New Roman"/>
          <w:b w:val="false"/>
          <w:i w:val="false"/>
          <w:color w:val="000000"/>
          <w:sz w:val="28"/>
        </w:rPr>
        <w:t>
      68) фаза (этап) - определенный вид доклинического (неклинического) исследования, проводимый одной из испытательных площадок при проведении многоцентрового исследования;</w:t>
      </w:r>
    </w:p>
    <w:bookmarkEnd w:id="98"/>
    <w:bookmarkStart w:name="z105" w:id="99"/>
    <w:p>
      <w:pPr>
        <w:spacing w:after="0"/>
        <w:ind w:left="0"/>
        <w:jc w:val="both"/>
      </w:pPr>
      <w:r>
        <w:rPr>
          <w:rFonts w:ascii="Times New Roman"/>
          <w:b w:val="false"/>
          <w:i w:val="false"/>
          <w:color w:val="000000"/>
          <w:sz w:val="28"/>
        </w:rPr>
        <w:t>
      69) договор - письменное, датированное и подписанное соглашение между двумя или более сторонами, определяющее договоренности, касающиеся распределения объема работ, прав, функций, и, при необходимости, финансовые вопросы;</w:t>
      </w:r>
    </w:p>
    <w:bookmarkEnd w:id="99"/>
    <w:bookmarkStart w:name="z106" w:id="100"/>
    <w:p>
      <w:pPr>
        <w:spacing w:after="0"/>
        <w:ind w:left="0"/>
        <w:jc w:val="both"/>
      </w:pPr>
      <w:r>
        <w:rPr>
          <w:rFonts w:ascii="Times New Roman"/>
          <w:b w:val="false"/>
          <w:i w:val="false"/>
          <w:color w:val="000000"/>
          <w:sz w:val="28"/>
        </w:rPr>
        <w:t>
      70) периферические компоненты - любое связанное с помощью интерфейса оборудование или вспомогательные, или удаленные компоненты;</w:t>
      </w:r>
    </w:p>
    <w:bookmarkEnd w:id="100"/>
    <w:bookmarkStart w:name="z107" w:id="101"/>
    <w:p>
      <w:pPr>
        <w:spacing w:after="0"/>
        <w:ind w:left="0"/>
        <w:jc w:val="both"/>
      </w:pPr>
      <w:r>
        <w:rPr>
          <w:rFonts w:ascii="Times New Roman"/>
          <w:b w:val="false"/>
          <w:i w:val="false"/>
          <w:color w:val="000000"/>
          <w:sz w:val="28"/>
        </w:rPr>
        <w:t>
      71) дата окончания эксперимента - последний день получения данных в исследовании;</w:t>
      </w:r>
    </w:p>
    <w:bookmarkEnd w:id="101"/>
    <w:bookmarkStart w:name="z108" w:id="102"/>
    <w:p>
      <w:pPr>
        <w:spacing w:after="0"/>
        <w:ind w:left="0"/>
        <w:jc w:val="both"/>
      </w:pPr>
      <w:r>
        <w:rPr>
          <w:rFonts w:ascii="Times New Roman"/>
          <w:b w:val="false"/>
          <w:i w:val="false"/>
          <w:color w:val="000000"/>
          <w:sz w:val="28"/>
        </w:rPr>
        <w:t>
      72) дата начала эксперимента - дата получения первых специфических данных исследования;</w:t>
      </w:r>
    </w:p>
    <w:bookmarkEnd w:id="102"/>
    <w:bookmarkStart w:name="z109" w:id="103"/>
    <w:p>
      <w:pPr>
        <w:spacing w:after="0"/>
        <w:ind w:left="0"/>
        <w:jc w:val="both"/>
      </w:pPr>
      <w:r>
        <w:rPr>
          <w:rFonts w:ascii="Times New Roman"/>
          <w:b w:val="false"/>
          <w:i w:val="false"/>
          <w:color w:val="000000"/>
          <w:sz w:val="28"/>
        </w:rPr>
        <w:t>
      73) электронная подпись - запись в виде магнитных импульсов или трансляция (компиляция) компьютерных данных люб ого символа или последовательностей символов, выполняемых, адаптированных или авторизованных определенным лицом в качестве эквивалента собственноручной подписи данного лица.</w:t>
      </w:r>
    </w:p>
    <w:bookmarkEnd w:id="103"/>
    <w:bookmarkStart w:name="z110" w:id="104"/>
    <w:p>
      <w:pPr>
        <w:spacing w:after="0"/>
        <w:ind w:left="0"/>
        <w:jc w:val="left"/>
      </w:pPr>
      <w:r>
        <w:rPr>
          <w:rFonts w:ascii="Times New Roman"/>
          <w:b/>
          <w:i w:val="false"/>
          <w:color w:val="000000"/>
        </w:rPr>
        <w:t xml:space="preserve"> Глава 3. Система обеспечения качества</w:t>
      </w:r>
    </w:p>
    <w:bookmarkEnd w:id="104"/>
    <w:bookmarkStart w:name="z111" w:id="105"/>
    <w:p>
      <w:pPr>
        <w:spacing w:after="0"/>
        <w:ind w:left="0"/>
        <w:jc w:val="left"/>
      </w:pPr>
      <w:r>
        <w:rPr>
          <w:rFonts w:ascii="Times New Roman"/>
          <w:b/>
          <w:i w:val="false"/>
          <w:color w:val="000000"/>
        </w:rPr>
        <w:t xml:space="preserve"> Параграф 1. Общая информация</w:t>
      </w:r>
    </w:p>
    <w:bookmarkEnd w:id="105"/>
    <w:bookmarkStart w:name="z112" w:id="106"/>
    <w:p>
      <w:pPr>
        <w:spacing w:after="0"/>
        <w:ind w:left="0"/>
        <w:jc w:val="both"/>
      </w:pPr>
      <w:r>
        <w:rPr>
          <w:rFonts w:ascii="Times New Roman"/>
          <w:b w:val="false"/>
          <w:i w:val="false"/>
          <w:color w:val="000000"/>
          <w:sz w:val="28"/>
        </w:rPr>
        <w:t>
      12. Испытательная лаборатория, проводящая доклинические (неклинические) исследования имеет действующую документально оформленную систему обеспечения качества для гарантии того, что исследования проводятся согласно Стандарту.</w:t>
      </w:r>
    </w:p>
    <w:bookmarkEnd w:id="106"/>
    <w:bookmarkStart w:name="z113" w:id="107"/>
    <w:p>
      <w:pPr>
        <w:spacing w:after="0"/>
        <w:ind w:left="0"/>
        <w:jc w:val="both"/>
      </w:pPr>
      <w:r>
        <w:rPr>
          <w:rFonts w:ascii="Times New Roman"/>
          <w:b w:val="false"/>
          <w:i w:val="false"/>
          <w:color w:val="000000"/>
          <w:sz w:val="28"/>
        </w:rPr>
        <w:t>
      13. Система обеспечения качества имеет в наличии утвержденные СОП, в которых подробно и последовательно описан порядок осуществления (выполнения) всех лабораторных и производственных операций, включая:</w:t>
      </w:r>
    </w:p>
    <w:bookmarkEnd w:id="107"/>
    <w:bookmarkStart w:name="z114" w:id="108"/>
    <w:p>
      <w:pPr>
        <w:spacing w:after="0"/>
        <w:ind w:left="0"/>
        <w:jc w:val="both"/>
      </w:pPr>
      <w:r>
        <w:rPr>
          <w:rFonts w:ascii="Times New Roman"/>
          <w:b w:val="false"/>
          <w:i w:val="false"/>
          <w:color w:val="000000"/>
          <w:sz w:val="28"/>
        </w:rPr>
        <w:t>
      1) поступление, идентификацию, маркировку, обработку, отбор проб, использование, хранения и уничтожение (утилизацию) исследуемых веществ (лекарственных средств) и образцов сравнения;</w:t>
      </w:r>
    </w:p>
    <w:bookmarkEnd w:id="108"/>
    <w:bookmarkStart w:name="z115" w:id="109"/>
    <w:p>
      <w:pPr>
        <w:spacing w:after="0"/>
        <w:ind w:left="0"/>
        <w:jc w:val="both"/>
      </w:pPr>
      <w:r>
        <w:rPr>
          <w:rFonts w:ascii="Times New Roman"/>
          <w:b w:val="false"/>
          <w:i w:val="false"/>
          <w:color w:val="000000"/>
          <w:sz w:val="28"/>
        </w:rPr>
        <w:t>
      2) обслуживание и поверку измерительных приборов и оборудования;</w:t>
      </w:r>
    </w:p>
    <w:bookmarkEnd w:id="109"/>
    <w:bookmarkStart w:name="z116" w:id="110"/>
    <w:p>
      <w:pPr>
        <w:spacing w:after="0"/>
        <w:ind w:left="0"/>
        <w:jc w:val="both"/>
      </w:pPr>
      <w:r>
        <w:rPr>
          <w:rFonts w:ascii="Times New Roman"/>
          <w:b w:val="false"/>
          <w:i w:val="false"/>
          <w:color w:val="000000"/>
          <w:sz w:val="28"/>
        </w:rPr>
        <w:t>
      3) приготовление реактивов, питательных сред, кормов;</w:t>
      </w:r>
    </w:p>
    <w:bookmarkEnd w:id="110"/>
    <w:bookmarkStart w:name="z117" w:id="111"/>
    <w:p>
      <w:pPr>
        <w:spacing w:after="0"/>
        <w:ind w:left="0"/>
        <w:jc w:val="both"/>
      </w:pPr>
      <w:r>
        <w:rPr>
          <w:rFonts w:ascii="Times New Roman"/>
          <w:b w:val="false"/>
          <w:i w:val="false"/>
          <w:color w:val="000000"/>
          <w:sz w:val="28"/>
        </w:rPr>
        <w:t>
      4) ведение записей, отчетов и их хранение;</w:t>
      </w:r>
    </w:p>
    <w:bookmarkEnd w:id="111"/>
    <w:bookmarkStart w:name="z118" w:id="112"/>
    <w:p>
      <w:pPr>
        <w:spacing w:after="0"/>
        <w:ind w:left="0"/>
        <w:jc w:val="both"/>
      </w:pPr>
      <w:r>
        <w:rPr>
          <w:rFonts w:ascii="Times New Roman"/>
          <w:b w:val="false"/>
          <w:i w:val="false"/>
          <w:color w:val="000000"/>
          <w:sz w:val="28"/>
        </w:rPr>
        <w:t>
      5) обслуживание всех помещений, задействованных в проведении исследования;</w:t>
      </w:r>
    </w:p>
    <w:bookmarkEnd w:id="112"/>
    <w:bookmarkStart w:name="z119" w:id="113"/>
    <w:p>
      <w:pPr>
        <w:spacing w:after="0"/>
        <w:ind w:left="0"/>
        <w:jc w:val="both"/>
      </w:pPr>
      <w:r>
        <w:rPr>
          <w:rFonts w:ascii="Times New Roman"/>
          <w:b w:val="false"/>
          <w:i w:val="false"/>
          <w:color w:val="000000"/>
          <w:sz w:val="28"/>
        </w:rPr>
        <w:t>
      6) прием, транспортировку, размещение, описание, идентификацию исследуемых веществ и тест-систем;</w:t>
      </w:r>
    </w:p>
    <w:bookmarkEnd w:id="113"/>
    <w:bookmarkStart w:name="z120" w:id="114"/>
    <w:p>
      <w:pPr>
        <w:spacing w:after="0"/>
        <w:ind w:left="0"/>
        <w:jc w:val="both"/>
      </w:pPr>
      <w:r>
        <w:rPr>
          <w:rFonts w:ascii="Times New Roman"/>
          <w:b w:val="false"/>
          <w:i w:val="false"/>
          <w:color w:val="000000"/>
          <w:sz w:val="28"/>
        </w:rPr>
        <w:t>
      7) осуществление протокола, плана, программы по обеспечению качества доклинического (неклинического) исследования исследуемого вещества (лекарственного средства).</w:t>
      </w:r>
    </w:p>
    <w:bookmarkEnd w:id="114"/>
    <w:bookmarkStart w:name="z121" w:id="115"/>
    <w:p>
      <w:pPr>
        <w:spacing w:after="0"/>
        <w:ind w:left="0"/>
        <w:jc w:val="both"/>
      </w:pPr>
      <w:r>
        <w:rPr>
          <w:rFonts w:ascii="Times New Roman"/>
          <w:b w:val="false"/>
          <w:i w:val="false"/>
          <w:color w:val="000000"/>
          <w:sz w:val="28"/>
        </w:rPr>
        <w:t>
      14. Руководитель испытательной лаборатории назначает одного или нескольких лиц, отвечающих за систему обеспечения качества и обеспечивающих соблюдение ее другими сотрудниками испытательной лаборатории.</w:t>
      </w:r>
    </w:p>
    <w:bookmarkEnd w:id="115"/>
    <w:bookmarkStart w:name="z122" w:id="116"/>
    <w:p>
      <w:pPr>
        <w:spacing w:after="0"/>
        <w:ind w:left="0"/>
        <w:jc w:val="both"/>
      </w:pPr>
      <w:r>
        <w:rPr>
          <w:rFonts w:ascii="Times New Roman"/>
          <w:b w:val="false"/>
          <w:i w:val="false"/>
          <w:color w:val="000000"/>
          <w:sz w:val="28"/>
        </w:rPr>
        <w:t>
      15. Независимое лицо не участвует и не задействовано в проведении исследования с проверкой качества.</w:t>
      </w:r>
    </w:p>
    <w:bookmarkEnd w:id="116"/>
    <w:bookmarkStart w:name="z123" w:id="117"/>
    <w:p>
      <w:pPr>
        <w:spacing w:after="0"/>
        <w:ind w:left="0"/>
        <w:jc w:val="both"/>
      </w:pPr>
      <w:r>
        <w:rPr>
          <w:rFonts w:ascii="Times New Roman"/>
          <w:b w:val="false"/>
          <w:i w:val="false"/>
          <w:color w:val="000000"/>
          <w:sz w:val="28"/>
        </w:rPr>
        <w:t>
      16. Персонал, отвечающий за обеспечение качества, в том числе:</w:t>
      </w:r>
    </w:p>
    <w:bookmarkEnd w:id="117"/>
    <w:bookmarkStart w:name="z124" w:id="118"/>
    <w:p>
      <w:pPr>
        <w:spacing w:after="0"/>
        <w:ind w:left="0"/>
        <w:jc w:val="both"/>
      </w:pPr>
      <w:r>
        <w:rPr>
          <w:rFonts w:ascii="Times New Roman"/>
          <w:b w:val="false"/>
          <w:i w:val="false"/>
          <w:color w:val="000000"/>
          <w:sz w:val="28"/>
        </w:rPr>
        <w:t>
      1) за разработку СОП, их внедрение в испытательной лаборатории, включая систематическую проверку их соблюдения;</w:t>
      </w:r>
    </w:p>
    <w:bookmarkEnd w:id="118"/>
    <w:bookmarkStart w:name="z125" w:id="119"/>
    <w:p>
      <w:pPr>
        <w:spacing w:after="0"/>
        <w:ind w:left="0"/>
        <w:jc w:val="both"/>
      </w:pPr>
      <w:r>
        <w:rPr>
          <w:rFonts w:ascii="Times New Roman"/>
          <w:b w:val="false"/>
          <w:i w:val="false"/>
          <w:color w:val="000000"/>
          <w:sz w:val="28"/>
        </w:rPr>
        <w:t>
      2) за проведение инспекции с целью подтверждения соответствия исследования Стандарту, доступности персоналу исследования протокола, плана, программы исследования и СОП, а также подтверждение факта их исполнения при проведении исследования.</w:t>
      </w:r>
    </w:p>
    <w:bookmarkEnd w:id="119"/>
    <w:bookmarkStart w:name="z126" w:id="120"/>
    <w:p>
      <w:pPr>
        <w:spacing w:after="0"/>
        <w:ind w:left="0"/>
        <w:jc w:val="both"/>
      </w:pPr>
      <w:r>
        <w:rPr>
          <w:rFonts w:ascii="Times New Roman"/>
          <w:b w:val="false"/>
          <w:i w:val="false"/>
          <w:color w:val="000000"/>
          <w:sz w:val="28"/>
        </w:rPr>
        <w:t>
      Инспекции делятся на три вида, в соответствии с тем, как указано в программе обеспечения качества и стандартных операционных процедурах:</w:t>
      </w:r>
    </w:p>
    <w:bookmarkEnd w:id="120"/>
    <w:bookmarkStart w:name="z127" w:id="121"/>
    <w:p>
      <w:pPr>
        <w:spacing w:after="0"/>
        <w:ind w:left="0"/>
        <w:jc w:val="both"/>
      </w:pPr>
      <w:r>
        <w:rPr>
          <w:rFonts w:ascii="Times New Roman"/>
          <w:b w:val="false"/>
          <w:i w:val="false"/>
          <w:color w:val="000000"/>
          <w:sz w:val="28"/>
        </w:rPr>
        <w:t>
      инспекции исследований;</w:t>
      </w:r>
    </w:p>
    <w:bookmarkEnd w:id="121"/>
    <w:bookmarkStart w:name="z128" w:id="122"/>
    <w:p>
      <w:pPr>
        <w:spacing w:after="0"/>
        <w:ind w:left="0"/>
        <w:jc w:val="both"/>
      </w:pPr>
      <w:r>
        <w:rPr>
          <w:rFonts w:ascii="Times New Roman"/>
          <w:b w:val="false"/>
          <w:i w:val="false"/>
          <w:color w:val="000000"/>
          <w:sz w:val="28"/>
        </w:rPr>
        <w:t>
      инспекции испытательных площадок;</w:t>
      </w:r>
    </w:p>
    <w:bookmarkEnd w:id="122"/>
    <w:bookmarkStart w:name="z129" w:id="123"/>
    <w:p>
      <w:pPr>
        <w:spacing w:after="0"/>
        <w:ind w:left="0"/>
        <w:jc w:val="both"/>
      </w:pPr>
      <w:r>
        <w:rPr>
          <w:rFonts w:ascii="Times New Roman"/>
          <w:b w:val="false"/>
          <w:i w:val="false"/>
          <w:color w:val="000000"/>
          <w:sz w:val="28"/>
        </w:rPr>
        <w:t>
      инспекции процедур.</w:t>
      </w:r>
    </w:p>
    <w:bookmarkEnd w:id="123"/>
    <w:bookmarkStart w:name="z130" w:id="124"/>
    <w:p>
      <w:pPr>
        <w:spacing w:after="0"/>
        <w:ind w:left="0"/>
        <w:jc w:val="both"/>
      </w:pPr>
      <w:r>
        <w:rPr>
          <w:rFonts w:ascii="Times New Roman"/>
          <w:b w:val="false"/>
          <w:i w:val="false"/>
          <w:color w:val="000000"/>
          <w:sz w:val="28"/>
        </w:rPr>
        <w:t>
      Документация о таких инспекциях хранится согласно руководства по обеспечению качества в соответствии с разделом по обеспечению качества;</w:t>
      </w:r>
    </w:p>
    <w:bookmarkEnd w:id="124"/>
    <w:bookmarkStart w:name="z131" w:id="125"/>
    <w:p>
      <w:pPr>
        <w:spacing w:after="0"/>
        <w:ind w:left="0"/>
        <w:jc w:val="both"/>
      </w:pPr>
      <w:r>
        <w:rPr>
          <w:rFonts w:ascii="Times New Roman"/>
          <w:b w:val="false"/>
          <w:i w:val="false"/>
          <w:color w:val="000000"/>
          <w:sz w:val="28"/>
        </w:rPr>
        <w:t>
      3) проверяет заключительные отчеты для подтверждения того, что методы, процедуры, наблюдения и результаты изложены точно и полностью и в полной мере отражают первичные данные исследований;</w:t>
      </w:r>
    </w:p>
    <w:bookmarkEnd w:id="125"/>
    <w:bookmarkStart w:name="z132" w:id="126"/>
    <w:p>
      <w:pPr>
        <w:spacing w:after="0"/>
        <w:ind w:left="0"/>
        <w:jc w:val="both"/>
      </w:pPr>
      <w:r>
        <w:rPr>
          <w:rFonts w:ascii="Times New Roman"/>
          <w:b w:val="false"/>
          <w:i w:val="false"/>
          <w:color w:val="000000"/>
          <w:sz w:val="28"/>
        </w:rPr>
        <w:t>
      4) сообщает в письменном виде о результатах проверок руководству испытательной лаборатории, руководителю исследования, ведущему исследователю и, при необходимости, другим руководящим работникам;</w:t>
      </w:r>
    </w:p>
    <w:bookmarkEnd w:id="126"/>
    <w:bookmarkStart w:name="z133" w:id="127"/>
    <w:p>
      <w:pPr>
        <w:spacing w:after="0"/>
        <w:ind w:left="0"/>
        <w:jc w:val="both"/>
      </w:pPr>
      <w:r>
        <w:rPr>
          <w:rFonts w:ascii="Times New Roman"/>
          <w:b w:val="false"/>
          <w:i w:val="false"/>
          <w:color w:val="000000"/>
          <w:sz w:val="28"/>
        </w:rPr>
        <w:t>
      5) подготавливает и подписывает заключения, прилагаемого к заключительному отчету, в котором указаны типы инспекционных проверок, даты их проведения, включая информацию об этапе проверяемого исследования, и даты передачи результатов инспектирования руководству испытательной лаборатории, руководителю исследования и ведущему исследователю. Заключение также содержит информацию о том, что первичные данные исследования отражены в заключительном отчете достоверно.</w:t>
      </w:r>
    </w:p>
    <w:bookmarkEnd w:id="127"/>
    <w:bookmarkStart w:name="z134" w:id="128"/>
    <w:p>
      <w:pPr>
        <w:spacing w:after="0"/>
        <w:ind w:left="0"/>
        <w:jc w:val="left"/>
      </w:pPr>
      <w:r>
        <w:rPr>
          <w:rFonts w:ascii="Times New Roman"/>
          <w:b/>
          <w:i w:val="false"/>
          <w:color w:val="000000"/>
        </w:rPr>
        <w:t xml:space="preserve"> Параграф 2. Персонал испытательной лаборатории</w:t>
      </w:r>
    </w:p>
    <w:bookmarkEnd w:id="128"/>
    <w:bookmarkStart w:name="z135" w:id="129"/>
    <w:p>
      <w:pPr>
        <w:spacing w:after="0"/>
        <w:ind w:left="0"/>
        <w:jc w:val="both"/>
      </w:pPr>
      <w:r>
        <w:rPr>
          <w:rFonts w:ascii="Times New Roman"/>
          <w:b w:val="false"/>
          <w:i w:val="false"/>
          <w:color w:val="000000"/>
          <w:sz w:val="28"/>
        </w:rPr>
        <w:t>
      17. Руководство испытательной лаборатории обеспечивает соответствие Стандарту, в том числе:</w:t>
      </w:r>
    </w:p>
    <w:bookmarkEnd w:id="129"/>
    <w:bookmarkStart w:name="z136" w:id="130"/>
    <w:p>
      <w:pPr>
        <w:spacing w:after="0"/>
        <w:ind w:left="0"/>
        <w:jc w:val="both"/>
      </w:pPr>
      <w:r>
        <w:rPr>
          <w:rFonts w:ascii="Times New Roman"/>
          <w:b w:val="false"/>
          <w:i w:val="false"/>
          <w:color w:val="000000"/>
          <w:sz w:val="28"/>
        </w:rPr>
        <w:t>
      1) наличие достаточного количества сотрудников, соответствующего оборудования, средств и материалов для своевременного и надлежащего проведения исследования;</w:t>
      </w:r>
    </w:p>
    <w:bookmarkEnd w:id="130"/>
    <w:bookmarkStart w:name="z137" w:id="131"/>
    <w:p>
      <w:pPr>
        <w:spacing w:after="0"/>
        <w:ind w:left="0"/>
        <w:jc w:val="both"/>
      </w:pPr>
      <w:r>
        <w:rPr>
          <w:rFonts w:ascii="Times New Roman"/>
          <w:b w:val="false"/>
          <w:i w:val="false"/>
          <w:color w:val="000000"/>
          <w:sz w:val="28"/>
        </w:rPr>
        <w:t>
      2) ведение учета квалификаций, обучения, опыта и описания работ каждого специалиста и технического персонала;</w:t>
      </w:r>
    </w:p>
    <w:bookmarkEnd w:id="131"/>
    <w:bookmarkStart w:name="z138" w:id="132"/>
    <w:p>
      <w:pPr>
        <w:spacing w:after="0"/>
        <w:ind w:left="0"/>
        <w:jc w:val="both"/>
      </w:pPr>
      <w:r>
        <w:rPr>
          <w:rFonts w:ascii="Times New Roman"/>
          <w:b w:val="false"/>
          <w:i w:val="false"/>
          <w:color w:val="000000"/>
          <w:sz w:val="28"/>
        </w:rPr>
        <w:t>
      3) понимание выполняемых функций и предоставление соответствующего обучения;</w:t>
      </w:r>
    </w:p>
    <w:bookmarkEnd w:id="132"/>
    <w:bookmarkStart w:name="z139" w:id="133"/>
    <w:p>
      <w:pPr>
        <w:spacing w:after="0"/>
        <w:ind w:left="0"/>
        <w:jc w:val="both"/>
      </w:pPr>
      <w:r>
        <w:rPr>
          <w:rFonts w:ascii="Times New Roman"/>
          <w:b w:val="false"/>
          <w:i w:val="false"/>
          <w:color w:val="000000"/>
          <w:sz w:val="28"/>
        </w:rPr>
        <w:t>
      4) наличие и выполнение технически обоснованных СОП, утверждение СОП и изменения к ним;</w:t>
      </w:r>
    </w:p>
    <w:bookmarkEnd w:id="133"/>
    <w:bookmarkStart w:name="z140" w:id="134"/>
    <w:p>
      <w:pPr>
        <w:spacing w:after="0"/>
        <w:ind w:left="0"/>
        <w:jc w:val="both"/>
      </w:pPr>
      <w:r>
        <w:rPr>
          <w:rFonts w:ascii="Times New Roman"/>
          <w:b w:val="false"/>
          <w:i w:val="false"/>
          <w:color w:val="000000"/>
          <w:sz w:val="28"/>
        </w:rPr>
        <w:t>
      5) наличие системы обеспечения качества с персоналом;</w:t>
      </w:r>
    </w:p>
    <w:bookmarkEnd w:id="134"/>
    <w:bookmarkStart w:name="z141" w:id="135"/>
    <w:p>
      <w:pPr>
        <w:spacing w:after="0"/>
        <w:ind w:left="0"/>
        <w:jc w:val="both"/>
      </w:pPr>
      <w:r>
        <w:rPr>
          <w:rFonts w:ascii="Times New Roman"/>
          <w:b w:val="false"/>
          <w:i w:val="false"/>
          <w:color w:val="000000"/>
          <w:sz w:val="28"/>
        </w:rPr>
        <w:t>
      6) перед началом каждого исследования назначение сотрудника в качестве руководителя исследования с квалификацией, соответствующей целям исследования. Замена руководителя исследования проводится согласно утвержденным СОП и оформляется документально;</w:t>
      </w:r>
    </w:p>
    <w:bookmarkEnd w:id="135"/>
    <w:bookmarkStart w:name="z142" w:id="136"/>
    <w:p>
      <w:pPr>
        <w:spacing w:after="0"/>
        <w:ind w:left="0"/>
        <w:jc w:val="both"/>
      </w:pPr>
      <w:r>
        <w:rPr>
          <w:rFonts w:ascii="Times New Roman"/>
          <w:b w:val="false"/>
          <w:i w:val="false"/>
          <w:color w:val="000000"/>
          <w:sz w:val="28"/>
        </w:rPr>
        <w:t>
      7) в случае многоцентрового исследования назначается ведущий исследователь с соответствующим образованием, квалификацией и опытом. Замена ведущего исследователя проводится согласно утвержденным СОП и оформляется документально;</w:t>
      </w:r>
    </w:p>
    <w:bookmarkEnd w:id="136"/>
    <w:bookmarkStart w:name="z143" w:id="137"/>
    <w:p>
      <w:pPr>
        <w:spacing w:after="0"/>
        <w:ind w:left="0"/>
        <w:jc w:val="both"/>
      </w:pPr>
      <w:r>
        <w:rPr>
          <w:rFonts w:ascii="Times New Roman"/>
          <w:b w:val="false"/>
          <w:i w:val="false"/>
          <w:color w:val="000000"/>
          <w:sz w:val="28"/>
        </w:rPr>
        <w:t>
      8) утверждение документально оформленного протокола, программы исследования руководителем исследования;</w:t>
      </w:r>
    </w:p>
    <w:bookmarkEnd w:id="137"/>
    <w:bookmarkStart w:name="z144" w:id="138"/>
    <w:p>
      <w:pPr>
        <w:spacing w:after="0"/>
        <w:ind w:left="0"/>
        <w:jc w:val="both"/>
      </w:pPr>
      <w:r>
        <w:rPr>
          <w:rFonts w:ascii="Times New Roman"/>
          <w:b w:val="false"/>
          <w:i w:val="false"/>
          <w:color w:val="000000"/>
          <w:sz w:val="28"/>
        </w:rPr>
        <w:t>
      9) контроль за предоставлением руководителем утвержденного протокола, плана, программы исследования персоналу отдела обеспечения качества;</w:t>
      </w:r>
    </w:p>
    <w:bookmarkEnd w:id="138"/>
    <w:bookmarkStart w:name="z145" w:id="139"/>
    <w:p>
      <w:pPr>
        <w:spacing w:after="0"/>
        <w:ind w:left="0"/>
        <w:jc w:val="both"/>
      </w:pPr>
      <w:r>
        <w:rPr>
          <w:rFonts w:ascii="Times New Roman"/>
          <w:b w:val="false"/>
          <w:i w:val="false"/>
          <w:color w:val="000000"/>
          <w:sz w:val="28"/>
        </w:rPr>
        <w:t>
      10) ведение учета всех документов в соответствии с СОП;</w:t>
      </w:r>
    </w:p>
    <w:bookmarkEnd w:id="139"/>
    <w:bookmarkStart w:name="z146" w:id="140"/>
    <w:p>
      <w:pPr>
        <w:spacing w:after="0"/>
        <w:ind w:left="0"/>
        <w:jc w:val="both"/>
      </w:pPr>
      <w:r>
        <w:rPr>
          <w:rFonts w:ascii="Times New Roman"/>
          <w:b w:val="false"/>
          <w:i w:val="false"/>
          <w:color w:val="000000"/>
          <w:sz w:val="28"/>
        </w:rPr>
        <w:t>
      11) назначение сотрудника, отвечающего за руководство архивом;</w:t>
      </w:r>
    </w:p>
    <w:bookmarkEnd w:id="140"/>
    <w:bookmarkStart w:name="z147" w:id="141"/>
    <w:p>
      <w:pPr>
        <w:spacing w:after="0"/>
        <w:ind w:left="0"/>
        <w:jc w:val="both"/>
      </w:pPr>
      <w:r>
        <w:rPr>
          <w:rFonts w:ascii="Times New Roman"/>
          <w:b w:val="false"/>
          <w:i w:val="false"/>
          <w:color w:val="000000"/>
          <w:sz w:val="28"/>
        </w:rPr>
        <w:t>
      12) ведение основного графика;</w:t>
      </w:r>
    </w:p>
    <w:bookmarkEnd w:id="141"/>
    <w:bookmarkStart w:name="z148" w:id="142"/>
    <w:p>
      <w:pPr>
        <w:spacing w:after="0"/>
        <w:ind w:left="0"/>
        <w:jc w:val="both"/>
      </w:pPr>
      <w:r>
        <w:rPr>
          <w:rFonts w:ascii="Times New Roman"/>
          <w:b w:val="false"/>
          <w:i w:val="false"/>
          <w:color w:val="000000"/>
          <w:sz w:val="28"/>
        </w:rPr>
        <w:t>
      13) в случае многоцентрового исследования осуществление тесной связи между руководителем исследования, ведущим исследователем, программой обеспечения качества и персоналом исследования;</w:t>
      </w:r>
    </w:p>
    <w:bookmarkEnd w:id="142"/>
    <w:bookmarkStart w:name="z149" w:id="143"/>
    <w:p>
      <w:pPr>
        <w:spacing w:after="0"/>
        <w:ind w:left="0"/>
        <w:jc w:val="both"/>
      </w:pPr>
      <w:r>
        <w:rPr>
          <w:rFonts w:ascii="Times New Roman"/>
          <w:b w:val="false"/>
          <w:i w:val="false"/>
          <w:color w:val="000000"/>
          <w:sz w:val="28"/>
        </w:rPr>
        <w:t>
      14) установление процедуры контроля использования компьютеризированных систем по предназначению, их валидацию, функционирование и обслуживание согласно Стандарту.</w:t>
      </w:r>
    </w:p>
    <w:bookmarkEnd w:id="143"/>
    <w:bookmarkStart w:name="z150" w:id="144"/>
    <w:p>
      <w:pPr>
        <w:spacing w:after="0"/>
        <w:ind w:left="0"/>
        <w:jc w:val="both"/>
      </w:pPr>
      <w:r>
        <w:rPr>
          <w:rFonts w:ascii="Times New Roman"/>
          <w:b w:val="false"/>
          <w:i w:val="false"/>
          <w:color w:val="000000"/>
          <w:sz w:val="28"/>
        </w:rPr>
        <w:t>
      18. Руководитель исследования является централизованным контролирующим лицом в исследовании и отвечает за общее проведение исследования и подготовку заключительного отчета.</w:t>
      </w:r>
    </w:p>
    <w:bookmarkEnd w:id="144"/>
    <w:bookmarkStart w:name="z151" w:id="145"/>
    <w:p>
      <w:pPr>
        <w:spacing w:after="0"/>
        <w:ind w:left="0"/>
        <w:jc w:val="both"/>
      </w:pPr>
      <w:r>
        <w:rPr>
          <w:rFonts w:ascii="Times New Roman"/>
          <w:b w:val="false"/>
          <w:i w:val="false"/>
          <w:color w:val="000000"/>
          <w:sz w:val="28"/>
        </w:rPr>
        <w:t>
      19. Руководитель исследования обеспечивает:</w:t>
      </w:r>
    </w:p>
    <w:bookmarkEnd w:id="145"/>
    <w:bookmarkStart w:name="z152" w:id="146"/>
    <w:p>
      <w:pPr>
        <w:spacing w:after="0"/>
        <w:ind w:left="0"/>
        <w:jc w:val="both"/>
      </w:pPr>
      <w:r>
        <w:rPr>
          <w:rFonts w:ascii="Times New Roman"/>
          <w:b w:val="false"/>
          <w:i w:val="false"/>
          <w:color w:val="000000"/>
          <w:sz w:val="28"/>
        </w:rPr>
        <w:t>
      1) согласовывание протокола, плана, программы исследования и любые его (ее) изменения проставлением даты и подписи;</w:t>
      </w:r>
    </w:p>
    <w:bookmarkEnd w:id="146"/>
    <w:bookmarkStart w:name="z153" w:id="147"/>
    <w:p>
      <w:pPr>
        <w:spacing w:after="0"/>
        <w:ind w:left="0"/>
        <w:jc w:val="both"/>
      </w:pPr>
      <w:r>
        <w:rPr>
          <w:rFonts w:ascii="Times New Roman"/>
          <w:b w:val="false"/>
          <w:i w:val="false"/>
          <w:color w:val="000000"/>
          <w:sz w:val="28"/>
        </w:rPr>
        <w:t>
      2) организацию работы по проведению исследования, распределяет функции между участниками исследования;</w:t>
      </w:r>
    </w:p>
    <w:bookmarkEnd w:id="147"/>
    <w:bookmarkStart w:name="z154" w:id="148"/>
    <w:p>
      <w:pPr>
        <w:spacing w:after="0"/>
        <w:ind w:left="0"/>
        <w:jc w:val="both"/>
      </w:pPr>
      <w:r>
        <w:rPr>
          <w:rFonts w:ascii="Times New Roman"/>
          <w:b w:val="false"/>
          <w:i w:val="false"/>
          <w:color w:val="000000"/>
          <w:sz w:val="28"/>
        </w:rPr>
        <w:t>
      3) контроль за своевременным предоставление персоналу отдела обеспечения качества копии протокола, плана, программы исследования и всех его (ее) изменений согласно требованиям к проведению исследования;</w:t>
      </w:r>
    </w:p>
    <w:bookmarkEnd w:id="148"/>
    <w:bookmarkStart w:name="z155" w:id="149"/>
    <w:p>
      <w:pPr>
        <w:spacing w:after="0"/>
        <w:ind w:left="0"/>
        <w:jc w:val="both"/>
      </w:pPr>
      <w:r>
        <w:rPr>
          <w:rFonts w:ascii="Times New Roman"/>
          <w:b w:val="false"/>
          <w:i w:val="false"/>
          <w:color w:val="000000"/>
          <w:sz w:val="28"/>
        </w:rPr>
        <w:t>
      4) предоставление протокола, плана, программы исследования и его (ее) изменения, а также СОП персоналу исследования;</w:t>
      </w:r>
    </w:p>
    <w:bookmarkEnd w:id="149"/>
    <w:bookmarkStart w:name="z156" w:id="150"/>
    <w:p>
      <w:pPr>
        <w:spacing w:after="0"/>
        <w:ind w:left="0"/>
        <w:jc w:val="both"/>
      </w:pPr>
      <w:r>
        <w:rPr>
          <w:rFonts w:ascii="Times New Roman"/>
          <w:b w:val="false"/>
          <w:i w:val="false"/>
          <w:color w:val="000000"/>
          <w:sz w:val="28"/>
        </w:rPr>
        <w:t>
      5) оформление протокола, плана, программы исследования и заключительного отчета и изменения к ним;</w:t>
      </w:r>
    </w:p>
    <w:bookmarkEnd w:id="150"/>
    <w:bookmarkStart w:name="z157" w:id="151"/>
    <w:p>
      <w:pPr>
        <w:spacing w:after="0"/>
        <w:ind w:left="0"/>
        <w:jc w:val="both"/>
      </w:pPr>
      <w:r>
        <w:rPr>
          <w:rFonts w:ascii="Times New Roman"/>
          <w:b w:val="false"/>
          <w:i w:val="false"/>
          <w:color w:val="000000"/>
          <w:sz w:val="28"/>
        </w:rPr>
        <w:t>
      6) соблюдение процедур, указанных в протоколе, плане, программе исследования, оценивает и документирует влияние любых отклонений от протокола, плана, программы исследования на качество и достоверность исследования;</w:t>
      </w:r>
    </w:p>
    <w:bookmarkEnd w:id="151"/>
    <w:bookmarkStart w:name="z158" w:id="152"/>
    <w:p>
      <w:pPr>
        <w:spacing w:after="0"/>
        <w:ind w:left="0"/>
        <w:jc w:val="both"/>
      </w:pPr>
      <w:r>
        <w:rPr>
          <w:rFonts w:ascii="Times New Roman"/>
          <w:b w:val="false"/>
          <w:i w:val="false"/>
          <w:color w:val="000000"/>
          <w:sz w:val="28"/>
        </w:rPr>
        <w:t>
      7) документальное оформление и регистрацию полученных исходных данных;</w:t>
      </w:r>
    </w:p>
    <w:bookmarkEnd w:id="152"/>
    <w:bookmarkStart w:name="z159" w:id="153"/>
    <w:p>
      <w:pPr>
        <w:spacing w:after="0"/>
        <w:ind w:left="0"/>
        <w:jc w:val="both"/>
      </w:pPr>
      <w:r>
        <w:rPr>
          <w:rFonts w:ascii="Times New Roman"/>
          <w:b w:val="false"/>
          <w:i w:val="false"/>
          <w:color w:val="000000"/>
          <w:sz w:val="28"/>
        </w:rPr>
        <w:t>
      8) контроль за прохождением валидации компьютеризированных систем, используемых в исследовании;</w:t>
      </w:r>
    </w:p>
    <w:bookmarkEnd w:id="153"/>
    <w:bookmarkStart w:name="z160" w:id="154"/>
    <w:p>
      <w:pPr>
        <w:spacing w:after="0"/>
        <w:ind w:left="0"/>
        <w:jc w:val="both"/>
      </w:pPr>
      <w:r>
        <w:rPr>
          <w:rFonts w:ascii="Times New Roman"/>
          <w:b w:val="false"/>
          <w:i w:val="false"/>
          <w:color w:val="000000"/>
          <w:sz w:val="28"/>
        </w:rPr>
        <w:t>
      9) подписание и датировку заключительного отчета с учетом достоверность данных и указанием соответствия исследования Стандарту;</w:t>
      </w:r>
    </w:p>
    <w:bookmarkEnd w:id="154"/>
    <w:bookmarkStart w:name="z161" w:id="155"/>
    <w:p>
      <w:pPr>
        <w:spacing w:after="0"/>
        <w:ind w:left="0"/>
        <w:jc w:val="both"/>
      </w:pPr>
      <w:r>
        <w:rPr>
          <w:rFonts w:ascii="Times New Roman"/>
          <w:b w:val="false"/>
          <w:i w:val="false"/>
          <w:color w:val="000000"/>
          <w:sz w:val="28"/>
        </w:rPr>
        <w:t>
      10) контроль за архивированием протокола, плана, программы исследования, заключительного отчета, исходных данных и всей документации после окончания (или прекращения) исследования.</w:t>
      </w:r>
    </w:p>
    <w:bookmarkEnd w:id="155"/>
    <w:bookmarkStart w:name="z162" w:id="156"/>
    <w:p>
      <w:pPr>
        <w:spacing w:after="0"/>
        <w:ind w:left="0"/>
        <w:jc w:val="both"/>
      </w:pPr>
      <w:r>
        <w:rPr>
          <w:rFonts w:ascii="Times New Roman"/>
          <w:b w:val="false"/>
          <w:i w:val="false"/>
          <w:color w:val="000000"/>
          <w:sz w:val="28"/>
        </w:rPr>
        <w:t>
      20. Ведущий исследователь обеспечивает проведение исследования согласно соответствующему Стандарту.</w:t>
      </w:r>
    </w:p>
    <w:bookmarkEnd w:id="156"/>
    <w:bookmarkStart w:name="z163" w:id="157"/>
    <w:p>
      <w:pPr>
        <w:spacing w:after="0"/>
        <w:ind w:left="0"/>
        <w:jc w:val="both"/>
      </w:pPr>
      <w:r>
        <w:rPr>
          <w:rFonts w:ascii="Times New Roman"/>
          <w:b w:val="false"/>
          <w:i w:val="false"/>
          <w:color w:val="000000"/>
          <w:sz w:val="28"/>
        </w:rPr>
        <w:t>
      21. Персонал, задействованный в проведении исследования, осуществляет соблюдение Стандарта.</w:t>
      </w:r>
    </w:p>
    <w:bookmarkEnd w:id="157"/>
    <w:bookmarkStart w:name="z164" w:id="158"/>
    <w:p>
      <w:pPr>
        <w:spacing w:after="0"/>
        <w:ind w:left="0"/>
        <w:jc w:val="both"/>
      </w:pPr>
      <w:r>
        <w:rPr>
          <w:rFonts w:ascii="Times New Roman"/>
          <w:b w:val="false"/>
          <w:i w:val="false"/>
          <w:color w:val="000000"/>
          <w:sz w:val="28"/>
        </w:rPr>
        <w:t>
      22. Персонал исследования имеет доступ к протоколу, плану, программе исследования и соответствующим СОП, которые имеют отношение к его работе в исследовании. Любые отклонения от протокола, плана, программы исследования оформляется документально и передается напрямую руководителю исследования и (или) при необходимости ведущему исследователю.</w:t>
      </w:r>
    </w:p>
    <w:bookmarkEnd w:id="158"/>
    <w:bookmarkStart w:name="z165" w:id="159"/>
    <w:p>
      <w:pPr>
        <w:spacing w:after="0"/>
        <w:ind w:left="0"/>
        <w:jc w:val="both"/>
      </w:pPr>
      <w:r>
        <w:rPr>
          <w:rFonts w:ascii="Times New Roman"/>
          <w:b w:val="false"/>
          <w:i w:val="false"/>
          <w:color w:val="000000"/>
          <w:sz w:val="28"/>
        </w:rPr>
        <w:t>
      23. Персонал исследования обеспечивает своевременную и точную регистрацию исходных данных и их соответствие Стандарту, а также за качество этих данных.</w:t>
      </w:r>
    </w:p>
    <w:bookmarkEnd w:id="159"/>
    <w:bookmarkStart w:name="z166" w:id="160"/>
    <w:p>
      <w:pPr>
        <w:spacing w:after="0"/>
        <w:ind w:left="0"/>
        <w:jc w:val="both"/>
      </w:pPr>
      <w:r>
        <w:rPr>
          <w:rFonts w:ascii="Times New Roman"/>
          <w:b w:val="false"/>
          <w:i w:val="false"/>
          <w:color w:val="000000"/>
          <w:sz w:val="28"/>
        </w:rPr>
        <w:t>
      24. Персонал исследования предпринимает оздоровительные профилактические меры для минимизации риска для здоровья и обеспечивать достоверность исследования. Персонал своевременно сообщает соответствующему лицу о санитарных или медицинских условиях с целью их устранения и недопущения влияния на исследование.</w:t>
      </w:r>
    </w:p>
    <w:bookmarkEnd w:id="160"/>
    <w:bookmarkStart w:name="z167" w:id="161"/>
    <w:p>
      <w:pPr>
        <w:spacing w:after="0"/>
        <w:ind w:left="0"/>
        <w:jc w:val="both"/>
      </w:pPr>
      <w:r>
        <w:rPr>
          <w:rFonts w:ascii="Times New Roman"/>
          <w:b w:val="false"/>
          <w:i w:val="false"/>
          <w:color w:val="000000"/>
          <w:sz w:val="28"/>
        </w:rPr>
        <w:t>
      25. Для облегчения работы руководителя исследования и отдела обеспечения качества при краткосрочных исследованиях используется руководство по применению Стандарта в краткосрочных исследованиях согласно приложения 1 к Стандарту, при исследованиях in vitro (ин витро) руководство по применению Стандарта для исследований in vitro (ин витро) согласно приложения 2 к Стандарту;</w:t>
      </w:r>
    </w:p>
    <w:bookmarkEnd w:id="161"/>
    <w:bookmarkStart w:name="z168" w:id="162"/>
    <w:p>
      <w:pPr>
        <w:spacing w:after="0"/>
        <w:ind w:left="0"/>
        <w:jc w:val="both"/>
      </w:pPr>
      <w:r>
        <w:rPr>
          <w:rFonts w:ascii="Times New Roman"/>
          <w:b w:val="false"/>
          <w:i w:val="false"/>
          <w:color w:val="000000"/>
          <w:sz w:val="28"/>
        </w:rPr>
        <w:t>
      26. Роль и функции руководителя исследования при проведении исследований согласно Стандарту, регламентированы в приложения 3 к Стандарту.</w:t>
      </w:r>
    </w:p>
    <w:bookmarkEnd w:id="162"/>
    <w:bookmarkStart w:name="z169" w:id="163"/>
    <w:p>
      <w:pPr>
        <w:spacing w:after="0"/>
        <w:ind w:left="0"/>
        <w:jc w:val="both"/>
      </w:pPr>
      <w:r>
        <w:rPr>
          <w:rFonts w:ascii="Times New Roman"/>
          <w:b w:val="false"/>
          <w:i w:val="false"/>
          <w:color w:val="000000"/>
          <w:sz w:val="28"/>
        </w:rPr>
        <w:t>
      27. Роль и функции спонсора в применении Стандарта регламентированы в приложения 4 к Стандарту.</w:t>
      </w:r>
    </w:p>
    <w:bookmarkEnd w:id="163"/>
    <w:bookmarkStart w:name="z170" w:id="164"/>
    <w:p>
      <w:pPr>
        <w:spacing w:after="0"/>
        <w:ind w:left="0"/>
        <w:jc w:val="left"/>
      </w:pPr>
      <w:r>
        <w:rPr>
          <w:rFonts w:ascii="Times New Roman"/>
          <w:b/>
          <w:i w:val="false"/>
          <w:color w:val="000000"/>
        </w:rPr>
        <w:t xml:space="preserve"> Параграф 3. Помещения для исследований</w:t>
      </w:r>
    </w:p>
    <w:bookmarkEnd w:id="164"/>
    <w:bookmarkStart w:name="z171" w:id="165"/>
    <w:p>
      <w:pPr>
        <w:spacing w:after="0"/>
        <w:ind w:left="0"/>
        <w:jc w:val="both"/>
      </w:pPr>
      <w:r>
        <w:rPr>
          <w:rFonts w:ascii="Times New Roman"/>
          <w:b w:val="false"/>
          <w:i w:val="false"/>
          <w:color w:val="000000"/>
          <w:sz w:val="28"/>
        </w:rPr>
        <w:t>
      28. Помещения, предназначенные для проведения доклинических (неклинических) исследований, проектируются, располагаются и эксплуатируются в целях обеспечения качественного исполнения проводимых исследований. Структура испытательной лаборатории располагает возможностями для обеспечения адекватной степени разделения разных видов деятельности для надлежащего проведения каждого исследования.</w:t>
      </w:r>
    </w:p>
    <w:bookmarkEnd w:id="165"/>
    <w:bookmarkStart w:name="z172" w:id="166"/>
    <w:p>
      <w:pPr>
        <w:spacing w:after="0"/>
        <w:ind w:left="0"/>
        <w:jc w:val="both"/>
      </w:pPr>
      <w:r>
        <w:rPr>
          <w:rFonts w:ascii="Times New Roman"/>
          <w:b w:val="false"/>
          <w:i w:val="false"/>
          <w:color w:val="000000"/>
          <w:sz w:val="28"/>
        </w:rPr>
        <w:t>
      29. Помещения для тест-систем:</w:t>
      </w:r>
    </w:p>
    <w:bookmarkEnd w:id="166"/>
    <w:bookmarkStart w:name="z173" w:id="167"/>
    <w:p>
      <w:pPr>
        <w:spacing w:after="0"/>
        <w:ind w:left="0"/>
        <w:jc w:val="both"/>
      </w:pPr>
      <w:r>
        <w:rPr>
          <w:rFonts w:ascii="Times New Roman"/>
          <w:b w:val="false"/>
          <w:i w:val="false"/>
          <w:color w:val="000000"/>
          <w:sz w:val="28"/>
        </w:rPr>
        <w:t>
      1) испытательная лаборатория располагает достаточным количеством помещений и зон для изоляции тест-систем, в которых задействованы вещества или микроорганизмы с известной или подозреваемой биологической опасностью;</w:t>
      </w:r>
    </w:p>
    <w:bookmarkEnd w:id="167"/>
    <w:bookmarkStart w:name="z174" w:id="168"/>
    <w:p>
      <w:pPr>
        <w:spacing w:after="0"/>
        <w:ind w:left="0"/>
        <w:jc w:val="both"/>
      </w:pPr>
      <w:r>
        <w:rPr>
          <w:rFonts w:ascii="Times New Roman"/>
          <w:b w:val="false"/>
          <w:i w:val="false"/>
          <w:color w:val="000000"/>
          <w:sz w:val="28"/>
        </w:rPr>
        <w:t>
      2) располагает соответствующими помещениями и зонами для диагностики, исследования и контроля заболеваний, чтобы не допустить неприемлемого уровня повреждения тест-систем;</w:t>
      </w:r>
    </w:p>
    <w:bookmarkEnd w:id="168"/>
    <w:bookmarkStart w:name="z175" w:id="169"/>
    <w:p>
      <w:pPr>
        <w:spacing w:after="0"/>
        <w:ind w:left="0"/>
        <w:jc w:val="both"/>
      </w:pPr>
      <w:r>
        <w:rPr>
          <w:rFonts w:ascii="Times New Roman"/>
          <w:b w:val="false"/>
          <w:i w:val="false"/>
          <w:color w:val="000000"/>
          <w:sz w:val="28"/>
        </w:rPr>
        <w:t>
      3) располагает отдельными помещениями или зонами хранения сырья и оборудования, используемого в исследовании, которые обеспечивают соответствующую защиту от заражения, загрязнения или повреждения.</w:t>
      </w:r>
    </w:p>
    <w:bookmarkEnd w:id="169"/>
    <w:bookmarkStart w:name="z176" w:id="170"/>
    <w:p>
      <w:pPr>
        <w:spacing w:after="0"/>
        <w:ind w:left="0"/>
        <w:jc w:val="both"/>
      </w:pPr>
      <w:r>
        <w:rPr>
          <w:rFonts w:ascii="Times New Roman"/>
          <w:b w:val="false"/>
          <w:i w:val="false"/>
          <w:color w:val="000000"/>
          <w:sz w:val="28"/>
        </w:rPr>
        <w:t>
      30. Помещения для проведения исследований исследуемых веществ (лекарственных средств) и образцов сравнения (контрольных образцов):</w:t>
      </w:r>
    </w:p>
    <w:bookmarkEnd w:id="170"/>
    <w:bookmarkStart w:name="z177" w:id="171"/>
    <w:p>
      <w:pPr>
        <w:spacing w:after="0"/>
        <w:ind w:left="0"/>
        <w:jc w:val="both"/>
      </w:pPr>
      <w:r>
        <w:rPr>
          <w:rFonts w:ascii="Times New Roman"/>
          <w:b w:val="false"/>
          <w:i w:val="false"/>
          <w:color w:val="000000"/>
          <w:sz w:val="28"/>
        </w:rPr>
        <w:t>
      1) для предотвращения загрязнения или смешивания отводятся отдельные помещения и зоны для получения и хранения исследуемых веществ (лекарственных средств) и образцов сравнения (контрольных образцов);</w:t>
      </w:r>
    </w:p>
    <w:bookmarkEnd w:id="171"/>
    <w:bookmarkStart w:name="z178" w:id="172"/>
    <w:p>
      <w:pPr>
        <w:spacing w:after="0"/>
        <w:ind w:left="0"/>
        <w:jc w:val="both"/>
      </w:pPr>
      <w:r>
        <w:rPr>
          <w:rFonts w:ascii="Times New Roman"/>
          <w:b w:val="false"/>
          <w:i w:val="false"/>
          <w:color w:val="000000"/>
          <w:sz w:val="28"/>
        </w:rPr>
        <w:t>
      2) помещения или зоны хранения испытуемых веществ располагаются отдаленно от комнат или зон, в которых размещаются испытательные системы, которые обеспечивают сохранения состава, концентрации, чистоты, стабильности и безопасное хранение опасных веществ.</w:t>
      </w:r>
    </w:p>
    <w:bookmarkEnd w:id="172"/>
    <w:bookmarkStart w:name="z179" w:id="173"/>
    <w:p>
      <w:pPr>
        <w:spacing w:after="0"/>
        <w:ind w:left="0"/>
        <w:jc w:val="both"/>
      </w:pPr>
      <w:r>
        <w:rPr>
          <w:rFonts w:ascii="Times New Roman"/>
          <w:b w:val="false"/>
          <w:i w:val="false"/>
          <w:color w:val="000000"/>
          <w:sz w:val="28"/>
        </w:rPr>
        <w:t>
      31. Помещения для архивирования оборудуются для обеспечения безопасного хранения протоколов, планов, программ исследования, исходных данных, заключительных отчетов, проб испытуемых веществ и образцов. Расположение архива и режим работы защищает его содержимое от порчи.</w:t>
      </w:r>
    </w:p>
    <w:bookmarkEnd w:id="173"/>
    <w:bookmarkStart w:name="z180" w:id="174"/>
    <w:p>
      <w:pPr>
        <w:spacing w:after="0"/>
        <w:ind w:left="0"/>
        <w:jc w:val="both"/>
      </w:pPr>
      <w:r>
        <w:rPr>
          <w:rFonts w:ascii="Times New Roman"/>
          <w:b w:val="false"/>
          <w:i w:val="false"/>
          <w:color w:val="000000"/>
          <w:sz w:val="28"/>
        </w:rPr>
        <w:t>
      32. Удаление (уничтожение) отходов осуществляется, не подвергая опасности проведение исследований и не искажая их результаты. Для этого требуется обеспечить соответствующие условия для сбора, хранения и вывоза отходов, а также процедур их дезактивации и последующей транспортировки.</w:t>
      </w:r>
    </w:p>
    <w:bookmarkEnd w:id="174"/>
    <w:bookmarkStart w:name="z181" w:id="175"/>
    <w:p>
      <w:pPr>
        <w:spacing w:after="0"/>
        <w:ind w:left="0"/>
        <w:jc w:val="left"/>
      </w:pPr>
      <w:r>
        <w:rPr>
          <w:rFonts w:ascii="Times New Roman"/>
          <w:b/>
          <w:i w:val="false"/>
          <w:color w:val="000000"/>
        </w:rPr>
        <w:t xml:space="preserve"> Параграф 4. Оборудование, материалы и реактивы</w:t>
      </w:r>
    </w:p>
    <w:bookmarkEnd w:id="175"/>
    <w:bookmarkStart w:name="z182" w:id="176"/>
    <w:p>
      <w:pPr>
        <w:spacing w:after="0"/>
        <w:ind w:left="0"/>
        <w:jc w:val="both"/>
      </w:pPr>
      <w:r>
        <w:rPr>
          <w:rFonts w:ascii="Times New Roman"/>
          <w:b w:val="false"/>
          <w:i w:val="false"/>
          <w:color w:val="000000"/>
          <w:sz w:val="28"/>
        </w:rPr>
        <w:t>
      33.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 размещаются с учетом особенностей, целей и назначения, соответствующих видам проводимых исследований.</w:t>
      </w:r>
    </w:p>
    <w:bookmarkEnd w:id="176"/>
    <w:bookmarkStart w:name="z183" w:id="177"/>
    <w:p>
      <w:pPr>
        <w:spacing w:after="0"/>
        <w:ind w:left="0"/>
        <w:jc w:val="both"/>
      </w:pPr>
      <w:r>
        <w:rPr>
          <w:rFonts w:ascii="Times New Roman"/>
          <w:b w:val="false"/>
          <w:i w:val="false"/>
          <w:color w:val="000000"/>
          <w:sz w:val="28"/>
        </w:rPr>
        <w:t>
      34. Оборудование, используемое в исследовании, периодически подвергаются техническому обслуживанию, калибровке, очистке в соответствии с утвержденными СОП.</w:t>
      </w:r>
    </w:p>
    <w:bookmarkEnd w:id="177"/>
    <w:bookmarkStart w:name="z184" w:id="178"/>
    <w:p>
      <w:pPr>
        <w:spacing w:after="0"/>
        <w:ind w:left="0"/>
        <w:jc w:val="both"/>
      </w:pPr>
      <w:r>
        <w:rPr>
          <w:rFonts w:ascii="Times New Roman"/>
          <w:b w:val="false"/>
          <w:i w:val="false"/>
          <w:color w:val="000000"/>
          <w:sz w:val="28"/>
        </w:rPr>
        <w:t>
      35. Исключается отрицательное влияние на испытательные системы оборудований и материалов, используемые в исследовании.</w:t>
      </w:r>
    </w:p>
    <w:bookmarkEnd w:id="178"/>
    <w:bookmarkStart w:name="z185" w:id="179"/>
    <w:p>
      <w:pPr>
        <w:spacing w:after="0"/>
        <w:ind w:left="0"/>
        <w:jc w:val="both"/>
      </w:pPr>
      <w:r>
        <w:rPr>
          <w:rFonts w:ascii="Times New Roman"/>
          <w:b w:val="false"/>
          <w:i w:val="false"/>
          <w:color w:val="000000"/>
          <w:sz w:val="28"/>
        </w:rPr>
        <w:t>
      36. Химические вещества, реактивы и растворы, используемые в исследовании, маркируются с указанием состава (в соответствующих случаях концентрации), срока годности и указаний об особенностях хранения. Содержит информацию об источнике получения, даты приготовления и стабильности.</w:t>
      </w:r>
    </w:p>
    <w:bookmarkEnd w:id="179"/>
    <w:bookmarkStart w:name="z186" w:id="180"/>
    <w:p>
      <w:pPr>
        <w:spacing w:after="0"/>
        <w:ind w:left="0"/>
        <w:jc w:val="left"/>
      </w:pPr>
      <w:r>
        <w:rPr>
          <w:rFonts w:ascii="Times New Roman"/>
          <w:b/>
          <w:i w:val="false"/>
          <w:color w:val="000000"/>
        </w:rPr>
        <w:t xml:space="preserve"> Параграф 5. Тест-системы</w:t>
      </w:r>
    </w:p>
    <w:bookmarkEnd w:id="180"/>
    <w:bookmarkStart w:name="z187" w:id="181"/>
    <w:p>
      <w:pPr>
        <w:spacing w:after="0"/>
        <w:ind w:left="0"/>
        <w:jc w:val="both"/>
      </w:pPr>
      <w:r>
        <w:rPr>
          <w:rFonts w:ascii="Times New Roman"/>
          <w:b w:val="false"/>
          <w:i w:val="false"/>
          <w:color w:val="000000"/>
          <w:sz w:val="28"/>
        </w:rPr>
        <w:t>
      37. Физические, химические:</w:t>
      </w:r>
    </w:p>
    <w:bookmarkEnd w:id="181"/>
    <w:bookmarkStart w:name="z188" w:id="182"/>
    <w:p>
      <w:pPr>
        <w:spacing w:after="0"/>
        <w:ind w:left="0"/>
        <w:jc w:val="both"/>
      </w:pPr>
      <w:r>
        <w:rPr>
          <w:rFonts w:ascii="Times New Roman"/>
          <w:b w:val="false"/>
          <w:i w:val="false"/>
          <w:color w:val="000000"/>
          <w:sz w:val="28"/>
        </w:rPr>
        <w:t>
      1) оборудование, используемое для физико-химических исследований, имеет соответствие видам проводимых исследований;</w:t>
      </w:r>
    </w:p>
    <w:bookmarkEnd w:id="182"/>
    <w:bookmarkStart w:name="z189" w:id="183"/>
    <w:p>
      <w:pPr>
        <w:spacing w:after="0"/>
        <w:ind w:left="0"/>
        <w:jc w:val="both"/>
      </w:pPr>
      <w:r>
        <w:rPr>
          <w:rFonts w:ascii="Times New Roman"/>
          <w:b w:val="false"/>
          <w:i w:val="false"/>
          <w:color w:val="000000"/>
          <w:sz w:val="28"/>
        </w:rPr>
        <w:t>
      2) обеспечение целостности физических, химических тест-систем.</w:t>
      </w:r>
    </w:p>
    <w:bookmarkEnd w:id="183"/>
    <w:bookmarkStart w:name="z190" w:id="184"/>
    <w:p>
      <w:pPr>
        <w:spacing w:after="0"/>
        <w:ind w:left="0"/>
        <w:jc w:val="both"/>
      </w:pPr>
      <w:r>
        <w:rPr>
          <w:rFonts w:ascii="Times New Roman"/>
          <w:b w:val="false"/>
          <w:i w:val="false"/>
          <w:color w:val="000000"/>
          <w:sz w:val="28"/>
        </w:rPr>
        <w:t>
      38. Биологические:</w:t>
      </w:r>
    </w:p>
    <w:bookmarkEnd w:id="184"/>
    <w:bookmarkStart w:name="z191" w:id="185"/>
    <w:p>
      <w:pPr>
        <w:spacing w:after="0"/>
        <w:ind w:left="0"/>
        <w:jc w:val="both"/>
      </w:pPr>
      <w:r>
        <w:rPr>
          <w:rFonts w:ascii="Times New Roman"/>
          <w:b w:val="false"/>
          <w:i w:val="false"/>
          <w:color w:val="000000"/>
          <w:sz w:val="28"/>
        </w:rPr>
        <w:t>
      1) обеспечение надлежащих условии для размещения, хранения, обработки и содержания биологических тест-систем с целью обеспечения соответствующего качества исследования;</w:t>
      </w:r>
    </w:p>
    <w:bookmarkEnd w:id="185"/>
    <w:bookmarkStart w:name="z192" w:id="186"/>
    <w:p>
      <w:pPr>
        <w:spacing w:after="0"/>
        <w:ind w:left="0"/>
        <w:jc w:val="both"/>
      </w:pPr>
      <w:r>
        <w:rPr>
          <w:rFonts w:ascii="Times New Roman"/>
          <w:b w:val="false"/>
          <w:i w:val="false"/>
          <w:color w:val="000000"/>
          <w:sz w:val="28"/>
        </w:rPr>
        <w:t>
      2) вновь полученные животные и растительные испытательные системы изолируются в соответствии с утвержденными СОП. На начало исследования, испытательные системы проходят соответствующий карантин, допуск к использованию и соответствуют виду и целям исследования. Испытательные системы, пораженные болезнью или поврежденные в ходе исследования, изолируются и проходят исследования, при необходимости сохраняется целостность исследования. Любая диагностика и исследование любого заболевания перед и в ходе исследования регистрируется документально;</w:t>
      </w:r>
    </w:p>
    <w:bookmarkEnd w:id="186"/>
    <w:bookmarkStart w:name="z193" w:id="187"/>
    <w:p>
      <w:pPr>
        <w:spacing w:after="0"/>
        <w:ind w:left="0"/>
        <w:jc w:val="both"/>
      </w:pPr>
      <w:r>
        <w:rPr>
          <w:rFonts w:ascii="Times New Roman"/>
          <w:b w:val="false"/>
          <w:i w:val="false"/>
          <w:color w:val="000000"/>
          <w:sz w:val="28"/>
        </w:rPr>
        <w:t>
      3) ведется регистрация источника получения, даты и условий прибытия тест-систем;</w:t>
      </w:r>
    </w:p>
    <w:bookmarkEnd w:id="187"/>
    <w:bookmarkStart w:name="z194" w:id="188"/>
    <w:p>
      <w:pPr>
        <w:spacing w:after="0"/>
        <w:ind w:left="0"/>
        <w:jc w:val="both"/>
      </w:pPr>
      <w:r>
        <w:rPr>
          <w:rFonts w:ascii="Times New Roman"/>
          <w:b w:val="false"/>
          <w:i w:val="false"/>
          <w:color w:val="000000"/>
          <w:sz w:val="28"/>
        </w:rPr>
        <w:t>
      4) биологические испытательные системы проходят адаптацию к условиям исследований в течение соответствующего периода времени перед первым введением, применением исследуемого вещества или образца сравнения (контрольного образца);</w:t>
      </w:r>
    </w:p>
    <w:bookmarkEnd w:id="188"/>
    <w:bookmarkStart w:name="z195" w:id="189"/>
    <w:p>
      <w:pPr>
        <w:spacing w:after="0"/>
        <w:ind w:left="0"/>
        <w:jc w:val="both"/>
      </w:pPr>
      <w:r>
        <w:rPr>
          <w:rFonts w:ascii="Times New Roman"/>
          <w:b w:val="false"/>
          <w:i w:val="false"/>
          <w:color w:val="000000"/>
          <w:sz w:val="28"/>
        </w:rPr>
        <w:t>
      5) для надлежащей идентификации используемые тест-системы обозначается соответствующей маркировкой;</w:t>
      </w:r>
    </w:p>
    <w:bookmarkEnd w:id="189"/>
    <w:bookmarkStart w:name="z196" w:id="190"/>
    <w:p>
      <w:pPr>
        <w:spacing w:after="0"/>
        <w:ind w:left="0"/>
        <w:jc w:val="both"/>
      </w:pPr>
      <w:r>
        <w:rPr>
          <w:rFonts w:ascii="Times New Roman"/>
          <w:b w:val="false"/>
          <w:i w:val="false"/>
          <w:color w:val="000000"/>
          <w:sz w:val="28"/>
        </w:rPr>
        <w:t>
      6) при использовании помещения или контейнеры с испытательными системами следует периодически подвергать санитарной обработке. Любой материал, контактирующий с испытательной системой, не содержит загрязнителей на уровне, мешающем проведению исследования.</w:t>
      </w:r>
    </w:p>
    <w:bookmarkEnd w:id="190"/>
    <w:bookmarkStart w:name="z197" w:id="191"/>
    <w:p>
      <w:pPr>
        <w:spacing w:after="0"/>
        <w:ind w:left="0"/>
        <w:jc w:val="left"/>
      </w:pPr>
      <w:r>
        <w:rPr>
          <w:rFonts w:ascii="Times New Roman"/>
          <w:b/>
          <w:i w:val="false"/>
          <w:color w:val="000000"/>
        </w:rPr>
        <w:t xml:space="preserve"> Параграф 6. Испытуемые вещества (лекарственные средства) и образцы сравнения (контрольные образцы)</w:t>
      </w:r>
    </w:p>
    <w:bookmarkEnd w:id="191"/>
    <w:bookmarkStart w:name="z198" w:id="192"/>
    <w:p>
      <w:pPr>
        <w:spacing w:after="0"/>
        <w:ind w:left="0"/>
        <w:jc w:val="both"/>
      </w:pPr>
      <w:r>
        <w:rPr>
          <w:rFonts w:ascii="Times New Roman"/>
          <w:b w:val="false"/>
          <w:i w:val="false"/>
          <w:color w:val="000000"/>
          <w:sz w:val="28"/>
        </w:rPr>
        <w:t>
      39. Получение, обработка, отбор проб и хранение:</w:t>
      </w:r>
    </w:p>
    <w:bookmarkEnd w:id="192"/>
    <w:bookmarkStart w:name="z199" w:id="193"/>
    <w:p>
      <w:pPr>
        <w:spacing w:after="0"/>
        <w:ind w:left="0"/>
        <w:jc w:val="both"/>
      </w:pPr>
      <w:r>
        <w:rPr>
          <w:rFonts w:ascii="Times New Roman"/>
          <w:b w:val="false"/>
          <w:i w:val="false"/>
          <w:color w:val="000000"/>
          <w:sz w:val="28"/>
        </w:rPr>
        <w:t>
      1) наличие информации о свойствах исследуемого вещества (лекарственного средства) и образцов сравнения (контрольных образцов), дате получения, сроке годности и полученном и использованном количестве в исследованиях;</w:t>
      </w:r>
    </w:p>
    <w:bookmarkEnd w:id="193"/>
    <w:bookmarkStart w:name="z200" w:id="194"/>
    <w:p>
      <w:pPr>
        <w:spacing w:after="0"/>
        <w:ind w:left="0"/>
        <w:jc w:val="both"/>
      </w:pPr>
      <w:r>
        <w:rPr>
          <w:rFonts w:ascii="Times New Roman"/>
          <w:b w:val="false"/>
          <w:i w:val="false"/>
          <w:color w:val="000000"/>
          <w:sz w:val="28"/>
        </w:rPr>
        <w:t>
      2) указываются процедуры обработки, отбора проб, и хранения с целью обеспечения надлежащего уровня гомогенности и стабильности, исключающего загрязнение или смешивание;</w:t>
      </w:r>
    </w:p>
    <w:bookmarkEnd w:id="194"/>
    <w:bookmarkStart w:name="z201" w:id="195"/>
    <w:p>
      <w:pPr>
        <w:spacing w:after="0"/>
        <w:ind w:left="0"/>
        <w:jc w:val="both"/>
      </w:pPr>
      <w:r>
        <w:rPr>
          <w:rFonts w:ascii="Times New Roman"/>
          <w:b w:val="false"/>
          <w:i w:val="false"/>
          <w:color w:val="000000"/>
          <w:sz w:val="28"/>
        </w:rPr>
        <w:t>
      3) на контейнере для хранения обозначается соответствующая идентифицирующая информация, срок годности и особенности хранения.</w:t>
      </w:r>
    </w:p>
    <w:bookmarkEnd w:id="195"/>
    <w:bookmarkStart w:name="z202" w:id="196"/>
    <w:p>
      <w:pPr>
        <w:spacing w:after="0"/>
        <w:ind w:left="0"/>
        <w:jc w:val="both"/>
      </w:pPr>
      <w:r>
        <w:rPr>
          <w:rFonts w:ascii="Times New Roman"/>
          <w:b w:val="false"/>
          <w:i w:val="false"/>
          <w:color w:val="000000"/>
          <w:sz w:val="28"/>
        </w:rPr>
        <w:t>
      40. Описание свойств:</w:t>
      </w:r>
    </w:p>
    <w:bookmarkEnd w:id="196"/>
    <w:bookmarkStart w:name="z203" w:id="197"/>
    <w:p>
      <w:pPr>
        <w:spacing w:after="0"/>
        <w:ind w:left="0"/>
        <w:jc w:val="both"/>
      </w:pPr>
      <w:r>
        <w:rPr>
          <w:rFonts w:ascii="Times New Roman"/>
          <w:b w:val="false"/>
          <w:i w:val="false"/>
          <w:color w:val="000000"/>
          <w:sz w:val="28"/>
        </w:rPr>
        <w:t>
      1) каждое исследуемое вещество (лекарственное средство) и образец сравнения (контрольный образец) соответствующим образом идентифицируется (например, код, идентификационный номер по реестру Химической реферативной службы Американского химического общества), с указанием их названия, физических, химических, биологических, фармакологических свойств;</w:t>
      </w:r>
    </w:p>
    <w:bookmarkEnd w:id="197"/>
    <w:bookmarkStart w:name="z204" w:id="198"/>
    <w:p>
      <w:pPr>
        <w:spacing w:after="0"/>
        <w:ind w:left="0"/>
        <w:jc w:val="both"/>
      </w:pPr>
      <w:r>
        <w:rPr>
          <w:rFonts w:ascii="Times New Roman"/>
          <w:b w:val="false"/>
          <w:i w:val="false"/>
          <w:color w:val="000000"/>
          <w:sz w:val="28"/>
        </w:rPr>
        <w:t>
      2) в каждом исследовании требуется информация о номере серии, чистоте, составе, концентрации и других характеристиках исследуемого вещества (лекарственного средства) и образцов сравнения (контрольных образцов).</w:t>
      </w:r>
    </w:p>
    <w:bookmarkEnd w:id="198"/>
    <w:bookmarkStart w:name="z205" w:id="199"/>
    <w:p>
      <w:pPr>
        <w:spacing w:after="0"/>
        <w:ind w:left="0"/>
        <w:jc w:val="both"/>
      </w:pPr>
      <w:r>
        <w:rPr>
          <w:rFonts w:ascii="Times New Roman"/>
          <w:b w:val="false"/>
          <w:i w:val="false"/>
          <w:color w:val="000000"/>
          <w:sz w:val="28"/>
        </w:rPr>
        <w:t>
      3) в тех случаях, когда исследуемое вещество (лекарственное средство) предоставлено спонсором, разрабатывается совместная процедура между спонсором (разработчиком) и испытательной лабораторией по проверке подлинности исследуемого вещества (лекарственного средства), предназначенного для исследования;</w:t>
      </w:r>
    </w:p>
    <w:bookmarkEnd w:id="199"/>
    <w:bookmarkStart w:name="z206" w:id="200"/>
    <w:p>
      <w:pPr>
        <w:spacing w:after="0"/>
        <w:ind w:left="0"/>
        <w:jc w:val="both"/>
      </w:pPr>
      <w:r>
        <w:rPr>
          <w:rFonts w:ascii="Times New Roman"/>
          <w:b w:val="false"/>
          <w:i w:val="false"/>
          <w:color w:val="000000"/>
          <w:sz w:val="28"/>
        </w:rPr>
        <w:t>
      4) следует знать о стабильности испытуемого вещества (лекарственного средства) и образцов сравнения (контрольных образцов) в условиях хранения и исследований;</w:t>
      </w:r>
    </w:p>
    <w:bookmarkEnd w:id="200"/>
    <w:bookmarkStart w:name="z207" w:id="201"/>
    <w:p>
      <w:pPr>
        <w:spacing w:after="0"/>
        <w:ind w:left="0"/>
        <w:jc w:val="both"/>
      </w:pPr>
      <w:r>
        <w:rPr>
          <w:rFonts w:ascii="Times New Roman"/>
          <w:b w:val="false"/>
          <w:i w:val="false"/>
          <w:color w:val="000000"/>
          <w:sz w:val="28"/>
        </w:rPr>
        <w:t>
      5) если исследуемое вещество (лекарственное средство) применяется с вспомогательным материалом, следует определить гомогенность, концентрацию и стабильность исследуемого вещества в этом материале;</w:t>
      </w:r>
    </w:p>
    <w:bookmarkEnd w:id="201"/>
    <w:bookmarkStart w:name="z208" w:id="202"/>
    <w:p>
      <w:pPr>
        <w:spacing w:after="0"/>
        <w:ind w:left="0"/>
        <w:jc w:val="both"/>
      </w:pPr>
      <w:r>
        <w:rPr>
          <w:rFonts w:ascii="Times New Roman"/>
          <w:b w:val="false"/>
          <w:i w:val="false"/>
          <w:color w:val="000000"/>
          <w:sz w:val="28"/>
        </w:rPr>
        <w:t>
      6) в каждом исследовании, кроме краткосрочных, следует обеспечить архивное хранение образцов каждой серии исследуемого вещества (лекарственного средства) для аналитических целей.</w:t>
      </w:r>
    </w:p>
    <w:bookmarkEnd w:id="202"/>
    <w:bookmarkStart w:name="z209" w:id="203"/>
    <w:p>
      <w:pPr>
        <w:spacing w:after="0"/>
        <w:ind w:left="0"/>
        <w:jc w:val="left"/>
      </w:pPr>
      <w:r>
        <w:rPr>
          <w:rFonts w:ascii="Times New Roman"/>
          <w:b/>
          <w:i w:val="false"/>
          <w:color w:val="000000"/>
        </w:rPr>
        <w:t xml:space="preserve"> Параграф 7. Стандартные операционные процедуры</w:t>
      </w:r>
    </w:p>
    <w:bookmarkEnd w:id="203"/>
    <w:bookmarkStart w:name="z210" w:id="204"/>
    <w:p>
      <w:pPr>
        <w:spacing w:after="0"/>
        <w:ind w:left="0"/>
        <w:jc w:val="both"/>
      </w:pPr>
      <w:r>
        <w:rPr>
          <w:rFonts w:ascii="Times New Roman"/>
          <w:b w:val="false"/>
          <w:i w:val="false"/>
          <w:color w:val="000000"/>
          <w:sz w:val="28"/>
        </w:rPr>
        <w:t>
      41. Испытательная лаборатория имеет в наличии письменно оформленные СОП, утвержденные руководством испытательной лаборатории, которые предназначены для обеспечения качества и достоверности данных, полученных испытательной лабораторией в ходе проведения исследований. Внесение изменений в стандартные операционные процедуры одобряется руководством испытательной лаборатории.</w:t>
      </w:r>
    </w:p>
    <w:bookmarkEnd w:id="204"/>
    <w:bookmarkStart w:name="z211" w:id="205"/>
    <w:p>
      <w:pPr>
        <w:spacing w:after="0"/>
        <w:ind w:left="0"/>
        <w:jc w:val="both"/>
      </w:pPr>
      <w:r>
        <w:rPr>
          <w:rFonts w:ascii="Times New Roman"/>
          <w:b w:val="false"/>
          <w:i w:val="false"/>
          <w:color w:val="000000"/>
          <w:sz w:val="28"/>
        </w:rPr>
        <w:t>
      42. В каждом отдельном подразделении и (или) каждой площадке испытательной лаборатории имеются копии действующих СОП, относящихся к их деятельности. В качестве дополнительных материалов к этим СОП используются опубликованные учебники, аналитические методы, статьи и руководства.</w:t>
      </w:r>
    </w:p>
    <w:bookmarkEnd w:id="205"/>
    <w:bookmarkStart w:name="z212" w:id="206"/>
    <w:p>
      <w:pPr>
        <w:spacing w:after="0"/>
        <w:ind w:left="0"/>
        <w:jc w:val="both"/>
      </w:pPr>
      <w:r>
        <w:rPr>
          <w:rFonts w:ascii="Times New Roman"/>
          <w:b w:val="false"/>
          <w:i w:val="false"/>
          <w:color w:val="000000"/>
          <w:sz w:val="28"/>
        </w:rPr>
        <w:t>
      43. Отклонения от СОП, имеющих отношение к исследованию, документально оформляется, утверждается руководителем исследования и ведущим исследователем.</w:t>
      </w:r>
    </w:p>
    <w:bookmarkEnd w:id="206"/>
    <w:bookmarkStart w:name="z213" w:id="207"/>
    <w:p>
      <w:pPr>
        <w:spacing w:after="0"/>
        <w:ind w:left="0"/>
        <w:jc w:val="both"/>
      </w:pPr>
      <w:r>
        <w:rPr>
          <w:rFonts w:ascii="Times New Roman"/>
          <w:b w:val="false"/>
          <w:i w:val="false"/>
          <w:color w:val="000000"/>
          <w:sz w:val="28"/>
        </w:rPr>
        <w:t>
      44. СОП разрабатывается, для каждого вида деятельности испытательной лаборатории. Перечень видов СОП, приведенных ниже является примерным.</w:t>
      </w:r>
    </w:p>
    <w:bookmarkEnd w:id="207"/>
    <w:bookmarkStart w:name="z214" w:id="208"/>
    <w:p>
      <w:pPr>
        <w:spacing w:after="0"/>
        <w:ind w:left="0"/>
        <w:jc w:val="both"/>
      </w:pPr>
      <w:r>
        <w:rPr>
          <w:rFonts w:ascii="Times New Roman"/>
          <w:b w:val="false"/>
          <w:i w:val="false"/>
          <w:color w:val="000000"/>
          <w:sz w:val="28"/>
        </w:rPr>
        <w:t>
      45. Исследуемые вещества (лекарственные средства) и образцы сравнения (контрольные образцы): получение, идентификация, маркировка, обработка, отбор проб и хранение.</w:t>
      </w:r>
    </w:p>
    <w:bookmarkEnd w:id="208"/>
    <w:bookmarkStart w:name="z215" w:id="209"/>
    <w:p>
      <w:pPr>
        <w:spacing w:after="0"/>
        <w:ind w:left="0"/>
        <w:jc w:val="both"/>
      </w:pPr>
      <w:r>
        <w:rPr>
          <w:rFonts w:ascii="Times New Roman"/>
          <w:b w:val="false"/>
          <w:i w:val="false"/>
          <w:color w:val="000000"/>
          <w:sz w:val="28"/>
        </w:rPr>
        <w:t>
      46. Оборудование, материалы и реактивы:</w:t>
      </w:r>
    </w:p>
    <w:bookmarkEnd w:id="209"/>
    <w:bookmarkStart w:name="z216" w:id="210"/>
    <w:p>
      <w:pPr>
        <w:spacing w:after="0"/>
        <w:ind w:left="0"/>
        <w:jc w:val="both"/>
      </w:pPr>
      <w:r>
        <w:rPr>
          <w:rFonts w:ascii="Times New Roman"/>
          <w:b w:val="false"/>
          <w:i w:val="false"/>
          <w:color w:val="000000"/>
          <w:sz w:val="28"/>
        </w:rPr>
        <w:t>
      1) оборудование: использование, обслуживание, очистка и калибровка;</w:t>
      </w:r>
    </w:p>
    <w:bookmarkEnd w:id="210"/>
    <w:bookmarkStart w:name="z217" w:id="211"/>
    <w:p>
      <w:pPr>
        <w:spacing w:after="0"/>
        <w:ind w:left="0"/>
        <w:jc w:val="both"/>
      </w:pPr>
      <w:r>
        <w:rPr>
          <w:rFonts w:ascii="Times New Roman"/>
          <w:b w:val="false"/>
          <w:i w:val="false"/>
          <w:color w:val="000000"/>
          <w:sz w:val="28"/>
        </w:rPr>
        <w:t>
      2) компьютеризированные системы: валидация, функционирование, обслуживание, безопасность, контроль за изменениями и резервная система;</w:t>
      </w:r>
    </w:p>
    <w:bookmarkEnd w:id="211"/>
    <w:bookmarkStart w:name="z218" w:id="212"/>
    <w:p>
      <w:pPr>
        <w:spacing w:after="0"/>
        <w:ind w:left="0"/>
        <w:jc w:val="both"/>
      </w:pPr>
      <w:r>
        <w:rPr>
          <w:rFonts w:ascii="Times New Roman"/>
          <w:b w:val="false"/>
          <w:i w:val="false"/>
          <w:color w:val="000000"/>
          <w:sz w:val="28"/>
        </w:rPr>
        <w:t>
      3) материалы, реактивы и растворы: приготовление и маркировка.</w:t>
      </w:r>
    </w:p>
    <w:bookmarkEnd w:id="212"/>
    <w:bookmarkStart w:name="z219" w:id="213"/>
    <w:p>
      <w:pPr>
        <w:spacing w:after="0"/>
        <w:ind w:left="0"/>
        <w:jc w:val="both"/>
      </w:pPr>
      <w:r>
        <w:rPr>
          <w:rFonts w:ascii="Times New Roman"/>
          <w:b w:val="false"/>
          <w:i w:val="false"/>
          <w:color w:val="000000"/>
          <w:sz w:val="28"/>
        </w:rPr>
        <w:t>
      47. Регистрация, подготовка отчетов, сохранение: кодирование исследований, сбор данных, подготовка отчетов, системы индексации, обработка данных, включая использование компьютеризированных систем.</w:t>
      </w:r>
    </w:p>
    <w:bookmarkEnd w:id="213"/>
    <w:bookmarkStart w:name="z220" w:id="214"/>
    <w:p>
      <w:pPr>
        <w:spacing w:after="0"/>
        <w:ind w:left="0"/>
        <w:jc w:val="both"/>
      </w:pPr>
      <w:r>
        <w:rPr>
          <w:rFonts w:ascii="Times New Roman"/>
          <w:b w:val="false"/>
          <w:i w:val="false"/>
          <w:color w:val="000000"/>
          <w:sz w:val="28"/>
        </w:rPr>
        <w:t>
      48. Испытательные системы:</w:t>
      </w:r>
    </w:p>
    <w:bookmarkEnd w:id="214"/>
    <w:bookmarkStart w:name="z221" w:id="215"/>
    <w:p>
      <w:pPr>
        <w:spacing w:after="0"/>
        <w:ind w:left="0"/>
        <w:jc w:val="both"/>
      </w:pPr>
      <w:r>
        <w:rPr>
          <w:rFonts w:ascii="Times New Roman"/>
          <w:b w:val="false"/>
          <w:i w:val="false"/>
          <w:color w:val="000000"/>
          <w:sz w:val="28"/>
        </w:rPr>
        <w:t>
      1) подготовка помещений и условий хранения испытательных систем;</w:t>
      </w:r>
    </w:p>
    <w:bookmarkEnd w:id="215"/>
    <w:bookmarkStart w:name="z222" w:id="216"/>
    <w:p>
      <w:pPr>
        <w:spacing w:after="0"/>
        <w:ind w:left="0"/>
        <w:jc w:val="both"/>
      </w:pPr>
      <w:r>
        <w:rPr>
          <w:rFonts w:ascii="Times New Roman"/>
          <w:b w:val="false"/>
          <w:i w:val="false"/>
          <w:color w:val="000000"/>
          <w:sz w:val="28"/>
        </w:rPr>
        <w:t>
      2) процедуры получения, передачи, надлежащего размещения, хранения, описания, идентификации и обработки испытательной системы;</w:t>
      </w:r>
    </w:p>
    <w:bookmarkEnd w:id="216"/>
    <w:bookmarkStart w:name="z223" w:id="217"/>
    <w:p>
      <w:pPr>
        <w:spacing w:after="0"/>
        <w:ind w:left="0"/>
        <w:jc w:val="both"/>
      </w:pPr>
      <w:r>
        <w:rPr>
          <w:rFonts w:ascii="Times New Roman"/>
          <w:b w:val="false"/>
          <w:i w:val="false"/>
          <w:color w:val="000000"/>
          <w:sz w:val="28"/>
        </w:rPr>
        <w:t>
      3) подготовка испытательной системы, наблюдения и анализы перед, в течение и в конце исследования;</w:t>
      </w:r>
    </w:p>
    <w:bookmarkEnd w:id="217"/>
    <w:bookmarkStart w:name="z224" w:id="218"/>
    <w:p>
      <w:pPr>
        <w:spacing w:after="0"/>
        <w:ind w:left="0"/>
        <w:jc w:val="both"/>
      </w:pPr>
      <w:r>
        <w:rPr>
          <w:rFonts w:ascii="Times New Roman"/>
          <w:b w:val="false"/>
          <w:i w:val="false"/>
          <w:color w:val="000000"/>
          <w:sz w:val="28"/>
        </w:rPr>
        <w:t>
      4) размещение тест-систем на испытуемых площадках.</w:t>
      </w:r>
    </w:p>
    <w:bookmarkEnd w:id="218"/>
    <w:bookmarkStart w:name="z225" w:id="219"/>
    <w:p>
      <w:pPr>
        <w:spacing w:after="0"/>
        <w:ind w:left="0"/>
        <w:jc w:val="both"/>
      </w:pPr>
      <w:r>
        <w:rPr>
          <w:rFonts w:ascii="Times New Roman"/>
          <w:b w:val="false"/>
          <w:i w:val="false"/>
          <w:color w:val="000000"/>
          <w:sz w:val="28"/>
        </w:rPr>
        <w:t>
      49. Процедуры обеспечения качества: работа персонала СОП по планированию, составлению графиков, проведению, документальному оформлению и подготовке отчетов об инспекциях.</w:t>
      </w:r>
    </w:p>
    <w:bookmarkEnd w:id="219"/>
    <w:bookmarkStart w:name="z226" w:id="220"/>
    <w:p>
      <w:pPr>
        <w:spacing w:after="0"/>
        <w:ind w:left="0"/>
        <w:jc w:val="left"/>
      </w:pPr>
      <w:r>
        <w:rPr>
          <w:rFonts w:ascii="Times New Roman"/>
          <w:b/>
          <w:i w:val="false"/>
          <w:color w:val="000000"/>
        </w:rPr>
        <w:t xml:space="preserve"> Глава 4. Проведение исследования</w:t>
      </w:r>
    </w:p>
    <w:bookmarkEnd w:id="220"/>
    <w:bookmarkStart w:name="z227" w:id="221"/>
    <w:p>
      <w:pPr>
        <w:spacing w:after="0"/>
        <w:ind w:left="0"/>
        <w:jc w:val="left"/>
      </w:pPr>
      <w:r>
        <w:rPr>
          <w:rFonts w:ascii="Times New Roman"/>
          <w:b/>
          <w:i w:val="false"/>
          <w:color w:val="000000"/>
        </w:rPr>
        <w:t xml:space="preserve"> Параграф 1. Протокол, план, программа исследования</w:t>
      </w:r>
    </w:p>
    <w:bookmarkEnd w:id="221"/>
    <w:bookmarkStart w:name="z228" w:id="222"/>
    <w:p>
      <w:pPr>
        <w:spacing w:after="0"/>
        <w:ind w:left="0"/>
        <w:jc w:val="both"/>
      </w:pPr>
      <w:r>
        <w:rPr>
          <w:rFonts w:ascii="Times New Roman"/>
          <w:b w:val="false"/>
          <w:i w:val="false"/>
          <w:color w:val="000000"/>
          <w:sz w:val="28"/>
        </w:rPr>
        <w:t>
      50. В каждом исследовании имеется протокол, план, программа в письменной форме, согласованный руководством испытательной лаборатории и спонсором (разработчиком).</w:t>
      </w:r>
    </w:p>
    <w:bookmarkEnd w:id="222"/>
    <w:bookmarkStart w:name="z229" w:id="223"/>
    <w:p>
      <w:pPr>
        <w:spacing w:after="0"/>
        <w:ind w:left="0"/>
        <w:jc w:val="both"/>
      </w:pPr>
      <w:r>
        <w:rPr>
          <w:rFonts w:ascii="Times New Roman"/>
          <w:b w:val="false"/>
          <w:i w:val="false"/>
          <w:color w:val="000000"/>
          <w:sz w:val="28"/>
        </w:rPr>
        <w:t>
      51. Протокол, план, программа исследования утверждается датированной подписью руководителя исследования.</w:t>
      </w:r>
    </w:p>
    <w:bookmarkEnd w:id="223"/>
    <w:bookmarkStart w:name="z230" w:id="224"/>
    <w:p>
      <w:pPr>
        <w:spacing w:after="0"/>
        <w:ind w:left="0"/>
        <w:jc w:val="both"/>
      </w:pPr>
      <w:r>
        <w:rPr>
          <w:rFonts w:ascii="Times New Roman"/>
          <w:b w:val="false"/>
          <w:i w:val="false"/>
          <w:color w:val="000000"/>
          <w:sz w:val="28"/>
        </w:rPr>
        <w:t>
      52. Поправки протокола, плана, программы исследования имеет обоснование, одобряется датированной подписью руководителя исследования и приобщены к протоколу, плану, программе исследования.</w:t>
      </w:r>
    </w:p>
    <w:bookmarkEnd w:id="224"/>
    <w:bookmarkStart w:name="z231" w:id="225"/>
    <w:p>
      <w:pPr>
        <w:spacing w:after="0"/>
        <w:ind w:left="0"/>
        <w:jc w:val="both"/>
      </w:pPr>
      <w:r>
        <w:rPr>
          <w:rFonts w:ascii="Times New Roman"/>
          <w:b w:val="false"/>
          <w:i w:val="false"/>
          <w:color w:val="000000"/>
          <w:sz w:val="28"/>
        </w:rPr>
        <w:t>
      Отклонения от протокола, плана, программы исследования имеет описание, объяснение, одобряется, своевременно датированы руководителем исследования или ведущим исследователем и сохранены с исходными данными исследования.</w:t>
      </w:r>
    </w:p>
    <w:bookmarkEnd w:id="225"/>
    <w:bookmarkStart w:name="z232" w:id="226"/>
    <w:p>
      <w:pPr>
        <w:spacing w:after="0"/>
        <w:ind w:left="0"/>
        <w:jc w:val="both"/>
      </w:pPr>
      <w:r>
        <w:rPr>
          <w:rFonts w:ascii="Times New Roman"/>
          <w:b w:val="false"/>
          <w:i w:val="false"/>
          <w:color w:val="000000"/>
          <w:sz w:val="28"/>
        </w:rPr>
        <w:t>
      53. При краткосрочных исследованиях, используется общий протокол, план, программа исследования с соответствующими приложениями.</w:t>
      </w:r>
    </w:p>
    <w:bookmarkEnd w:id="226"/>
    <w:bookmarkStart w:name="z233" w:id="227"/>
    <w:p>
      <w:pPr>
        <w:spacing w:after="0"/>
        <w:ind w:left="0"/>
        <w:jc w:val="left"/>
      </w:pPr>
      <w:r>
        <w:rPr>
          <w:rFonts w:ascii="Times New Roman"/>
          <w:b/>
          <w:i w:val="false"/>
          <w:color w:val="000000"/>
        </w:rPr>
        <w:t xml:space="preserve"> Параграф 2. Содержание протокола, плана, программы исследования</w:t>
      </w:r>
    </w:p>
    <w:bookmarkEnd w:id="227"/>
    <w:bookmarkStart w:name="z234" w:id="228"/>
    <w:p>
      <w:pPr>
        <w:spacing w:after="0"/>
        <w:ind w:left="0"/>
        <w:jc w:val="both"/>
      </w:pPr>
      <w:r>
        <w:rPr>
          <w:rFonts w:ascii="Times New Roman"/>
          <w:b w:val="false"/>
          <w:i w:val="false"/>
          <w:color w:val="000000"/>
          <w:sz w:val="28"/>
        </w:rPr>
        <w:t>
      54. Идентификация исследования, исследуемого вещества (лекарственного средства) и образца сравнения (контрольного образца):</w:t>
      </w:r>
    </w:p>
    <w:bookmarkEnd w:id="228"/>
    <w:bookmarkStart w:name="z235" w:id="229"/>
    <w:p>
      <w:pPr>
        <w:spacing w:after="0"/>
        <w:ind w:left="0"/>
        <w:jc w:val="both"/>
      </w:pPr>
      <w:r>
        <w:rPr>
          <w:rFonts w:ascii="Times New Roman"/>
          <w:b w:val="false"/>
          <w:i w:val="false"/>
          <w:color w:val="000000"/>
          <w:sz w:val="28"/>
        </w:rPr>
        <w:t>
      1) описание дизайна исследования;</w:t>
      </w:r>
    </w:p>
    <w:bookmarkEnd w:id="229"/>
    <w:bookmarkStart w:name="z236" w:id="230"/>
    <w:p>
      <w:pPr>
        <w:spacing w:after="0"/>
        <w:ind w:left="0"/>
        <w:jc w:val="both"/>
      </w:pPr>
      <w:r>
        <w:rPr>
          <w:rFonts w:ascii="Times New Roman"/>
          <w:b w:val="false"/>
          <w:i w:val="false"/>
          <w:color w:val="000000"/>
          <w:sz w:val="28"/>
        </w:rPr>
        <w:t>
      2) информация о целях и задачах исследования;</w:t>
      </w:r>
    </w:p>
    <w:bookmarkEnd w:id="230"/>
    <w:bookmarkStart w:name="z237" w:id="231"/>
    <w:p>
      <w:pPr>
        <w:spacing w:after="0"/>
        <w:ind w:left="0"/>
        <w:jc w:val="both"/>
      </w:pPr>
      <w:r>
        <w:rPr>
          <w:rFonts w:ascii="Times New Roman"/>
          <w:b w:val="false"/>
          <w:i w:val="false"/>
          <w:color w:val="000000"/>
          <w:sz w:val="28"/>
        </w:rPr>
        <w:t>
      3) идентификация исследуемого вещества (лекарственного средства) через код или название;</w:t>
      </w:r>
    </w:p>
    <w:bookmarkEnd w:id="231"/>
    <w:bookmarkStart w:name="z238" w:id="232"/>
    <w:p>
      <w:pPr>
        <w:spacing w:after="0"/>
        <w:ind w:left="0"/>
        <w:jc w:val="both"/>
      </w:pPr>
      <w:r>
        <w:rPr>
          <w:rFonts w:ascii="Times New Roman"/>
          <w:b w:val="false"/>
          <w:i w:val="false"/>
          <w:color w:val="000000"/>
          <w:sz w:val="28"/>
        </w:rPr>
        <w:t>
      4) исследуемое вещество (лекарственное средство) его описание, природа происхождения и характеристики.</w:t>
      </w:r>
    </w:p>
    <w:bookmarkEnd w:id="232"/>
    <w:bookmarkStart w:name="z239" w:id="233"/>
    <w:p>
      <w:pPr>
        <w:spacing w:after="0"/>
        <w:ind w:left="0"/>
        <w:jc w:val="both"/>
      </w:pPr>
      <w:r>
        <w:rPr>
          <w:rFonts w:ascii="Times New Roman"/>
          <w:b w:val="false"/>
          <w:i w:val="false"/>
          <w:color w:val="000000"/>
          <w:sz w:val="28"/>
        </w:rPr>
        <w:t>
      55. Информация о спонсоре (разработчике) и испытательной лаборатории:</w:t>
      </w:r>
    </w:p>
    <w:bookmarkEnd w:id="233"/>
    <w:bookmarkStart w:name="z240" w:id="234"/>
    <w:p>
      <w:pPr>
        <w:spacing w:after="0"/>
        <w:ind w:left="0"/>
        <w:jc w:val="both"/>
      </w:pPr>
      <w:r>
        <w:rPr>
          <w:rFonts w:ascii="Times New Roman"/>
          <w:b w:val="false"/>
          <w:i w:val="false"/>
          <w:color w:val="000000"/>
          <w:sz w:val="28"/>
        </w:rPr>
        <w:t>
      1) название и адрес спонсора (разработчика);</w:t>
      </w:r>
    </w:p>
    <w:bookmarkEnd w:id="234"/>
    <w:bookmarkStart w:name="z241" w:id="235"/>
    <w:p>
      <w:pPr>
        <w:spacing w:after="0"/>
        <w:ind w:left="0"/>
        <w:jc w:val="both"/>
      </w:pPr>
      <w:r>
        <w:rPr>
          <w:rFonts w:ascii="Times New Roman"/>
          <w:b w:val="false"/>
          <w:i w:val="false"/>
          <w:color w:val="000000"/>
          <w:sz w:val="28"/>
        </w:rPr>
        <w:t>
      2) название и адрес задействованных испытательных лабораторий и испытательных площадок;</w:t>
      </w:r>
    </w:p>
    <w:bookmarkEnd w:id="235"/>
    <w:bookmarkStart w:name="z242" w:id="236"/>
    <w:p>
      <w:pPr>
        <w:spacing w:after="0"/>
        <w:ind w:left="0"/>
        <w:jc w:val="both"/>
      </w:pPr>
      <w:r>
        <w:rPr>
          <w:rFonts w:ascii="Times New Roman"/>
          <w:b w:val="false"/>
          <w:i w:val="false"/>
          <w:color w:val="000000"/>
          <w:sz w:val="28"/>
        </w:rPr>
        <w:t>
      3) фамилия и адрес руководителя исследования;</w:t>
      </w:r>
    </w:p>
    <w:bookmarkEnd w:id="236"/>
    <w:bookmarkStart w:name="z243" w:id="237"/>
    <w:p>
      <w:pPr>
        <w:spacing w:after="0"/>
        <w:ind w:left="0"/>
        <w:jc w:val="both"/>
      </w:pPr>
      <w:r>
        <w:rPr>
          <w:rFonts w:ascii="Times New Roman"/>
          <w:b w:val="false"/>
          <w:i w:val="false"/>
          <w:color w:val="000000"/>
          <w:sz w:val="28"/>
        </w:rPr>
        <w:t>
      4) фамилия и адрес ведущего исследователя, фамилии исследователей, принимавших участие в исследовании.</w:t>
      </w:r>
    </w:p>
    <w:bookmarkEnd w:id="237"/>
    <w:bookmarkStart w:name="z244" w:id="238"/>
    <w:p>
      <w:pPr>
        <w:spacing w:after="0"/>
        <w:ind w:left="0"/>
        <w:jc w:val="both"/>
      </w:pPr>
      <w:r>
        <w:rPr>
          <w:rFonts w:ascii="Times New Roman"/>
          <w:b w:val="false"/>
          <w:i w:val="false"/>
          <w:color w:val="000000"/>
          <w:sz w:val="28"/>
        </w:rPr>
        <w:t>
      56. Даты:</w:t>
      </w:r>
    </w:p>
    <w:bookmarkEnd w:id="238"/>
    <w:bookmarkStart w:name="z245" w:id="239"/>
    <w:p>
      <w:pPr>
        <w:spacing w:after="0"/>
        <w:ind w:left="0"/>
        <w:jc w:val="both"/>
      </w:pPr>
      <w:r>
        <w:rPr>
          <w:rFonts w:ascii="Times New Roman"/>
          <w:b w:val="false"/>
          <w:i w:val="false"/>
          <w:color w:val="000000"/>
          <w:sz w:val="28"/>
        </w:rPr>
        <w:t>
      1) дата утверждения протокола, плана, программы исследования с подписью руководителя исследования. Дата утверждения протокола, плана, программы исследования с подписью руководства испытательной лаборатории и спонсора (разработчика);</w:t>
      </w:r>
    </w:p>
    <w:bookmarkEnd w:id="239"/>
    <w:bookmarkStart w:name="z246" w:id="240"/>
    <w:p>
      <w:pPr>
        <w:spacing w:after="0"/>
        <w:ind w:left="0"/>
        <w:jc w:val="both"/>
      </w:pPr>
      <w:r>
        <w:rPr>
          <w:rFonts w:ascii="Times New Roman"/>
          <w:b w:val="false"/>
          <w:i w:val="false"/>
          <w:color w:val="000000"/>
          <w:sz w:val="28"/>
        </w:rPr>
        <w:t>
      2) предложенные экспериментальные даты начала и завершения исследования.</w:t>
      </w:r>
    </w:p>
    <w:bookmarkEnd w:id="240"/>
    <w:bookmarkStart w:name="z247" w:id="241"/>
    <w:p>
      <w:pPr>
        <w:spacing w:after="0"/>
        <w:ind w:left="0"/>
        <w:jc w:val="both"/>
      </w:pPr>
      <w:r>
        <w:rPr>
          <w:rFonts w:ascii="Times New Roman"/>
          <w:b w:val="false"/>
          <w:i w:val="false"/>
          <w:color w:val="000000"/>
          <w:sz w:val="28"/>
        </w:rPr>
        <w:t>
      57. Приводится подробное описание методов исследований, наименований тест-систем, используемых в исследовании, с обоснованием их выбора, способы и пути введения исследуемого вещества (лекарственного средства), методы статистической обработки, иные документы по проведению исследований;</w:t>
      </w:r>
    </w:p>
    <w:bookmarkEnd w:id="241"/>
    <w:bookmarkStart w:name="z248" w:id="242"/>
    <w:p>
      <w:pPr>
        <w:spacing w:after="0"/>
        <w:ind w:left="0"/>
        <w:jc w:val="both"/>
      </w:pPr>
      <w:r>
        <w:rPr>
          <w:rFonts w:ascii="Times New Roman"/>
          <w:b w:val="false"/>
          <w:i w:val="false"/>
          <w:color w:val="000000"/>
          <w:sz w:val="28"/>
        </w:rPr>
        <w:t>
      58. Проблемные вопросы (в соответствующих случаях):</w:t>
      </w:r>
    </w:p>
    <w:bookmarkEnd w:id="242"/>
    <w:bookmarkStart w:name="z249" w:id="243"/>
    <w:p>
      <w:pPr>
        <w:spacing w:after="0"/>
        <w:ind w:left="0"/>
        <w:jc w:val="both"/>
      </w:pPr>
      <w:r>
        <w:rPr>
          <w:rFonts w:ascii="Times New Roman"/>
          <w:b w:val="false"/>
          <w:i w:val="false"/>
          <w:color w:val="000000"/>
          <w:sz w:val="28"/>
        </w:rPr>
        <w:t>
      1) обоснование выбора испытательной системы;</w:t>
      </w:r>
    </w:p>
    <w:bookmarkEnd w:id="243"/>
    <w:bookmarkStart w:name="z250" w:id="244"/>
    <w:p>
      <w:pPr>
        <w:spacing w:after="0"/>
        <w:ind w:left="0"/>
        <w:jc w:val="both"/>
      </w:pPr>
      <w:r>
        <w:rPr>
          <w:rFonts w:ascii="Times New Roman"/>
          <w:b w:val="false"/>
          <w:i w:val="false"/>
          <w:color w:val="000000"/>
          <w:sz w:val="28"/>
        </w:rPr>
        <w:t>
      2) описание испытательной системы, с указанием таких данных как название вида, штамма, субштамма, источника получения, количества, вида животных, их массы тела, пола, возраста и другой важной информации;</w:t>
      </w:r>
    </w:p>
    <w:bookmarkEnd w:id="244"/>
    <w:bookmarkStart w:name="z251" w:id="245"/>
    <w:p>
      <w:pPr>
        <w:spacing w:after="0"/>
        <w:ind w:left="0"/>
        <w:jc w:val="both"/>
      </w:pPr>
      <w:r>
        <w:rPr>
          <w:rFonts w:ascii="Times New Roman"/>
          <w:b w:val="false"/>
          <w:i w:val="false"/>
          <w:color w:val="000000"/>
          <w:sz w:val="28"/>
        </w:rPr>
        <w:t>
      3) способ применения и причина такого выбора;</w:t>
      </w:r>
    </w:p>
    <w:bookmarkEnd w:id="245"/>
    <w:bookmarkStart w:name="z252" w:id="246"/>
    <w:p>
      <w:pPr>
        <w:spacing w:after="0"/>
        <w:ind w:left="0"/>
        <w:jc w:val="both"/>
      </w:pPr>
      <w:r>
        <w:rPr>
          <w:rFonts w:ascii="Times New Roman"/>
          <w:b w:val="false"/>
          <w:i w:val="false"/>
          <w:color w:val="000000"/>
          <w:sz w:val="28"/>
        </w:rPr>
        <w:t>
      4) уровни доз и (или) концентрации, частота и продолжительность применения;</w:t>
      </w:r>
    </w:p>
    <w:bookmarkEnd w:id="246"/>
    <w:bookmarkStart w:name="z253" w:id="247"/>
    <w:p>
      <w:pPr>
        <w:spacing w:after="0"/>
        <w:ind w:left="0"/>
        <w:jc w:val="both"/>
      </w:pPr>
      <w:r>
        <w:rPr>
          <w:rFonts w:ascii="Times New Roman"/>
          <w:b w:val="false"/>
          <w:i w:val="false"/>
          <w:color w:val="000000"/>
          <w:sz w:val="28"/>
        </w:rPr>
        <w:t>
      5) подробная информация о структуре исследования, включая описание хронологии, всех методов, материалов и условий, вида и частоты проведенных анализов, измерений, наблюдений и исследований.</w:t>
      </w:r>
    </w:p>
    <w:bookmarkEnd w:id="247"/>
    <w:bookmarkStart w:name="z254" w:id="248"/>
    <w:p>
      <w:pPr>
        <w:spacing w:after="0"/>
        <w:ind w:left="0"/>
        <w:jc w:val="both"/>
      </w:pPr>
      <w:r>
        <w:rPr>
          <w:rFonts w:ascii="Times New Roman"/>
          <w:b w:val="false"/>
          <w:i w:val="false"/>
          <w:color w:val="000000"/>
          <w:sz w:val="28"/>
        </w:rPr>
        <w:t>
      6) все сведения (данные) наблюдений сохраняются.</w:t>
      </w:r>
    </w:p>
    <w:bookmarkEnd w:id="248"/>
    <w:bookmarkStart w:name="z255" w:id="249"/>
    <w:p>
      <w:pPr>
        <w:spacing w:after="0"/>
        <w:ind w:left="0"/>
        <w:jc w:val="left"/>
      </w:pPr>
      <w:r>
        <w:rPr>
          <w:rFonts w:ascii="Times New Roman"/>
          <w:b/>
          <w:i w:val="false"/>
          <w:color w:val="000000"/>
        </w:rPr>
        <w:t xml:space="preserve"> Параграф 3. Проведение исследования</w:t>
      </w:r>
    </w:p>
    <w:bookmarkEnd w:id="249"/>
    <w:bookmarkStart w:name="z256" w:id="250"/>
    <w:p>
      <w:pPr>
        <w:spacing w:after="0"/>
        <w:ind w:left="0"/>
        <w:jc w:val="both"/>
      </w:pPr>
      <w:r>
        <w:rPr>
          <w:rFonts w:ascii="Times New Roman"/>
          <w:b w:val="false"/>
          <w:i w:val="false"/>
          <w:color w:val="000000"/>
          <w:sz w:val="28"/>
        </w:rPr>
        <w:t>
      59. Каждому исследованию присуждается уникальный номер. Все используемые в исследовании образцы, оборудование и материалы, документально отражается в материалах исследования, с целью их прослеживаемости. Исследование проводятся согласно протоколу, плану, программе исследования. Образцы исследуемых веществ (лекарственных средств) и образцы сравнения (контрольные образцы) маркируются соответствующими образом, обеспечивающим идентификацию.</w:t>
      </w:r>
    </w:p>
    <w:bookmarkEnd w:id="250"/>
    <w:bookmarkStart w:name="z257" w:id="251"/>
    <w:p>
      <w:pPr>
        <w:spacing w:after="0"/>
        <w:ind w:left="0"/>
        <w:jc w:val="both"/>
      </w:pPr>
      <w:r>
        <w:rPr>
          <w:rFonts w:ascii="Times New Roman"/>
          <w:b w:val="false"/>
          <w:i w:val="false"/>
          <w:color w:val="000000"/>
          <w:sz w:val="28"/>
        </w:rPr>
        <w:t>
      60. Данные, получаемые в ходе исследования, точно и разборчиво регистрируются посредством раздельного внесения данных. На все записи ставятся подписи (визы) и датируются.</w:t>
      </w:r>
    </w:p>
    <w:bookmarkEnd w:id="251"/>
    <w:bookmarkStart w:name="z258" w:id="252"/>
    <w:p>
      <w:pPr>
        <w:spacing w:after="0"/>
        <w:ind w:left="0"/>
        <w:jc w:val="both"/>
      </w:pPr>
      <w:r>
        <w:rPr>
          <w:rFonts w:ascii="Times New Roman"/>
          <w:b w:val="false"/>
          <w:i w:val="false"/>
          <w:color w:val="000000"/>
          <w:sz w:val="28"/>
        </w:rPr>
        <w:t>
      61. Поправки и изменения, вносимые в протокол, план, программу исследования, оформляются с указанием причин и обоснования, датируются и подписываются.</w:t>
      </w:r>
    </w:p>
    <w:bookmarkEnd w:id="252"/>
    <w:bookmarkStart w:name="z259" w:id="253"/>
    <w:p>
      <w:pPr>
        <w:spacing w:after="0"/>
        <w:ind w:left="0"/>
        <w:jc w:val="both"/>
      </w:pPr>
      <w:r>
        <w:rPr>
          <w:rFonts w:ascii="Times New Roman"/>
          <w:b w:val="false"/>
          <w:i w:val="false"/>
          <w:color w:val="000000"/>
          <w:sz w:val="28"/>
        </w:rPr>
        <w:t>
      62. Данные, собираемые по мере прямого ввода в компьютер, имеют идентификацию на момент ввода данных лицом, отвечающим за прямой ввод данных. Компьютеризированная система обеспечивает сохранение всех контрольных журналов со всеми изменениями данных, не скрывая исходные данные.</w:t>
      </w:r>
    </w:p>
    <w:bookmarkEnd w:id="253"/>
    <w:bookmarkStart w:name="z260" w:id="254"/>
    <w:p>
      <w:pPr>
        <w:spacing w:after="0"/>
        <w:ind w:left="0"/>
        <w:jc w:val="both"/>
      </w:pPr>
      <w:r>
        <w:rPr>
          <w:rFonts w:ascii="Times New Roman"/>
          <w:b w:val="false"/>
          <w:i w:val="false"/>
          <w:color w:val="000000"/>
          <w:sz w:val="28"/>
        </w:rPr>
        <w:t>
      63. Доклинические (неклинические) исследования лекарственных средств проводятся в соответствии с порядком проведения доклинических (неклинических) исследований лекарственных средств согласно приложению 5 к Стандарту.</w:t>
      </w:r>
    </w:p>
    <w:bookmarkEnd w:id="254"/>
    <w:bookmarkStart w:name="z261" w:id="255"/>
    <w:p>
      <w:pPr>
        <w:spacing w:after="0"/>
        <w:ind w:left="0"/>
        <w:jc w:val="both"/>
      </w:pPr>
      <w:r>
        <w:rPr>
          <w:rFonts w:ascii="Times New Roman"/>
          <w:b w:val="false"/>
          <w:i w:val="false"/>
          <w:color w:val="000000"/>
          <w:sz w:val="28"/>
        </w:rPr>
        <w:t>
      64. Многоцентровые исследования проводятся в соответствии с руководством по применению Стандарта для организации и проведения многоцентровых исследований согласно приложения 6 к Стандарту.</w:t>
      </w:r>
    </w:p>
    <w:bookmarkEnd w:id="255"/>
    <w:bookmarkStart w:name="z262" w:id="256"/>
    <w:p>
      <w:pPr>
        <w:spacing w:after="0"/>
        <w:ind w:left="0"/>
        <w:jc w:val="both"/>
      </w:pPr>
      <w:r>
        <w:rPr>
          <w:rFonts w:ascii="Times New Roman"/>
          <w:b w:val="false"/>
          <w:i w:val="false"/>
          <w:color w:val="000000"/>
          <w:sz w:val="28"/>
        </w:rPr>
        <w:t>
      65. Компьютеризированные системы используются в проведении исследований в соответствии с руководством по применению принципов Стандарта к компьютеризированным системам согласно приложения 7 к Стандарту.</w:t>
      </w:r>
    </w:p>
    <w:bookmarkEnd w:id="256"/>
    <w:bookmarkStart w:name="z263" w:id="257"/>
    <w:p>
      <w:pPr>
        <w:spacing w:after="0"/>
        <w:ind w:left="0"/>
        <w:jc w:val="left"/>
      </w:pPr>
      <w:r>
        <w:rPr>
          <w:rFonts w:ascii="Times New Roman"/>
          <w:b/>
          <w:i w:val="false"/>
          <w:color w:val="000000"/>
        </w:rPr>
        <w:t xml:space="preserve"> Глава 5. Оформление результатов исследования</w:t>
      </w:r>
    </w:p>
    <w:bookmarkEnd w:id="257"/>
    <w:bookmarkStart w:name="z264" w:id="258"/>
    <w:p>
      <w:pPr>
        <w:spacing w:after="0"/>
        <w:ind w:left="0"/>
        <w:jc w:val="left"/>
      </w:pPr>
      <w:r>
        <w:rPr>
          <w:rFonts w:ascii="Times New Roman"/>
          <w:b/>
          <w:i w:val="false"/>
          <w:color w:val="000000"/>
        </w:rPr>
        <w:t xml:space="preserve"> Параграф 1. Общая информация</w:t>
      </w:r>
    </w:p>
    <w:bookmarkEnd w:id="258"/>
    <w:bookmarkStart w:name="z265" w:id="259"/>
    <w:p>
      <w:pPr>
        <w:spacing w:after="0"/>
        <w:ind w:left="0"/>
        <w:jc w:val="both"/>
      </w:pPr>
      <w:r>
        <w:rPr>
          <w:rFonts w:ascii="Times New Roman"/>
          <w:b w:val="false"/>
          <w:i w:val="false"/>
          <w:color w:val="000000"/>
          <w:sz w:val="28"/>
        </w:rPr>
        <w:t>
      66. Для каждого исследования готовится заключительный отчет.</w:t>
      </w:r>
    </w:p>
    <w:bookmarkEnd w:id="259"/>
    <w:bookmarkStart w:name="z266" w:id="260"/>
    <w:p>
      <w:pPr>
        <w:spacing w:after="0"/>
        <w:ind w:left="0"/>
        <w:jc w:val="both"/>
      </w:pPr>
      <w:r>
        <w:rPr>
          <w:rFonts w:ascii="Times New Roman"/>
          <w:b w:val="false"/>
          <w:i w:val="false"/>
          <w:color w:val="000000"/>
          <w:sz w:val="28"/>
        </w:rPr>
        <w:t>
      67. При проведении краткосрочных исследований следует подготовить стандартизированный заключительный отчет со специальным приложением об особенностях исследования.</w:t>
      </w:r>
    </w:p>
    <w:bookmarkEnd w:id="260"/>
    <w:bookmarkStart w:name="z267" w:id="261"/>
    <w:p>
      <w:pPr>
        <w:spacing w:after="0"/>
        <w:ind w:left="0"/>
        <w:jc w:val="both"/>
      </w:pPr>
      <w:r>
        <w:rPr>
          <w:rFonts w:ascii="Times New Roman"/>
          <w:b w:val="false"/>
          <w:i w:val="false"/>
          <w:color w:val="000000"/>
          <w:sz w:val="28"/>
        </w:rPr>
        <w:t>
      68. При проведении долгосрочных исследований подготавливается промежуточный отчет.</w:t>
      </w:r>
    </w:p>
    <w:bookmarkEnd w:id="261"/>
    <w:bookmarkStart w:name="z268" w:id="262"/>
    <w:p>
      <w:pPr>
        <w:spacing w:after="0"/>
        <w:ind w:left="0"/>
        <w:jc w:val="both"/>
      </w:pPr>
      <w:r>
        <w:rPr>
          <w:rFonts w:ascii="Times New Roman"/>
          <w:b w:val="false"/>
          <w:i w:val="false"/>
          <w:color w:val="000000"/>
          <w:sz w:val="28"/>
        </w:rPr>
        <w:t>
      69. Отчеты ведущих исследователей и специалистов, задействованных в исследовании, подписываются ими собственноручно и датируются.</w:t>
      </w:r>
    </w:p>
    <w:bookmarkEnd w:id="262"/>
    <w:bookmarkStart w:name="z269" w:id="263"/>
    <w:p>
      <w:pPr>
        <w:spacing w:after="0"/>
        <w:ind w:left="0"/>
        <w:jc w:val="both"/>
      </w:pPr>
      <w:r>
        <w:rPr>
          <w:rFonts w:ascii="Times New Roman"/>
          <w:b w:val="false"/>
          <w:i w:val="false"/>
          <w:color w:val="000000"/>
          <w:sz w:val="28"/>
        </w:rPr>
        <w:t>
      70. Заключительный отчет подписывается руководителем исследования и датируется, с учетом достоверности данных.</w:t>
      </w:r>
    </w:p>
    <w:bookmarkEnd w:id="263"/>
    <w:bookmarkStart w:name="z270" w:id="264"/>
    <w:p>
      <w:pPr>
        <w:spacing w:after="0"/>
        <w:ind w:left="0"/>
        <w:jc w:val="both"/>
      </w:pPr>
      <w:r>
        <w:rPr>
          <w:rFonts w:ascii="Times New Roman"/>
          <w:b w:val="false"/>
          <w:i w:val="false"/>
          <w:color w:val="000000"/>
          <w:sz w:val="28"/>
        </w:rPr>
        <w:t>
      Указывается степень соответствия принципам Стандарта. Заключительный отчет, при наличии, скрепляется печатью организации.</w:t>
      </w:r>
    </w:p>
    <w:bookmarkEnd w:id="264"/>
    <w:bookmarkStart w:name="z271" w:id="265"/>
    <w:p>
      <w:pPr>
        <w:spacing w:after="0"/>
        <w:ind w:left="0"/>
        <w:jc w:val="both"/>
      </w:pPr>
      <w:r>
        <w:rPr>
          <w:rFonts w:ascii="Times New Roman"/>
          <w:b w:val="false"/>
          <w:i w:val="false"/>
          <w:color w:val="000000"/>
          <w:sz w:val="28"/>
        </w:rPr>
        <w:t>
      71. Изменения и дополнения в заключительном отчете представляется в форме поправок к отчету. Указывается причина исправлений или дополнений. Все поправки подписывается и датируется руководителем исследования.</w:t>
      </w:r>
    </w:p>
    <w:bookmarkEnd w:id="265"/>
    <w:bookmarkStart w:name="z272" w:id="266"/>
    <w:p>
      <w:pPr>
        <w:spacing w:after="0"/>
        <w:ind w:left="0"/>
        <w:jc w:val="both"/>
      </w:pPr>
      <w:r>
        <w:rPr>
          <w:rFonts w:ascii="Times New Roman"/>
          <w:b w:val="false"/>
          <w:i w:val="false"/>
          <w:color w:val="000000"/>
          <w:sz w:val="28"/>
        </w:rPr>
        <w:t>
      72. Изменение формата заключительного отчета согласно требованиям государственной регистрации или уполномоченного органа не рассматривается как дополнение или поправка в заключительный отчет.</w:t>
      </w:r>
    </w:p>
    <w:bookmarkEnd w:id="266"/>
    <w:bookmarkStart w:name="z273" w:id="267"/>
    <w:p>
      <w:pPr>
        <w:spacing w:after="0"/>
        <w:ind w:left="0"/>
        <w:jc w:val="left"/>
      </w:pPr>
      <w:r>
        <w:rPr>
          <w:rFonts w:ascii="Times New Roman"/>
          <w:b/>
          <w:i w:val="false"/>
          <w:color w:val="000000"/>
        </w:rPr>
        <w:t xml:space="preserve"> Параграф 2. Содержание заключительного отчета</w:t>
      </w:r>
    </w:p>
    <w:bookmarkEnd w:id="267"/>
    <w:bookmarkStart w:name="z274" w:id="268"/>
    <w:p>
      <w:pPr>
        <w:spacing w:after="0"/>
        <w:ind w:left="0"/>
        <w:jc w:val="both"/>
      </w:pPr>
      <w:r>
        <w:rPr>
          <w:rFonts w:ascii="Times New Roman"/>
          <w:b w:val="false"/>
          <w:i w:val="false"/>
          <w:color w:val="000000"/>
          <w:sz w:val="28"/>
        </w:rPr>
        <w:t>
      73. Идентификация исследования, исследуемого вещества (лекарственного средства) и образца сравнения (контрольного образца):</w:t>
      </w:r>
    </w:p>
    <w:bookmarkEnd w:id="268"/>
    <w:bookmarkStart w:name="z275" w:id="269"/>
    <w:p>
      <w:pPr>
        <w:spacing w:after="0"/>
        <w:ind w:left="0"/>
        <w:jc w:val="both"/>
      </w:pPr>
      <w:r>
        <w:rPr>
          <w:rFonts w:ascii="Times New Roman"/>
          <w:b w:val="false"/>
          <w:i w:val="false"/>
          <w:color w:val="000000"/>
          <w:sz w:val="28"/>
        </w:rPr>
        <w:t>
      1) развернутое описание дизайна исследования;</w:t>
      </w:r>
    </w:p>
    <w:bookmarkEnd w:id="269"/>
    <w:bookmarkStart w:name="z276" w:id="270"/>
    <w:p>
      <w:pPr>
        <w:spacing w:after="0"/>
        <w:ind w:left="0"/>
        <w:jc w:val="both"/>
      </w:pPr>
      <w:r>
        <w:rPr>
          <w:rFonts w:ascii="Times New Roman"/>
          <w:b w:val="false"/>
          <w:i w:val="false"/>
          <w:color w:val="000000"/>
          <w:sz w:val="28"/>
        </w:rPr>
        <w:t>
      2) идентификация исследуемого вещества (лекарственного средства) через код или название;</w:t>
      </w:r>
    </w:p>
    <w:bookmarkEnd w:id="270"/>
    <w:bookmarkStart w:name="z277" w:id="271"/>
    <w:p>
      <w:pPr>
        <w:spacing w:after="0"/>
        <w:ind w:left="0"/>
        <w:jc w:val="both"/>
      </w:pPr>
      <w:r>
        <w:rPr>
          <w:rFonts w:ascii="Times New Roman"/>
          <w:b w:val="false"/>
          <w:i w:val="false"/>
          <w:color w:val="000000"/>
          <w:sz w:val="28"/>
        </w:rPr>
        <w:t>
      3) идентификация образца сравнения (контрольного образца) по наименованию;</w:t>
      </w:r>
    </w:p>
    <w:bookmarkEnd w:id="271"/>
    <w:bookmarkStart w:name="z278" w:id="272"/>
    <w:p>
      <w:pPr>
        <w:spacing w:after="0"/>
        <w:ind w:left="0"/>
        <w:jc w:val="both"/>
      </w:pPr>
      <w:r>
        <w:rPr>
          <w:rFonts w:ascii="Times New Roman"/>
          <w:b w:val="false"/>
          <w:i w:val="false"/>
          <w:color w:val="000000"/>
          <w:sz w:val="28"/>
        </w:rPr>
        <w:t>
      4) характеристика свойств исследуемого вещества (лекарственного средства), включая чистоту, стабильность и гомогенность.</w:t>
      </w:r>
    </w:p>
    <w:bookmarkEnd w:id="272"/>
    <w:bookmarkStart w:name="z279" w:id="273"/>
    <w:p>
      <w:pPr>
        <w:spacing w:after="0"/>
        <w:ind w:left="0"/>
        <w:jc w:val="both"/>
      </w:pPr>
      <w:r>
        <w:rPr>
          <w:rFonts w:ascii="Times New Roman"/>
          <w:b w:val="false"/>
          <w:i w:val="false"/>
          <w:color w:val="000000"/>
          <w:sz w:val="28"/>
        </w:rPr>
        <w:t>
      74. Информация о спонсоре (разработчике) и испытательной лаборатории:</w:t>
      </w:r>
    </w:p>
    <w:bookmarkEnd w:id="273"/>
    <w:bookmarkStart w:name="z280" w:id="274"/>
    <w:p>
      <w:pPr>
        <w:spacing w:after="0"/>
        <w:ind w:left="0"/>
        <w:jc w:val="both"/>
      </w:pPr>
      <w:r>
        <w:rPr>
          <w:rFonts w:ascii="Times New Roman"/>
          <w:b w:val="false"/>
          <w:i w:val="false"/>
          <w:color w:val="000000"/>
          <w:sz w:val="28"/>
        </w:rPr>
        <w:t>
      1) название и адрес спонсора (разработчика);</w:t>
      </w:r>
    </w:p>
    <w:bookmarkEnd w:id="274"/>
    <w:bookmarkStart w:name="z281" w:id="275"/>
    <w:p>
      <w:pPr>
        <w:spacing w:after="0"/>
        <w:ind w:left="0"/>
        <w:jc w:val="both"/>
      </w:pPr>
      <w:r>
        <w:rPr>
          <w:rFonts w:ascii="Times New Roman"/>
          <w:b w:val="false"/>
          <w:i w:val="false"/>
          <w:color w:val="000000"/>
          <w:sz w:val="28"/>
        </w:rPr>
        <w:t>
      2) название и адрес задействованных испытательных лабораторий и испытательных площадок;</w:t>
      </w:r>
    </w:p>
    <w:bookmarkEnd w:id="275"/>
    <w:bookmarkStart w:name="z282" w:id="276"/>
    <w:p>
      <w:pPr>
        <w:spacing w:after="0"/>
        <w:ind w:left="0"/>
        <w:jc w:val="both"/>
      </w:pPr>
      <w:r>
        <w:rPr>
          <w:rFonts w:ascii="Times New Roman"/>
          <w:b w:val="false"/>
          <w:i w:val="false"/>
          <w:color w:val="000000"/>
          <w:sz w:val="28"/>
        </w:rPr>
        <w:t>
      3) фамилия и адрес руководителя исследования;</w:t>
      </w:r>
    </w:p>
    <w:bookmarkEnd w:id="276"/>
    <w:bookmarkStart w:name="z283" w:id="277"/>
    <w:p>
      <w:pPr>
        <w:spacing w:after="0"/>
        <w:ind w:left="0"/>
        <w:jc w:val="both"/>
      </w:pPr>
      <w:r>
        <w:rPr>
          <w:rFonts w:ascii="Times New Roman"/>
          <w:b w:val="false"/>
          <w:i w:val="false"/>
          <w:color w:val="000000"/>
          <w:sz w:val="28"/>
        </w:rPr>
        <w:t>
      4) фамилия и адрес ведущего исследователя;</w:t>
      </w:r>
    </w:p>
    <w:bookmarkEnd w:id="277"/>
    <w:bookmarkStart w:name="z284" w:id="278"/>
    <w:p>
      <w:pPr>
        <w:spacing w:after="0"/>
        <w:ind w:left="0"/>
        <w:jc w:val="both"/>
      </w:pPr>
      <w:r>
        <w:rPr>
          <w:rFonts w:ascii="Times New Roman"/>
          <w:b w:val="false"/>
          <w:i w:val="false"/>
          <w:color w:val="000000"/>
          <w:sz w:val="28"/>
        </w:rPr>
        <w:t>
      5) фамилии специалистов, предоставивших свои отчеты для окончательного отчета.</w:t>
      </w:r>
    </w:p>
    <w:bookmarkEnd w:id="278"/>
    <w:bookmarkStart w:name="z285" w:id="279"/>
    <w:p>
      <w:pPr>
        <w:spacing w:after="0"/>
        <w:ind w:left="0"/>
        <w:jc w:val="both"/>
      </w:pPr>
      <w:r>
        <w:rPr>
          <w:rFonts w:ascii="Times New Roman"/>
          <w:b w:val="false"/>
          <w:i w:val="false"/>
          <w:color w:val="000000"/>
          <w:sz w:val="28"/>
        </w:rPr>
        <w:t>
      75. Даты начала и завершения исследования и его этапов.</w:t>
      </w:r>
    </w:p>
    <w:bookmarkEnd w:id="279"/>
    <w:bookmarkStart w:name="z286" w:id="280"/>
    <w:p>
      <w:pPr>
        <w:spacing w:after="0"/>
        <w:ind w:left="0"/>
        <w:jc w:val="both"/>
      </w:pPr>
      <w:r>
        <w:rPr>
          <w:rFonts w:ascii="Times New Roman"/>
          <w:b w:val="false"/>
          <w:i w:val="false"/>
          <w:color w:val="000000"/>
          <w:sz w:val="28"/>
        </w:rPr>
        <w:t>
      76. Цели и задачи исследования.</w:t>
      </w:r>
    </w:p>
    <w:bookmarkEnd w:id="280"/>
    <w:bookmarkStart w:name="z287" w:id="281"/>
    <w:p>
      <w:pPr>
        <w:spacing w:after="0"/>
        <w:ind w:left="0"/>
        <w:jc w:val="both"/>
      </w:pPr>
      <w:r>
        <w:rPr>
          <w:rFonts w:ascii="Times New Roman"/>
          <w:b w:val="false"/>
          <w:i w:val="false"/>
          <w:color w:val="000000"/>
          <w:sz w:val="28"/>
        </w:rPr>
        <w:t>
      77. Описание материалов и методов исследований.</w:t>
      </w:r>
    </w:p>
    <w:bookmarkEnd w:id="281"/>
    <w:bookmarkStart w:name="z288" w:id="282"/>
    <w:p>
      <w:pPr>
        <w:spacing w:after="0"/>
        <w:ind w:left="0"/>
        <w:jc w:val="both"/>
      </w:pPr>
      <w:r>
        <w:rPr>
          <w:rFonts w:ascii="Times New Roman"/>
          <w:b w:val="false"/>
          <w:i w:val="false"/>
          <w:color w:val="000000"/>
          <w:sz w:val="28"/>
        </w:rPr>
        <w:t>
      78. Описание используемых материалов и методов исследований:</w:t>
      </w:r>
    </w:p>
    <w:bookmarkEnd w:id="282"/>
    <w:bookmarkStart w:name="z289" w:id="283"/>
    <w:p>
      <w:pPr>
        <w:spacing w:after="0"/>
        <w:ind w:left="0"/>
        <w:jc w:val="both"/>
      </w:pPr>
      <w:r>
        <w:rPr>
          <w:rFonts w:ascii="Times New Roman"/>
          <w:b w:val="false"/>
          <w:i w:val="false"/>
          <w:color w:val="000000"/>
          <w:sz w:val="28"/>
        </w:rPr>
        <w:t>
      1) описание исследуемого вещества (лекарственного средства), включая сведения о его физических, химических, биологических и фармацевтических свойствах, составе готовой лекарственной формы;</w:t>
      </w:r>
    </w:p>
    <w:bookmarkEnd w:id="283"/>
    <w:bookmarkStart w:name="z290" w:id="284"/>
    <w:p>
      <w:pPr>
        <w:spacing w:after="0"/>
        <w:ind w:left="0"/>
        <w:jc w:val="both"/>
      </w:pPr>
      <w:r>
        <w:rPr>
          <w:rFonts w:ascii="Times New Roman"/>
          <w:b w:val="false"/>
          <w:i w:val="false"/>
          <w:color w:val="000000"/>
          <w:sz w:val="28"/>
        </w:rPr>
        <w:t>
      2) характеристика и обоснование тест-системы, отобранной для доклинических исследований;</w:t>
      </w:r>
    </w:p>
    <w:bookmarkEnd w:id="284"/>
    <w:bookmarkStart w:name="z291" w:id="285"/>
    <w:p>
      <w:pPr>
        <w:spacing w:after="0"/>
        <w:ind w:left="0"/>
        <w:jc w:val="both"/>
      </w:pPr>
      <w:r>
        <w:rPr>
          <w:rFonts w:ascii="Times New Roman"/>
          <w:b w:val="false"/>
          <w:i w:val="false"/>
          <w:color w:val="000000"/>
          <w:sz w:val="28"/>
        </w:rPr>
        <w:t>
      3) в случае использования биологической тест-системы (животных) указать вид, возраст, количество животных в каждой группе, пол, показатель массы тела, источник питания;</w:t>
      </w:r>
    </w:p>
    <w:bookmarkEnd w:id="285"/>
    <w:bookmarkStart w:name="z292" w:id="286"/>
    <w:p>
      <w:pPr>
        <w:spacing w:after="0"/>
        <w:ind w:left="0"/>
        <w:jc w:val="both"/>
      </w:pPr>
      <w:r>
        <w:rPr>
          <w:rFonts w:ascii="Times New Roman"/>
          <w:b w:val="false"/>
          <w:i w:val="false"/>
          <w:color w:val="000000"/>
          <w:sz w:val="28"/>
        </w:rPr>
        <w:t>
      4) режим дозирования, кратность и путь введения исследуемого вещества (лекарственного средства);</w:t>
      </w:r>
    </w:p>
    <w:bookmarkEnd w:id="286"/>
    <w:bookmarkStart w:name="z293" w:id="287"/>
    <w:p>
      <w:pPr>
        <w:spacing w:after="0"/>
        <w:ind w:left="0"/>
        <w:jc w:val="both"/>
      </w:pPr>
      <w:r>
        <w:rPr>
          <w:rFonts w:ascii="Times New Roman"/>
          <w:b w:val="false"/>
          <w:i w:val="false"/>
          <w:color w:val="000000"/>
          <w:sz w:val="28"/>
        </w:rPr>
        <w:t>
      5) схема проведения доклинического (неклинического) исследования исследуемого вещества (лекарственного средства);</w:t>
      </w:r>
    </w:p>
    <w:bookmarkEnd w:id="287"/>
    <w:bookmarkStart w:name="z294" w:id="288"/>
    <w:p>
      <w:pPr>
        <w:spacing w:after="0"/>
        <w:ind w:left="0"/>
        <w:jc w:val="both"/>
      </w:pPr>
      <w:r>
        <w:rPr>
          <w:rFonts w:ascii="Times New Roman"/>
          <w:b w:val="false"/>
          <w:i w:val="false"/>
          <w:color w:val="000000"/>
          <w:sz w:val="28"/>
        </w:rPr>
        <w:t>
      6) описание методов статистической обработки результатов.</w:t>
      </w:r>
    </w:p>
    <w:bookmarkEnd w:id="288"/>
    <w:bookmarkStart w:name="z295" w:id="289"/>
    <w:p>
      <w:pPr>
        <w:spacing w:after="0"/>
        <w:ind w:left="0"/>
        <w:jc w:val="both"/>
      </w:pPr>
      <w:r>
        <w:rPr>
          <w:rFonts w:ascii="Times New Roman"/>
          <w:b w:val="false"/>
          <w:i w:val="false"/>
          <w:color w:val="000000"/>
          <w:sz w:val="28"/>
        </w:rPr>
        <w:t>
      79. Результаты:</w:t>
      </w:r>
    </w:p>
    <w:bookmarkEnd w:id="289"/>
    <w:bookmarkStart w:name="z296" w:id="290"/>
    <w:p>
      <w:pPr>
        <w:spacing w:after="0"/>
        <w:ind w:left="0"/>
        <w:jc w:val="both"/>
      </w:pPr>
      <w:r>
        <w:rPr>
          <w:rFonts w:ascii="Times New Roman"/>
          <w:b w:val="false"/>
          <w:i w:val="false"/>
          <w:color w:val="000000"/>
          <w:sz w:val="28"/>
        </w:rPr>
        <w:t>
      1) краткий обзор результатов;</w:t>
      </w:r>
    </w:p>
    <w:bookmarkEnd w:id="290"/>
    <w:bookmarkStart w:name="z297" w:id="291"/>
    <w:p>
      <w:pPr>
        <w:spacing w:after="0"/>
        <w:ind w:left="0"/>
        <w:jc w:val="both"/>
      </w:pPr>
      <w:r>
        <w:rPr>
          <w:rFonts w:ascii="Times New Roman"/>
          <w:b w:val="false"/>
          <w:i w:val="false"/>
          <w:color w:val="000000"/>
          <w:sz w:val="28"/>
        </w:rPr>
        <w:t>
      2) вся информация и данные, требуемые протоколом, планом, программой исследования;</w:t>
      </w:r>
    </w:p>
    <w:bookmarkEnd w:id="291"/>
    <w:bookmarkStart w:name="z298" w:id="292"/>
    <w:p>
      <w:pPr>
        <w:spacing w:after="0"/>
        <w:ind w:left="0"/>
        <w:jc w:val="both"/>
      </w:pPr>
      <w:r>
        <w:rPr>
          <w:rFonts w:ascii="Times New Roman"/>
          <w:b w:val="false"/>
          <w:i w:val="false"/>
          <w:color w:val="000000"/>
          <w:sz w:val="28"/>
        </w:rPr>
        <w:t>
      3) предоставление результатов, включая расчеты и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p>
    <w:bookmarkEnd w:id="292"/>
    <w:bookmarkStart w:name="z299" w:id="293"/>
    <w:p>
      <w:pPr>
        <w:spacing w:after="0"/>
        <w:ind w:left="0"/>
        <w:jc w:val="both"/>
      </w:pPr>
      <w:r>
        <w:rPr>
          <w:rFonts w:ascii="Times New Roman"/>
          <w:b w:val="false"/>
          <w:i w:val="false"/>
          <w:color w:val="000000"/>
          <w:sz w:val="28"/>
        </w:rPr>
        <w:t>
      4) оценка и обсуждение результатов исследования и выводы.</w:t>
      </w:r>
    </w:p>
    <w:bookmarkEnd w:id="293"/>
    <w:bookmarkStart w:name="z300" w:id="294"/>
    <w:p>
      <w:pPr>
        <w:spacing w:after="0"/>
        <w:ind w:left="0"/>
        <w:jc w:val="both"/>
      </w:pPr>
      <w:r>
        <w:rPr>
          <w:rFonts w:ascii="Times New Roman"/>
          <w:b w:val="false"/>
          <w:i w:val="false"/>
          <w:color w:val="000000"/>
          <w:sz w:val="28"/>
        </w:rPr>
        <w:t>
      80. Хранение:</w:t>
      </w:r>
    </w:p>
    <w:bookmarkEnd w:id="294"/>
    <w:bookmarkStart w:name="z301" w:id="295"/>
    <w:p>
      <w:pPr>
        <w:spacing w:after="0"/>
        <w:ind w:left="0"/>
        <w:jc w:val="both"/>
      </w:pPr>
      <w:r>
        <w:rPr>
          <w:rFonts w:ascii="Times New Roman"/>
          <w:b w:val="false"/>
          <w:i w:val="false"/>
          <w:color w:val="000000"/>
          <w:sz w:val="28"/>
        </w:rPr>
        <w:t>
      Место хранения протокола, плана, программы, проб исследуемого вещества (лекарственного средства) и образцов сравнения (контрольных образцов), исходных данных заключительного отчета.</w:t>
      </w:r>
    </w:p>
    <w:bookmarkEnd w:id="295"/>
    <w:bookmarkStart w:name="z302" w:id="296"/>
    <w:p>
      <w:pPr>
        <w:spacing w:after="0"/>
        <w:ind w:left="0"/>
        <w:jc w:val="left"/>
      </w:pPr>
      <w:r>
        <w:rPr>
          <w:rFonts w:ascii="Times New Roman"/>
          <w:b/>
          <w:i w:val="false"/>
          <w:color w:val="000000"/>
        </w:rPr>
        <w:t xml:space="preserve"> Глава 6. Хранение документов и материалов</w:t>
      </w:r>
    </w:p>
    <w:bookmarkEnd w:id="296"/>
    <w:bookmarkStart w:name="z303" w:id="297"/>
    <w:p>
      <w:pPr>
        <w:spacing w:after="0"/>
        <w:ind w:left="0"/>
        <w:jc w:val="both"/>
      </w:pPr>
      <w:r>
        <w:rPr>
          <w:rFonts w:ascii="Times New Roman"/>
          <w:b w:val="false"/>
          <w:i w:val="false"/>
          <w:color w:val="000000"/>
          <w:sz w:val="28"/>
        </w:rPr>
        <w:t>
      81. Документы, имеющие отношение к исследованию, хранятся в архивах в течение не менее пяти лет после получения регистрации лекарственного средства, если иной период хранения не оговорен спонсором:</w:t>
      </w:r>
    </w:p>
    <w:bookmarkEnd w:id="297"/>
    <w:bookmarkStart w:name="z304" w:id="298"/>
    <w:p>
      <w:pPr>
        <w:spacing w:after="0"/>
        <w:ind w:left="0"/>
        <w:jc w:val="both"/>
      </w:pPr>
      <w:r>
        <w:rPr>
          <w:rFonts w:ascii="Times New Roman"/>
          <w:b w:val="false"/>
          <w:i w:val="false"/>
          <w:color w:val="000000"/>
          <w:sz w:val="28"/>
        </w:rPr>
        <w:t>
      1) протокол, план, программа исследования, исходные данные, пробы исследуемого вещества (лекарственного средства) и образцов сравнения (контрольных образцов) и заключительный отчет о каждом исследовании;</w:t>
      </w:r>
    </w:p>
    <w:bookmarkEnd w:id="298"/>
    <w:bookmarkStart w:name="z305" w:id="299"/>
    <w:p>
      <w:pPr>
        <w:spacing w:after="0"/>
        <w:ind w:left="0"/>
        <w:jc w:val="both"/>
      </w:pPr>
      <w:r>
        <w:rPr>
          <w:rFonts w:ascii="Times New Roman"/>
          <w:b w:val="false"/>
          <w:i w:val="false"/>
          <w:color w:val="000000"/>
          <w:sz w:val="28"/>
        </w:rPr>
        <w:t>
      2) документы обо всех проведенных инспекциях и аудитах;</w:t>
      </w:r>
    </w:p>
    <w:bookmarkEnd w:id="299"/>
    <w:bookmarkStart w:name="z306" w:id="300"/>
    <w:p>
      <w:pPr>
        <w:spacing w:after="0"/>
        <w:ind w:left="0"/>
        <w:jc w:val="both"/>
      </w:pPr>
      <w:r>
        <w:rPr>
          <w:rFonts w:ascii="Times New Roman"/>
          <w:b w:val="false"/>
          <w:i w:val="false"/>
          <w:color w:val="000000"/>
          <w:sz w:val="28"/>
        </w:rPr>
        <w:t>
      3) документы о квалификациях, обучении, опыте и должностные инструкции персонала;</w:t>
      </w:r>
    </w:p>
    <w:bookmarkEnd w:id="300"/>
    <w:bookmarkStart w:name="z307" w:id="301"/>
    <w:p>
      <w:pPr>
        <w:spacing w:after="0"/>
        <w:ind w:left="0"/>
        <w:jc w:val="both"/>
      </w:pPr>
      <w:r>
        <w:rPr>
          <w:rFonts w:ascii="Times New Roman"/>
          <w:b w:val="false"/>
          <w:i w:val="false"/>
          <w:color w:val="000000"/>
          <w:sz w:val="28"/>
        </w:rPr>
        <w:t>
      4) документы и отчеты об использовании и калибровке оборудования;</w:t>
      </w:r>
    </w:p>
    <w:bookmarkEnd w:id="301"/>
    <w:bookmarkStart w:name="z308" w:id="302"/>
    <w:p>
      <w:pPr>
        <w:spacing w:after="0"/>
        <w:ind w:left="0"/>
        <w:jc w:val="both"/>
      </w:pPr>
      <w:r>
        <w:rPr>
          <w:rFonts w:ascii="Times New Roman"/>
          <w:b w:val="false"/>
          <w:i w:val="false"/>
          <w:color w:val="000000"/>
          <w:sz w:val="28"/>
        </w:rPr>
        <w:t>
      5) документы о валидации компьютеризированных систем;</w:t>
      </w:r>
    </w:p>
    <w:bookmarkEnd w:id="302"/>
    <w:bookmarkStart w:name="z309" w:id="303"/>
    <w:p>
      <w:pPr>
        <w:spacing w:after="0"/>
        <w:ind w:left="0"/>
        <w:jc w:val="both"/>
      </w:pPr>
      <w:r>
        <w:rPr>
          <w:rFonts w:ascii="Times New Roman"/>
          <w:b w:val="false"/>
          <w:i w:val="false"/>
          <w:color w:val="000000"/>
          <w:sz w:val="28"/>
        </w:rPr>
        <w:t>
      6) документы обо всех предыдущих СОП;</w:t>
      </w:r>
    </w:p>
    <w:bookmarkEnd w:id="303"/>
    <w:bookmarkStart w:name="z310" w:id="304"/>
    <w:p>
      <w:pPr>
        <w:spacing w:after="0"/>
        <w:ind w:left="0"/>
        <w:jc w:val="both"/>
      </w:pPr>
      <w:r>
        <w:rPr>
          <w:rFonts w:ascii="Times New Roman"/>
          <w:b w:val="false"/>
          <w:i w:val="false"/>
          <w:color w:val="000000"/>
          <w:sz w:val="28"/>
        </w:rPr>
        <w:t>
      7) документы о контроле состояния окружающей среды.</w:t>
      </w:r>
    </w:p>
    <w:bookmarkEnd w:id="304"/>
    <w:bookmarkStart w:name="z311" w:id="305"/>
    <w:p>
      <w:pPr>
        <w:spacing w:after="0"/>
        <w:ind w:left="0"/>
        <w:jc w:val="both"/>
      </w:pPr>
      <w:r>
        <w:rPr>
          <w:rFonts w:ascii="Times New Roman"/>
          <w:b w:val="false"/>
          <w:i w:val="false"/>
          <w:color w:val="000000"/>
          <w:sz w:val="28"/>
        </w:rPr>
        <w:t>
      При отсутствии установленного периода хранения документов окончательное решение о времени хранения любых материалов исследования оформляется документально. Если пробы испытуемого вещества (лекарственного средства) и контрольных образцов или сами образцы утилизируют до истечения требуемого периода хранения по какой-либо причине, в таком случае указывается обоснование и оформляется документально. Пробы исследуемого вещества (лекарственного средства) и контрольных образцов или сами образцы хранятся в течение такого периода времени, когда качество препарата позволяет провести их оценку.</w:t>
      </w:r>
    </w:p>
    <w:bookmarkEnd w:id="305"/>
    <w:bookmarkStart w:name="z312" w:id="306"/>
    <w:p>
      <w:pPr>
        <w:spacing w:after="0"/>
        <w:ind w:left="0"/>
        <w:jc w:val="both"/>
      </w:pPr>
      <w:r>
        <w:rPr>
          <w:rFonts w:ascii="Times New Roman"/>
          <w:b w:val="false"/>
          <w:i w:val="false"/>
          <w:color w:val="000000"/>
          <w:sz w:val="28"/>
        </w:rPr>
        <w:t>
      Для упорядочения хранения и облегчение извлечение информации данные, хранимые в архивах, идентифицируются.</w:t>
      </w:r>
    </w:p>
    <w:bookmarkEnd w:id="306"/>
    <w:bookmarkStart w:name="z313" w:id="307"/>
    <w:p>
      <w:pPr>
        <w:spacing w:after="0"/>
        <w:ind w:left="0"/>
        <w:jc w:val="both"/>
      </w:pPr>
      <w:r>
        <w:rPr>
          <w:rFonts w:ascii="Times New Roman"/>
          <w:b w:val="false"/>
          <w:i w:val="false"/>
          <w:color w:val="000000"/>
          <w:sz w:val="28"/>
        </w:rPr>
        <w:t>
      82. Доступ к архивам имеет персонал, уполномоченный руководством. Перемещение данных из архива и в архив тщательно регистрируется.</w:t>
      </w:r>
    </w:p>
    <w:bookmarkEnd w:id="307"/>
    <w:bookmarkStart w:name="z314" w:id="308"/>
    <w:p>
      <w:pPr>
        <w:spacing w:after="0"/>
        <w:ind w:left="0"/>
        <w:jc w:val="both"/>
      </w:pPr>
      <w:r>
        <w:rPr>
          <w:rFonts w:ascii="Times New Roman"/>
          <w:b w:val="false"/>
          <w:i w:val="false"/>
          <w:color w:val="000000"/>
          <w:sz w:val="28"/>
        </w:rPr>
        <w:t>
      83. Если испытательная лаборатория или архив испытательной лаборатории, работающий по контракту, прекращает деятельность и не имеет правопреемника, архив передается в архивы спонсора исследования (разработчика).</w:t>
      </w:r>
    </w:p>
    <w:bookmarkEnd w:id="308"/>
    <w:bookmarkStart w:name="z315" w:id="309"/>
    <w:p>
      <w:pPr>
        <w:spacing w:after="0"/>
        <w:ind w:left="0"/>
        <w:jc w:val="left"/>
      </w:pPr>
      <w:r>
        <w:rPr>
          <w:rFonts w:ascii="Times New Roman"/>
          <w:b/>
          <w:i w:val="false"/>
          <w:color w:val="000000"/>
        </w:rPr>
        <w:t xml:space="preserve"> Глава 7. Инспектирование. Процедуры контроля соблюдения Стандарта</w:t>
      </w:r>
    </w:p>
    <w:bookmarkEnd w:id="309"/>
    <w:bookmarkStart w:name="z316" w:id="310"/>
    <w:p>
      <w:pPr>
        <w:spacing w:after="0"/>
        <w:ind w:left="0"/>
        <w:jc w:val="both"/>
      </w:pPr>
      <w:r>
        <w:rPr>
          <w:rFonts w:ascii="Times New Roman"/>
          <w:b w:val="false"/>
          <w:i w:val="false"/>
          <w:color w:val="000000"/>
          <w:sz w:val="28"/>
        </w:rPr>
        <w:t>
      84. Уполномоченный орган осуществляет:</w:t>
      </w:r>
    </w:p>
    <w:bookmarkEnd w:id="310"/>
    <w:bookmarkStart w:name="z317" w:id="311"/>
    <w:p>
      <w:pPr>
        <w:spacing w:after="0"/>
        <w:ind w:left="0"/>
        <w:jc w:val="both"/>
      </w:pPr>
      <w:r>
        <w:rPr>
          <w:rFonts w:ascii="Times New Roman"/>
          <w:b w:val="false"/>
          <w:i w:val="false"/>
          <w:color w:val="000000"/>
          <w:sz w:val="28"/>
        </w:rPr>
        <w:t>
      1) гарантирование за выполнение Стандарта по подбору квалифицированных кадров (инспекторов), имеющих требуемый технический, научный опыт;</w:t>
      </w:r>
    </w:p>
    <w:bookmarkEnd w:id="311"/>
    <w:bookmarkStart w:name="z318" w:id="312"/>
    <w:p>
      <w:pPr>
        <w:spacing w:after="0"/>
        <w:ind w:left="0"/>
        <w:jc w:val="both"/>
      </w:pPr>
      <w:r>
        <w:rPr>
          <w:rFonts w:ascii="Times New Roman"/>
          <w:b w:val="false"/>
          <w:i w:val="false"/>
          <w:color w:val="000000"/>
          <w:sz w:val="28"/>
        </w:rPr>
        <w:t>
      2) публикование документов, разработанные в развитие Стандарта в пределах своей территории;</w:t>
      </w:r>
    </w:p>
    <w:bookmarkEnd w:id="312"/>
    <w:bookmarkStart w:name="z319" w:id="313"/>
    <w:p>
      <w:pPr>
        <w:spacing w:after="0"/>
        <w:ind w:left="0"/>
        <w:jc w:val="both"/>
      </w:pPr>
      <w:r>
        <w:rPr>
          <w:rFonts w:ascii="Times New Roman"/>
          <w:b w:val="false"/>
          <w:i w:val="false"/>
          <w:color w:val="000000"/>
          <w:sz w:val="28"/>
        </w:rPr>
        <w:t>
      3) публикование документов о проведении инспекций, инструкции, периодичность инспекций и (или) графики проведения инспекций;</w:t>
      </w:r>
    </w:p>
    <w:bookmarkEnd w:id="313"/>
    <w:bookmarkStart w:name="z320" w:id="314"/>
    <w:p>
      <w:pPr>
        <w:spacing w:after="0"/>
        <w:ind w:left="0"/>
        <w:jc w:val="both"/>
      </w:pPr>
      <w:r>
        <w:rPr>
          <w:rFonts w:ascii="Times New Roman"/>
          <w:b w:val="false"/>
          <w:i w:val="false"/>
          <w:color w:val="000000"/>
          <w:sz w:val="28"/>
        </w:rPr>
        <w:t>
      4) обмен информацией в отношении программ контроля соблюдения Стандарта, проводится в соответствии с руководством по обмену информацией в отношении программ контроля соблюдения принципов Стандарта согласно приложения 8 к Стандарту;</w:t>
      </w:r>
    </w:p>
    <w:bookmarkEnd w:id="314"/>
    <w:bookmarkStart w:name="z321" w:id="315"/>
    <w:p>
      <w:pPr>
        <w:spacing w:after="0"/>
        <w:ind w:left="0"/>
        <w:jc w:val="both"/>
      </w:pPr>
      <w:r>
        <w:rPr>
          <w:rFonts w:ascii="Times New Roman"/>
          <w:b w:val="false"/>
          <w:i w:val="false"/>
          <w:color w:val="000000"/>
          <w:sz w:val="28"/>
        </w:rPr>
        <w:t>
      5) ведение учета инспекций испытательных лабораторий и их статуса соответствия Стандарту и аудитов исследований, и опубликование информации об этом в открытых источниках, как в национальных, так и в международных целях проводится в соответствии с руководством для органов по контролю соблюдения Стандарта по подготовке ежегодных обзоров проверенных испытательных лабораторий согласно приложения 9 к Стандарту;</w:t>
      </w:r>
    </w:p>
    <w:bookmarkEnd w:id="315"/>
    <w:bookmarkStart w:name="z322" w:id="316"/>
    <w:p>
      <w:pPr>
        <w:spacing w:after="0"/>
        <w:ind w:left="0"/>
        <w:jc w:val="both"/>
      </w:pPr>
      <w:r>
        <w:rPr>
          <w:rFonts w:ascii="Times New Roman"/>
          <w:b w:val="false"/>
          <w:i w:val="false"/>
          <w:color w:val="000000"/>
          <w:sz w:val="28"/>
        </w:rPr>
        <w:t>
      6) обеспечение соблюдения конфиденциальности не только инспекторами, но также и другими лицами, имеющими доступ к конфиденциальной информации в результате осуществления деятельности по контролю соблюдения Стандарта;</w:t>
      </w:r>
    </w:p>
    <w:bookmarkEnd w:id="316"/>
    <w:bookmarkStart w:name="z323" w:id="317"/>
    <w:p>
      <w:pPr>
        <w:spacing w:after="0"/>
        <w:ind w:left="0"/>
        <w:jc w:val="both"/>
      </w:pPr>
      <w:r>
        <w:rPr>
          <w:rFonts w:ascii="Times New Roman"/>
          <w:b w:val="false"/>
          <w:i w:val="false"/>
          <w:color w:val="000000"/>
          <w:sz w:val="28"/>
        </w:rPr>
        <w:t>
      7) обеспечение, за исключением случаев удаления коммерчески важной и конфиденциальной информации, предоставление отчетов об инспекциях испытательных лабораторий и аудитах исследований только в уполномоченный орган.</w:t>
      </w:r>
    </w:p>
    <w:bookmarkEnd w:id="317"/>
    <w:bookmarkStart w:name="z324" w:id="318"/>
    <w:p>
      <w:pPr>
        <w:spacing w:after="0"/>
        <w:ind w:left="0"/>
        <w:jc w:val="both"/>
      </w:pPr>
      <w:r>
        <w:rPr>
          <w:rFonts w:ascii="Times New Roman"/>
          <w:b w:val="false"/>
          <w:i w:val="false"/>
          <w:color w:val="000000"/>
          <w:sz w:val="28"/>
        </w:rPr>
        <w:t>
      85. Требуемое количество инспекторов зависит от:</w:t>
      </w:r>
    </w:p>
    <w:bookmarkEnd w:id="318"/>
    <w:bookmarkStart w:name="z325" w:id="319"/>
    <w:p>
      <w:pPr>
        <w:spacing w:after="0"/>
        <w:ind w:left="0"/>
        <w:jc w:val="both"/>
      </w:pPr>
      <w:r>
        <w:rPr>
          <w:rFonts w:ascii="Times New Roman"/>
          <w:b w:val="false"/>
          <w:i w:val="false"/>
          <w:color w:val="000000"/>
          <w:sz w:val="28"/>
        </w:rPr>
        <w:t>
      1) количества задействованных испытательных лабораторий в программе контроля соблюдения Стандарта;</w:t>
      </w:r>
    </w:p>
    <w:bookmarkEnd w:id="319"/>
    <w:bookmarkStart w:name="z326" w:id="320"/>
    <w:p>
      <w:pPr>
        <w:spacing w:after="0"/>
        <w:ind w:left="0"/>
        <w:jc w:val="both"/>
      </w:pPr>
      <w:r>
        <w:rPr>
          <w:rFonts w:ascii="Times New Roman"/>
          <w:b w:val="false"/>
          <w:i w:val="false"/>
          <w:color w:val="000000"/>
          <w:sz w:val="28"/>
        </w:rPr>
        <w:t>
      2) периодичности оценки статуса соответствия Стандарту испытательных лабораторий;</w:t>
      </w:r>
    </w:p>
    <w:bookmarkEnd w:id="320"/>
    <w:bookmarkStart w:name="z327" w:id="321"/>
    <w:p>
      <w:pPr>
        <w:spacing w:after="0"/>
        <w:ind w:left="0"/>
        <w:jc w:val="both"/>
      </w:pPr>
      <w:r>
        <w:rPr>
          <w:rFonts w:ascii="Times New Roman"/>
          <w:b w:val="false"/>
          <w:i w:val="false"/>
          <w:color w:val="000000"/>
          <w:sz w:val="28"/>
        </w:rPr>
        <w:t>
      3) количества и сложности исследований, проводимых испытательными лабораториями;</w:t>
      </w:r>
    </w:p>
    <w:bookmarkEnd w:id="321"/>
    <w:bookmarkStart w:name="z328" w:id="322"/>
    <w:p>
      <w:pPr>
        <w:spacing w:after="0"/>
        <w:ind w:left="0"/>
        <w:jc w:val="both"/>
      </w:pPr>
      <w:r>
        <w:rPr>
          <w:rFonts w:ascii="Times New Roman"/>
          <w:b w:val="false"/>
          <w:i w:val="false"/>
          <w:color w:val="000000"/>
          <w:sz w:val="28"/>
        </w:rPr>
        <w:t>
      4) количества специальных инспекций или аудитов, проводимых по запросу уполномоченного органа.</w:t>
      </w:r>
    </w:p>
    <w:bookmarkEnd w:id="322"/>
    <w:bookmarkStart w:name="z329" w:id="323"/>
    <w:p>
      <w:pPr>
        <w:spacing w:after="0"/>
        <w:ind w:left="0"/>
        <w:jc w:val="both"/>
      </w:pPr>
      <w:r>
        <w:rPr>
          <w:rFonts w:ascii="Times New Roman"/>
          <w:b w:val="false"/>
          <w:i w:val="false"/>
          <w:color w:val="000000"/>
          <w:sz w:val="28"/>
        </w:rPr>
        <w:t>
      86. Инспекторы владеют квалификацией и практическим опытом в ряде научных дисциплин, имеющих отношение к исследованиям химических соединений (включая лекарственные средства).</w:t>
      </w:r>
    </w:p>
    <w:bookmarkEnd w:id="323"/>
    <w:bookmarkStart w:name="z330" w:id="324"/>
    <w:p>
      <w:pPr>
        <w:spacing w:after="0"/>
        <w:ind w:left="0"/>
        <w:jc w:val="both"/>
      </w:pPr>
      <w:r>
        <w:rPr>
          <w:rFonts w:ascii="Times New Roman"/>
          <w:b w:val="false"/>
          <w:i w:val="false"/>
          <w:color w:val="000000"/>
          <w:sz w:val="28"/>
        </w:rPr>
        <w:t>
      Уполномоченный орган осуществляет:</w:t>
      </w:r>
    </w:p>
    <w:bookmarkEnd w:id="324"/>
    <w:bookmarkStart w:name="z331" w:id="325"/>
    <w:p>
      <w:pPr>
        <w:spacing w:after="0"/>
        <w:ind w:left="0"/>
        <w:jc w:val="both"/>
      </w:pPr>
      <w:r>
        <w:rPr>
          <w:rFonts w:ascii="Times New Roman"/>
          <w:b w:val="false"/>
          <w:i w:val="false"/>
          <w:color w:val="000000"/>
          <w:sz w:val="28"/>
        </w:rPr>
        <w:t xml:space="preserve">
      1) соответствующее обучение инспекторов, с учетом индивидуальных квалификаций и опыта; </w:t>
      </w:r>
    </w:p>
    <w:bookmarkEnd w:id="325"/>
    <w:bookmarkStart w:name="z332" w:id="326"/>
    <w:p>
      <w:pPr>
        <w:spacing w:after="0"/>
        <w:ind w:left="0"/>
        <w:jc w:val="both"/>
      </w:pPr>
      <w:r>
        <w:rPr>
          <w:rFonts w:ascii="Times New Roman"/>
          <w:b w:val="false"/>
          <w:i w:val="false"/>
          <w:color w:val="000000"/>
          <w:sz w:val="28"/>
        </w:rPr>
        <w:t>
      2) проводить консультации, включая в соответствующих случаях совместные обучающие мероприятия с персоналом уполномоченных органов в других странах с целью содействия международной согласованности в истолковании и применении принципов Стандарта, а также при контроле их соблюдения.</w:t>
      </w:r>
    </w:p>
    <w:bookmarkEnd w:id="326"/>
    <w:bookmarkStart w:name="z333" w:id="327"/>
    <w:p>
      <w:pPr>
        <w:spacing w:after="0"/>
        <w:ind w:left="0"/>
        <w:jc w:val="both"/>
      </w:pPr>
      <w:r>
        <w:rPr>
          <w:rFonts w:ascii="Times New Roman"/>
          <w:b w:val="false"/>
          <w:i w:val="false"/>
          <w:color w:val="000000"/>
          <w:sz w:val="28"/>
        </w:rPr>
        <w:t>
      87. Гарантировать отсутствие финансового или другого интереса у инспекционного персонала, включая экспертов, работающих по контракту, при инспекции испытательных лабораторий или аудите исследований, а также фирм, спонсирующих такие исследования.</w:t>
      </w:r>
    </w:p>
    <w:bookmarkEnd w:id="327"/>
    <w:bookmarkStart w:name="z334" w:id="328"/>
    <w:p>
      <w:pPr>
        <w:spacing w:after="0"/>
        <w:ind w:left="0"/>
        <w:jc w:val="both"/>
      </w:pPr>
      <w:r>
        <w:rPr>
          <w:rFonts w:ascii="Times New Roman"/>
          <w:b w:val="false"/>
          <w:i w:val="false"/>
          <w:color w:val="000000"/>
          <w:sz w:val="28"/>
        </w:rPr>
        <w:t>
      88. Обеспечить инспекторов подходящими средствами идентификации:</w:t>
      </w:r>
    </w:p>
    <w:bookmarkEnd w:id="328"/>
    <w:bookmarkStart w:name="z335" w:id="329"/>
    <w:p>
      <w:pPr>
        <w:spacing w:after="0"/>
        <w:ind w:left="0"/>
        <w:jc w:val="both"/>
      </w:pPr>
      <w:r>
        <w:rPr>
          <w:rFonts w:ascii="Times New Roman"/>
          <w:b w:val="false"/>
          <w:i w:val="false"/>
          <w:color w:val="000000"/>
          <w:sz w:val="28"/>
        </w:rPr>
        <w:t>
      Инспекторами являются:</w:t>
      </w:r>
    </w:p>
    <w:bookmarkEnd w:id="329"/>
    <w:bookmarkStart w:name="z336" w:id="330"/>
    <w:p>
      <w:pPr>
        <w:spacing w:after="0"/>
        <w:ind w:left="0"/>
        <w:jc w:val="both"/>
      </w:pPr>
      <w:r>
        <w:rPr>
          <w:rFonts w:ascii="Times New Roman"/>
          <w:b w:val="false"/>
          <w:i w:val="false"/>
          <w:color w:val="000000"/>
          <w:sz w:val="28"/>
        </w:rPr>
        <w:t>
      1) лица из числа постоянного штата уполномоченного органа или фармацевтического инспектората;</w:t>
      </w:r>
    </w:p>
    <w:bookmarkEnd w:id="330"/>
    <w:bookmarkStart w:name="z337" w:id="331"/>
    <w:p>
      <w:pPr>
        <w:spacing w:after="0"/>
        <w:ind w:left="0"/>
        <w:jc w:val="both"/>
      </w:pPr>
      <w:r>
        <w:rPr>
          <w:rFonts w:ascii="Times New Roman"/>
          <w:b w:val="false"/>
          <w:i w:val="false"/>
          <w:color w:val="000000"/>
          <w:sz w:val="28"/>
        </w:rPr>
        <w:t>
      2) лица, нанятые по договору уполномоченным органом для выполнения инспекций испытательных лабораторий или аудитов исследований.</w:t>
      </w:r>
    </w:p>
    <w:bookmarkEnd w:id="331"/>
    <w:bookmarkStart w:name="z338" w:id="332"/>
    <w:p>
      <w:pPr>
        <w:spacing w:after="0"/>
        <w:ind w:left="0"/>
        <w:jc w:val="both"/>
      </w:pPr>
      <w:r>
        <w:rPr>
          <w:rFonts w:ascii="Times New Roman"/>
          <w:b w:val="false"/>
          <w:i w:val="false"/>
          <w:color w:val="000000"/>
          <w:sz w:val="28"/>
        </w:rPr>
        <w:t>
      89. Контроль соблюдения Стандарта предназначен для доказательства, что испытательные лаборатории применяют Стандарт при проведении исследований и гарантии, что полученные данные соответствуют нормам качества.</w:t>
      </w:r>
    </w:p>
    <w:bookmarkEnd w:id="332"/>
    <w:bookmarkStart w:name="z339" w:id="333"/>
    <w:p>
      <w:pPr>
        <w:spacing w:after="0"/>
        <w:ind w:left="0"/>
        <w:jc w:val="both"/>
      </w:pPr>
      <w:r>
        <w:rPr>
          <w:rFonts w:ascii="Times New Roman"/>
          <w:b w:val="false"/>
          <w:i w:val="false"/>
          <w:color w:val="000000"/>
          <w:sz w:val="28"/>
        </w:rPr>
        <w:t>
      Программа контроля соблюдения Стандарта (далее - программа) включает:</w:t>
      </w:r>
    </w:p>
    <w:bookmarkEnd w:id="333"/>
    <w:bookmarkStart w:name="z340" w:id="334"/>
    <w:p>
      <w:pPr>
        <w:spacing w:after="0"/>
        <w:ind w:left="0"/>
        <w:jc w:val="both"/>
      </w:pPr>
      <w:r>
        <w:rPr>
          <w:rFonts w:ascii="Times New Roman"/>
          <w:b w:val="false"/>
          <w:i w:val="false"/>
          <w:color w:val="000000"/>
          <w:sz w:val="28"/>
        </w:rPr>
        <w:t>
      1) положения об инспекциях испытательных лабораторий. Эти инспекции включают в себя инспекции общего характера и аудиты исследований, текущих или завершенных;</w:t>
      </w:r>
    </w:p>
    <w:bookmarkEnd w:id="334"/>
    <w:bookmarkStart w:name="z341" w:id="335"/>
    <w:p>
      <w:pPr>
        <w:spacing w:after="0"/>
        <w:ind w:left="0"/>
        <w:jc w:val="both"/>
      </w:pPr>
      <w:r>
        <w:rPr>
          <w:rFonts w:ascii="Times New Roman"/>
          <w:b w:val="false"/>
          <w:i w:val="false"/>
          <w:color w:val="000000"/>
          <w:sz w:val="28"/>
        </w:rPr>
        <w:t>
      2) объем и масштаб программы. Программа включает в себя только ограниченное количество исследуемых веществ (лекарственных средств). Определяется объем контроля, как с учетом категорий лекарственных средств, так и видов исследований, проводимых на них (физические, химические, токсикологические и (или) экотоксикологические);</w:t>
      </w:r>
    </w:p>
    <w:bookmarkEnd w:id="335"/>
    <w:bookmarkStart w:name="z342" w:id="336"/>
    <w:p>
      <w:pPr>
        <w:spacing w:after="0"/>
        <w:ind w:left="0"/>
        <w:jc w:val="both"/>
      </w:pPr>
      <w:r>
        <w:rPr>
          <w:rFonts w:ascii="Times New Roman"/>
          <w:b w:val="false"/>
          <w:i w:val="false"/>
          <w:color w:val="000000"/>
          <w:sz w:val="28"/>
        </w:rPr>
        <w:t xml:space="preserve">
      3) указание на механизмы, в соответствии с которыми испытательные лаборатории включаются в программу; </w:t>
      </w:r>
    </w:p>
    <w:bookmarkEnd w:id="336"/>
    <w:bookmarkStart w:name="z343" w:id="337"/>
    <w:p>
      <w:pPr>
        <w:spacing w:after="0"/>
        <w:ind w:left="0"/>
        <w:jc w:val="both"/>
      </w:pPr>
      <w:r>
        <w:rPr>
          <w:rFonts w:ascii="Times New Roman"/>
          <w:b w:val="false"/>
          <w:i w:val="false"/>
          <w:color w:val="000000"/>
          <w:sz w:val="28"/>
        </w:rPr>
        <w:t>
      4) применение принципов Стандарта к данным по безопасности для здоровья и окружающей среды, собранным в регуляторных целях, является обязательным. Разрабатывается механизм, в соответствии с которым испытательные лаборатории функционирует в соответствии со Стандартом, проверяемым уполномоченным органом;</w:t>
      </w:r>
    </w:p>
    <w:bookmarkEnd w:id="337"/>
    <w:bookmarkStart w:name="z344" w:id="338"/>
    <w:p>
      <w:pPr>
        <w:spacing w:after="0"/>
        <w:ind w:left="0"/>
        <w:jc w:val="both"/>
      </w:pPr>
      <w:r>
        <w:rPr>
          <w:rFonts w:ascii="Times New Roman"/>
          <w:b w:val="false"/>
          <w:i w:val="false"/>
          <w:color w:val="000000"/>
          <w:sz w:val="28"/>
        </w:rPr>
        <w:t>
      5) предоставление информации о категориях инспекций испытательных лабораторий, аудитах исследований;</w:t>
      </w:r>
    </w:p>
    <w:bookmarkEnd w:id="338"/>
    <w:bookmarkStart w:name="z345" w:id="339"/>
    <w:p>
      <w:pPr>
        <w:spacing w:after="0"/>
        <w:ind w:left="0"/>
        <w:jc w:val="both"/>
      </w:pPr>
      <w:r>
        <w:rPr>
          <w:rFonts w:ascii="Times New Roman"/>
          <w:b w:val="false"/>
          <w:i w:val="false"/>
          <w:color w:val="000000"/>
          <w:sz w:val="28"/>
        </w:rPr>
        <w:t>
      6) оказание на полномочия инспекторов в отношении прихода в испытательную лабораторию и их доступа к данным, являющихся собственностью испытательной лаборатории (включая образцы, СОП, другую документацию);</w:t>
      </w:r>
    </w:p>
    <w:bookmarkEnd w:id="339"/>
    <w:bookmarkStart w:name="z346" w:id="340"/>
    <w:p>
      <w:pPr>
        <w:spacing w:after="0"/>
        <w:ind w:left="0"/>
        <w:jc w:val="both"/>
      </w:pPr>
      <w:r>
        <w:rPr>
          <w:rFonts w:ascii="Times New Roman"/>
          <w:b w:val="false"/>
          <w:i w:val="false"/>
          <w:color w:val="000000"/>
          <w:sz w:val="28"/>
        </w:rPr>
        <w:t>
      7) описание процедуры инспекции испытательной лаборатории и аудиты исследования для подтверждения соблюдения Стандарта.</w:t>
      </w:r>
    </w:p>
    <w:bookmarkEnd w:id="340"/>
    <w:bookmarkStart w:name="z347" w:id="341"/>
    <w:p>
      <w:pPr>
        <w:spacing w:after="0"/>
        <w:ind w:left="0"/>
        <w:jc w:val="both"/>
      </w:pPr>
      <w:r>
        <w:rPr>
          <w:rFonts w:ascii="Times New Roman"/>
          <w:b w:val="false"/>
          <w:i w:val="false"/>
          <w:color w:val="000000"/>
          <w:sz w:val="28"/>
        </w:rPr>
        <w:t xml:space="preserve">
      В документации описываются процедуры, которые используются для изучения организационных процессов и условий, в соответствии с которыми исследования планируются, проводятся, контролируются и регистрируются. </w:t>
      </w:r>
    </w:p>
    <w:bookmarkEnd w:id="341"/>
    <w:bookmarkStart w:name="z348" w:id="342"/>
    <w:p>
      <w:pPr>
        <w:spacing w:after="0"/>
        <w:ind w:left="0"/>
        <w:jc w:val="both"/>
      </w:pPr>
      <w:r>
        <w:rPr>
          <w:rFonts w:ascii="Times New Roman"/>
          <w:b w:val="false"/>
          <w:i w:val="false"/>
          <w:color w:val="000000"/>
          <w:sz w:val="28"/>
        </w:rPr>
        <w:t>
      Описываются действия, которые предпринимаются после инспекций испытательных лабораторий и аудитов исследований.</w:t>
      </w:r>
    </w:p>
    <w:bookmarkEnd w:id="342"/>
    <w:bookmarkStart w:name="z349" w:id="343"/>
    <w:p>
      <w:pPr>
        <w:spacing w:after="0"/>
        <w:ind w:left="0"/>
        <w:jc w:val="both"/>
      </w:pPr>
      <w:r>
        <w:rPr>
          <w:rFonts w:ascii="Times New Roman"/>
          <w:b w:val="false"/>
          <w:i w:val="false"/>
          <w:color w:val="000000"/>
          <w:sz w:val="28"/>
        </w:rPr>
        <w:t>
      90. После завершения инспекции испытательных лабораторий и аудита исследований инспектор готовит письменный отчет о результатах.</w:t>
      </w:r>
    </w:p>
    <w:bookmarkEnd w:id="343"/>
    <w:bookmarkStart w:name="z350" w:id="344"/>
    <w:p>
      <w:pPr>
        <w:spacing w:after="0"/>
        <w:ind w:left="0"/>
        <w:jc w:val="both"/>
      </w:pPr>
      <w:r>
        <w:rPr>
          <w:rFonts w:ascii="Times New Roman"/>
          <w:b w:val="false"/>
          <w:i w:val="false"/>
          <w:color w:val="000000"/>
          <w:sz w:val="28"/>
        </w:rPr>
        <w:t>
      91. Уполномоченный орган предпринимает действия при обнаружении отклонений от Стандарта в ходе или после инспекции испытательных лабораторий или аудита исследований. Соответствующие действия описаны в документах органа (организации), осуществляющий контроль.</w:t>
      </w:r>
    </w:p>
    <w:bookmarkEnd w:id="344"/>
    <w:bookmarkStart w:name="z351" w:id="345"/>
    <w:p>
      <w:pPr>
        <w:spacing w:after="0"/>
        <w:ind w:left="0"/>
        <w:jc w:val="both"/>
      </w:pPr>
      <w:r>
        <w:rPr>
          <w:rFonts w:ascii="Times New Roman"/>
          <w:b w:val="false"/>
          <w:i w:val="false"/>
          <w:color w:val="000000"/>
          <w:sz w:val="28"/>
        </w:rPr>
        <w:t>
      92. Если в ходе инспекции испытательной лаборатории или аудита исследования обнаружены незначительные отклонения от Стандарта, испытательная лаборатория осуществляет устранение выявленных отклонений. Инспектор в заранее оглашенное время возвращается в испытательную лабораторию и проверяет внесение изменений.</w:t>
      </w:r>
    </w:p>
    <w:bookmarkEnd w:id="345"/>
    <w:bookmarkStart w:name="z352" w:id="346"/>
    <w:p>
      <w:pPr>
        <w:spacing w:after="0"/>
        <w:ind w:left="0"/>
        <w:jc w:val="both"/>
      </w:pPr>
      <w:r>
        <w:rPr>
          <w:rFonts w:ascii="Times New Roman"/>
          <w:b w:val="false"/>
          <w:i w:val="false"/>
          <w:color w:val="000000"/>
          <w:sz w:val="28"/>
        </w:rPr>
        <w:t>
      93. При отсутствии отклонений или при выявлении незначительных отклонений, уполномоченный орган:</w:t>
      </w:r>
    </w:p>
    <w:bookmarkEnd w:id="346"/>
    <w:bookmarkStart w:name="z353" w:id="347"/>
    <w:p>
      <w:pPr>
        <w:spacing w:after="0"/>
        <w:ind w:left="0"/>
        <w:jc w:val="both"/>
      </w:pPr>
      <w:r>
        <w:rPr>
          <w:rFonts w:ascii="Times New Roman"/>
          <w:b w:val="false"/>
          <w:i w:val="false"/>
          <w:color w:val="000000"/>
          <w:sz w:val="28"/>
        </w:rPr>
        <w:t>
      1) выдает заключение о том, что испытательная лаборатория проинспектирована и ее деятельность соответствует Стандарту. Указывается дата инспекции и в соответствующих случаях категория проведенного исследования в испытательной лаборатории на данный момент. Эти заключения используются для предоставления информации в уполномоченные органы других стран;</w:t>
      </w:r>
    </w:p>
    <w:bookmarkEnd w:id="347"/>
    <w:bookmarkStart w:name="z354" w:id="348"/>
    <w:p>
      <w:pPr>
        <w:spacing w:after="0"/>
        <w:ind w:left="0"/>
        <w:jc w:val="both"/>
      </w:pPr>
      <w:r>
        <w:rPr>
          <w:rFonts w:ascii="Times New Roman"/>
          <w:b w:val="false"/>
          <w:i w:val="false"/>
          <w:color w:val="000000"/>
          <w:sz w:val="28"/>
        </w:rPr>
        <w:t xml:space="preserve">
      2) составляет подробный отчет о результатах инспектирования. </w:t>
      </w:r>
    </w:p>
    <w:bookmarkEnd w:id="348"/>
    <w:bookmarkStart w:name="z355" w:id="349"/>
    <w:p>
      <w:pPr>
        <w:spacing w:after="0"/>
        <w:ind w:left="0"/>
        <w:jc w:val="both"/>
      </w:pPr>
      <w:r>
        <w:rPr>
          <w:rFonts w:ascii="Times New Roman"/>
          <w:b w:val="false"/>
          <w:i w:val="false"/>
          <w:color w:val="000000"/>
          <w:sz w:val="28"/>
        </w:rPr>
        <w:t>
      94. При выявлении серьезных отклонений, действия, предпринимаемые органом по контролю соблюдения Стандарта, зависят от конкретных обстоятельств каждого случая и правовых или административных положений, в соответствии с которыми был утвержден контроль соблюдения Стандарта. В частности, предпринимаются следующие действия:</w:t>
      </w:r>
    </w:p>
    <w:bookmarkEnd w:id="349"/>
    <w:bookmarkStart w:name="z356" w:id="350"/>
    <w:p>
      <w:pPr>
        <w:spacing w:after="0"/>
        <w:ind w:left="0"/>
        <w:jc w:val="both"/>
      </w:pPr>
      <w:r>
        <w:rPr>
          <w:rFonts w:ascii="Times New Roman"/>
          <w:b w:val="false"/>
          <w:i w:val="false"/>
          <w:color w:val="000000"/>
          <w:sz w:val="28"/>
        </w:rPr>
        <w:t>
      1) выдача заключения с подробностями обнаруженных несоответствий или погрешностей, которые влияют на достоверность исследований, проведенных в испытательной лаборатории;</w:t>
      </w:r>
    </w:p>
    <w:bookmarkEnd w:id="350"/>
    <w:bookmarkStart w:name="z357" w:id="351"/>
    <w:p>
      <w:pPr>
        <w:spacing w:after="0"/>
        <w:ind w:left="0"/>
        <w:jc w:val="both"/>
      </w:pPr>
      <w:r>
        <w:rPr>
          <w:rFonts w:ascii="Times New Roman"/>
          <w:b w:val="false"/>
          <w:i w:val="false"/>
          <w:color w:val="000000"/>
          <w:sz w:val="28"/>
        </w:rPr>
        <w:t>
      2) выдача рекомендации, что исследование признано недействительным;</w:t>
      </w:r>
    </w:p>
    <w:bookmarkEnd w:id="351"/>
    <w:bookmarkStart w:name="z358" w:id="352"/>
    <w:p>
      <w:pPr>
        <w:spacing w:after="0"/>
        <w:ind w:left="0"/>
        <w:jc w:val="both"/>
      </w:pPr>
      <w:r>
        <w:rPr>
          <w:rFonts w:ascii="Times New Roman"/>
          <w:b w:val="false"/>
          <w:i w:val="false"/>
          <w:color w:val="000000"/>
          <w:sz w:val="28"/>
        </w:rPr>
        <w:t>
      3) временное прекращение инспекций испытательных лабораторий или аудитов исследований в испытательной лаборатории и, если это возможно с административной точки зрения, удаление испытательной лаборатории из программы контроля соблюдения Стандарта или из любого существующего списка или реестра испытательных лабораторий, подлежащих инспекциям соблюдения Стандарта;</w:t>
      </w:r>
    </w:p>
    <w:bookmarkEnd w:id="352"/>
    <w:bookmarkStart w:name="z359" w:id="353"/>
    <w:p>
      <w:pPr>
        <w:spacing w:after="0"/>
        <w:ind w:left="0"/>
        <w:jc w:val="both"/>
      </w:pPr>
      <w:r>
        <w:rPr>
          <w:rFonts w:ascii="Times New Roman"/>
          <w:b w:val="false"/>
          <w:i w:val="false"/>
          <w:color w:val="000000"/>
          <w:sz w:val="28"/>
        </w:rPr>
        <w:t>
      4) требование включения заключения с подробным описанием отклонений в специальный отчет об исследовании;</w:t>
      </w:r>
    </w:p>
    <w:bookmarkEnd w:id="353"/>
    <w:bookmarkStart w:name="z360" w:id="354"/>
    <w:p>
      <w:pPr>
        <w:spacing w:after="0"/>
        <w:ind w:left="0"/>
        <w:jc w:val="both"/>
      </w:pPr>
      <w:r>
        <w:rPr>
          <w:rFonts w:ascii="Times New Roman"/>
          <w:b w:val="false"/>
          <w:i w:val="false"/>
          <w:color w:val="000000"/>
          <w:sz w:val="28"/>
        </w:rPr>
        <w:t>
      5) действия в суде, если возникают такие обстоятельства, и правовые, административные процедуры это допускают.</w:t>
      </w:r>
    </w:p>
    <w:bookmarkEnd w:id="354"/>
    <w:bookmarkStart w:name="z361" w:id="355"/>
    <w:p>
      <w:pPr>
        <w:spacing w:after="0"/>
        <w:ind w:left="0"/>
        <w:jc w:val="left"/>
      </w:pPr>
      <w:r>
        <w:rPr>
          <w:rFonts w:ascii="Times New Roman"/>
          <w:b/>
          <w:i w:val="false"/>
          <w:color w:val="000000"/>
        </w:rPr>
        <w:t xml:space="preserve"> Глава 8. Общие принципы инспектирования</w:t>
      </w:r>
    </w:p>
    <w:bookmarkEnd w:id="355"/>
    <w:bookmarkStart w:name="z362" w:id="356"/>
    <w:p>
      <w:pPr>
        <w:spacing w:after="0"/>
        <w:ind w:left="0"/>
        <w:jc w:val="both"/>
      </w:pPr>
      <w:r>
        <w:rPr>
          <w:rFonts w:ascii="Times New Roman"/>
          <w:b w:val="false"/>
          <w:i w:val="false"/>
          <w:color w:val="000000"/>
          <w:sz w:val="28"/>
        </w:rPr>
        <w:t>
      95. Инспекции на соответствие Стандарту проводятся в любой испытательной лаборатории, изучающей данные по безопасности для здоровья и окружающей среды в регуляторных целях. Требуются инспекторы для аудита данных в отношении физических, химических, токсикологических свойств вещества или препарата. В некоторых случаях инспекторам потребуется помощь экспертов в определенных дисциплинах.</w:t>
      </w:r>
    </w:p>
    <w:bookmarkEnd w:id="356"/>
    <w:bookmarkStart w:name="z363" w:id="357"/>
    <w:p>
      <w:pPr>
        <w:spacing w:after="0"/>
        <w:ind w:left="0"/>
        <w:jc w:val="both"/>
      </w:pPr>
      <w:r>
        <w:rPr>
          <w:rFonts w:ascii="Times New Roman"/>
          <w:b w:val="false"/>
          <w:i w:val="false"/>
          <w:color w:val="000000"/>
          <w:sz w:val="28"/>
        </w:rPr>
        <w:t>
      96. В силу существования широкого разнообразия испытательных лабораторий (в рамках как планировки, так и структуры управления), а также разных видов исследований, с которым и сталкиваются инспекторы, им следует использовать свое собственное суждение для оценки степени и объема соответствия Стандарту. Инспекторы применяют непротиворечивые подходы при оценке, в случае конкретной испытательной лаборатории или исследования, достижения соответствующего уровня соблюдения каждого принципа Стандарта.</w:t>
      </w:r>
    </w:p>
    <w:bookmarkEnd w:id="357"/>
    <w:bookmarkStart w:name="z364" w:id="358"/>
    <w:p>
      <w:pPr>
        <w:spacing w:after="0"/>
        <w:ind w:left="0"/>
        <w:jc w:val="both"/>
      </w:pPr>
      <w:r>
        <w:rPr>
          <w:rFonts w:ascii="Times New Roman"/>
          <w:b w:val="false"/>
          <w:i w:val="false"/>
          <w:color w:val="000000"/>
          <w:sz w:val="28"/>
        </w:rPr>
        <w:t>
      97. В деятельность инспекторов не входят изучение научной структуры исследования или объяснение результатов в отношении рисков для здоровья человека или окружающей среды. Эти аспекты рассматриваются уполномоченным органом.</w:t>
      </w:r>
    </w:p>
    <w:bookmarkEnd w:id="358"/>
    <w:bookmarkStart w:name="z365" w:id="359"/>
    <w:p>
      <w:pPr>
        <w:spacing w:after="0"/>
        <w:ind w:left="0"/>
        <w:jc w:val="both"/>
      </w:pPr>
      <w:r>
        <w:rPr>
          <w:rFonts w:ascii="Times New Roman"/>
          <w:b w:val="false"/>
          <w:i w:val="false"/>
          <w:color w:val="000000"/>
          <w:sz w:val="28"/>
        </w:rPr>
        <w:t>
      98. Инспекции испытательных лабораторий и аудиты исследований неизбежно нарушают исследовательскую работу. Инспекторы осуществляют свою работу по строгому плану и по возможности учитывают желания управляющего персонала испытательной лаборатории в отношении времени посещения определенных площадок испытательной лаборатории.</w:t>
      </w:r>
    </w:p>
    <w:bookmarkEnd w:id="359"/>
    <w:bookmarkStart w:name="z366" w:id="360"/>
    <w:p>
      <w:pPr>
        <w:spacing w:after="0"/>
        <w:ind w:left="0"/>
        <w:jc w:val="both"/>
      </w:pPr>
      <w:r>
        <w:rPr>
          <w:rFonts w:ascii="Times New Roman"/>
          <w:b w:val="false"/>
          <w:i w:val="false"/>
          <w:color w:val="000000"/>
          <w:sz w:val="28"/>
        </w:rPr>
        <w:t>
      99. В течение инспекций испытательных лабораторий и аудитов исследований инспекторы имеют доступ к конфиденциальной коммерчески важной информации. Важно гарантировать тот факт, чтобы эта информация была доступна только уполномоченному персоналу. Функции персонала по этому вопросу определены в программе контроля соблюдения Стандарта.</w:t>
      </w:r>
    </w:p>
    <w:bookmarkEnd w:id="360"/>
    <w:bookmarkStart w:name="z367" w:id="361"/>
    <w:p>
      <w:pPr>
        <w:spacing w:after="0"/>
        <w:ind w:left="0"/>
        <w:jc w:val="left"/>
      </w:pPr>
      <w:r>
        <w:rPr>
          <w:rFonts w:ascii="Times New Roman"/>
          <w:b/>
          <w:i w:val="false"/>
          <w:color w:val="000000"/>
        </w:rPr>
        <w:t xml:space="preserve"> Параграф 1. Процедуры инспекции испытательной лаборатории</w:t>
      </w:r>
    </w:p>
    <w:bookmarkEnd w:id="361"/>
    <w:bookmarkStart w:name="z368" w:id="362"/>
    <w:p>
      <w:pPr>
        <w:spacing w:after="0"/>
        <w:ind w:left="0"/>
        <w:jc w:val="both"/>
      </w:pPr>
      <w:r>
        <w:rPr>
          <w:rFonts w:ascii="Times New Roman"/>
          <w:b w:val="false"/>
          <w:i w:val="false"/>
          <w:color w:val="000000"/>
          <w:sz w:val="28"/>
        </w:rPr>
        <w:t>
      100. Предварительная инспекция. Цель - познакомить инспектора с испытательной лабораторией, которая подлежит инспекции на предмет структуры управления, физического расположения зданий и ряда исследований.</w:t>
      </w:r>
    </w:p>
    <w:bookmarkEnd w:id="362"/>
    <w:bookmarkStart w:name="z369" w:id="363"/>
    <w:p>
      <w:pPr>
        <w:spacing w:after="0"/>
        <w:ind w:left="0"/>
        <w:jc w:val="both"/>
      </w:pPr>
      <w:r>
        <w:rPr>
          <w:rFonts w:ascii="Times New Roman"/>
          <w:b w:val="false"/>
          <w:i w:val="false"/>
          <w:color w:val="000000"/>
          <w:sz w:val="28"/>
        </w:rPr>
        <w:t>
      Перед проведением инспекции испытательной лаборатории или аудита исследования инспекторы знакомятся с испытательной лабораторией, подлежащей инспектированию. Следует изучить только существующую информацию об испытательной лаборатории. Сюда относятся предыдущие отчеты об инспекциях, расположение испытательной лаборатории, структурная схема организации, отчеты об исследованиях, протоколы и резюме персонала.</w:t>
      </w:r>
    </w:p>
    <w:bookmarkEnd w:id="363"/>
    <w:bookmarkStart w:name="z370" w:id="364"/>
    <w:p>
      <w:pPr>
        <w:spacing w:after="0"/>
        <w:ind w:left="0"/>
        <w:jc w:val="both"/>
      </w:pPr>
      <w:r>
        <w:rPr>
          <w:rFonts w:ascii="Times New Roman"/>
          <w:b w:val="false"/>
          <w:i w:val="false"/>
          <w:color w:val="000000"/>
          <w:sz w:val="28"/>
        </w:rPr>
        <w:t>
      Ниже перечислена первостепенно нужная информация:</w:t>
      </w:r>
    </w:p>
    <w:bookmarkEnd w:id="364"/>
    <w:bookmarkStart w:name="z371" w:id="365"/>
    <w:p>
      <w:pPr>
        <w:spacing w:after="0"/>
        <w:ind w:left="0"/>
        <w:jc w:val="both"/>
      </w:pPr>
      <w:r>
        <w:rPr>
          <w:rFonts w:ascii="Times New Roman"/>
          <w:b w:val="false"/>
          <w:i w:val="false"/>
          <w:color w:val="000000"/>
          <w:sz w:val="28"/>
        </w:rPr>
        <w:t>
      1) вид, величина и расположение испытательной лаборатории;</w:t>
      </w:r>
    </w:p>
    <w:bookmarkEnd w:id="365"/>
    <w:bookmarkStart w:name="z372" w:id="366"/>
    <w:p>
      <w:pPr>
        <w:spacing w:after="0"/>
        <w:ind w:left="0"/>
        <w:jc w:val="both"/>
      </w:pPr>
      <w:r>
        <w:rPr>
          <w:rFonts w:ascii="Times New Roman"/>
          <w:b w:val="false"/>
          <w:i w:val="false"/>
          <w:color w:val="000000"/>
          <w:sz w:val="28"/>
        </w:rPr>
        <w:t>
      2) ряд исследований, которые будут анализироваться при инспекции;</w:t>
      </w:r>
    </w:p>
    <w:bookmarkEnd w:id="366"/>
    <w:bookmarkStart w:name="z373" w:id="367"/>
    <w:p>
      <w:pPr>
        <w:spacing w:after="0"/>
        <w:ind w:left="0"/>
        <w:jc w:val="both"/>
      </w:pPr>
      <w:r>
        <w:rPr>
          <w:rFonts w:ascii="Times New Roman"/>
          <w:b w:val="false"/>
          <w:i w:val="false"/>
          <w:color w:val="000000"/>
          <w:sz w:val="28"/>
        </w:rPr>
        <w:t>
      3) структура управления испытательной лабораторией.</w:t>
      </w:r>
    </w:p>
    <w:bookmarkEnd w:id="367"/>
    <w:bookmarkStart w:name="z374" w:id="368"/>
    <w:p>
      <w:pPr>
        <w:spacing w:after="0"/>
        <w:ind w:left="0"/>
        <w:jc w:val="both"/>
      </w:pPr>
      <w:r>
        <w:rPr>
          <w:rFonts w:ascii="Times New Roman"/>
          <w:b w:val="false"/>
          <w:i w:val="false"/>
          <w:color w:val="000000"/>
          <w:sz w:val="28"/>
        </w:rPr>
        <w:t>
      Инспекторы отмечают недостатки, выявленные предыдущими инспекциями испытательной лаборатории. В том случае, если в испытательной лаборатории ранее не проводили инспекции, для получения соответствующей информации проводится предварительная инспекция.</w:t>
      </w:r>
    </w:p>
    <w:bookmarkEnd w:id="368"/>
    <w:bookmarkStart w:name="z375" w:id="369"/>
    <w:p>
      <w:pPr>
        <w:spacing w:after="0"/>
        <w:ind w:left="0"/>
        <w:jc w:val="both"/>
      </w:pPr>
      <w:r>
        <w:rPr>
          <w:rFonts w:ascii="Times New Roman"/>
          <w:b w:val="false"/>
          <w:i w:val="false"/>
          <w:color w:val="000000"/>
          <w:sz w:val="28"/>
        </w:rPr>
        <w:t>
      Испытательную лабораторию предварительно уведомляют о дате и времени приезда инспектора и продолжительности пребывания в здании. Это позволит соответствующему персоналу подготовить соответствующие документы. В тех случаях, когда инспекции подлежат определенные документы и записи, следует поставить об этом в известность испытательную лабораторию, заранее до начала проверки, чтобы эти данные были готовы без промедления в течение инспекции испытательной лаборатории.</w:t>
      </w:r>
    </w:p>
    <w:bookmarkEnd w:id="369"/>
    <w:bookmarkStart w:name="z376" w:id="370"/>
    <w:p>
      <w:pPr>
        <w:spacing w:after="0"/>
        <w:ind w:left="0"/>
        <w:jc w:val="both"/>
      </w:pPr>
      <w:r>
        <w:rPr>
          <w:rFonts w:ascii="Times New Roman"/>
          <w:b w:val="false"/>
          <w:i w:val="false"/>
          <w:color w:val="000000"/>
          <w:sz w:val="28"/>
        </w:rPr>
        <w:t>
      101. Конференция в начале инспекции. Цель - проинформировать руководителей и персонал испытательной лаборатории о причине предстоящей инспекции испытательной лаборатории и аудите исследования, определить площадки испытательной лаборатории и исследование, выбранное для аудита, персонал и документы, задействованные в проверке.</w:t>
      </w:r>
    </w:p>
    <w:bookmarkEnd w:id="370"/>
    <w:bookmarkStart w:name="z377" w:id="371"/>
    <w:p>
      <w:pPr>
        <w:spacing w:after="0"/>
        <w:ind w:left="0"/>
        <w:jc w:val="both"/>
      </w:pPr>
      <w:r>
        <w:rPr>
          <w:rFonts w:ascii="Times New Roman"/>
          <w:b w:val="false"/>
          <w:i w:val="false"/>
          <w:color w:val="000000"/>
          <w:sz w:val="28"/>
        </w:rPr>
        <w:t>
      В начале посещения испытательной лаборатории с руководителями испытательной лаборатории следует обсудить административные и практические моменты инспекции лаборатории и аудита исследования. В начале конференции инспекторы:</w:t>
      </w:r>
    </w:p>
    <w:bookmarkEnd w:id="371"/>
    <w:bookmarkStart w:name="z378" w:id="372"/>
    <w:p>
      <w:pPr>
        <w:spacing w:after="0"/>
        <w:ind w:left="0"/>
        <w:jc w:val="both"/>
      </w:pPr>
      <w:r>
        <w:rPr>
          <w:rFonts w:ascii="Times New Roman"/>
          <w:b w:val="false"/>
          <w:i w:val="false"/>
          <w:color w:val="000000"/>
          <w:sz w:val="28"/>
        </w:rPr>
        <w:t>
      1) рассказывают о цели и масштабе проверки;</w:t>
      </w:r>
    </w:p>
    <w:bookmarkEnd w:id="372"/>
    <w:bookmarkStart w:name="z379" w:id="373"/>
    <w:p>
      <w:pPr>
        <w:spacing w:after="0"/>
        <w:ind w:left="0"/>
        <w:jc w:val="both"/>
      </w:pPr>
      <w:r>
        <w:rPr>
          <w:rFonts w:ascii="Times New Roman"/>
          <w:b w:val="false"/>
          <w:i w:val="false"/>
          <w:color w:val="000000"/>
          <w:sz w:val="28"/>
        </w:rPr>
        <w:t>
      2) описывают документацию, которая будет нужна для инспекции испытательной лаборатории;</w:t>
      </w:r>
    </w:p>
    <w:bookmarkEnd w:id="373"/>
    <w:bookmarkStart w:name="z380" w:id="374"/>
    <w:p>
      <w:pPr>
        <w:spacing w:after="0"/>
        <w:ind w:left="0"/>
        <w:jc w:val="both"/>
      </w:pPr>
      <w:r>
        <w:rPr>
          <w:rFonts w:ascii="Times New Roman"/>
          <w:b w:val="false"/>
          <w:i w:val="false"/>
          <w:color w:val="000000"/>
          <w:sz w:val="28"/>
        </w:rPr>
        <w:t>
      3) выясняют или запрашивают информацию о структуре управления (организации) и персонале испытательной лаборатории;</w:t>
      </w:r>
    </w:p>
    <w:bookmarkEnd w:id="374"/>
    <w:bookmarkStart w:name="z381" w:id="375"/>
    <w:p>
      <w:pPr>
        <w:spacing w:after="0"/>
        <w:ind w:left="0"/>
        <w:jc w:val="both"/>
      </w:pPr>
      <w:r>
        <w:rPr>
          <w:rFonts w:ascii="Times New Roman"/>
          <w:b w:val="false"/>
          <w:i w:val="false"/>
          <w:color w:val="000000"/>
          <w:sz w:val="28"/>
        </w:rPr>
        <w:t>
      4) запрашивают информацию о проведении исследований, не подчиняющихся принципам Стандарта на территориях испытательной лаборатории, в которых проводятся доклинические (неклинические) исследования;</w:t>
      </w:r>
    </w:p>
    <w:bookmarkEnd w:id="375"/>
    <w:bookmarkStart w:name="z382" w:id="376"/>
    <w:p>
      <w:pPr>
        <w:spacing w:after="0"/>
        <w:ind w:left="0"/>
        <w:jc w:val="both"/>
      </w:pPr>
      <w:r>
        <w:rPr>
          <w:rFonts w:ascii="Times New Roman"/>
          <w:b w:val="false"/>
          <w:i w:val="false"/>
          <w:color w:val="000000"/>
          <w:sz w:val="28"/>
        </w:rPr>
        <w:t>
      5) делают первоначальное определение отделений испытательной лаборатории, подлежащих проверке в ходе инспекции;</w:t>
      </w:r>
    </w:p>
    <w:bookmarkEnd w:id="376"/>
    <w:bookmarkStart w:name="z383" w:id="377"/>
    <w:p>
      <w:pPr>
        <w:spacing w:after="0"/>
        <w:ind w:left="0"/>
        <w:jc w:val="both"/>
      </w:pPr>
      <w:r>
        <w:rPr>
          <w:rFonts w:ascii="Times New Roman"/>
          <w:b w:val="false"/>
          <w:i w:val="false"/>
          <w:color w:val="000000"/>
          <w:sz w:val="28"/>
        </w:rPr>
        <w:t>
      6) описывают документы и образцы, которые будут нужны для текущих и завершенных исследований, выбранных для аудита;</w:t>
      </w:r>
    </w:p>
    <w:bookmarkEnd w:id="377"/>
    <w:bookmarkStart w:name="z384" w:id="378"/>
    <w:p>
      <w:pPr>
        <w:spacing w:after="0"/>
        <w:ind w:left="0"/>
        <w:jc w:val="both"/>
      </w:pPr>
      <w:r>
        <w:rPr>
          <w:rFonts w:ascii="Times New Roman"/>
          <w:b w:val="false"/>
          <w:i w:val="false"/>
          <w:color w:val="000000"/>
          <w:sz w:val="28"/>
        </w:rPr>
        <w:t>
      7) извещают о проведении заключительной конференции в конце инспекции.</w:t>
      </w:r>
    </w:p>
    <w:bookmarkEnd w:id="378"/>
    <w:bookmarkStart w:name="z385" w:id="379"/>
    <w:p>
      <w:pPr>
        <w:spacing w:after="0"/>
        <w:ind w:left="0"/>
        <w:jc w:val="both"/>
      </w:pPr>
      <w:r>
        <w:rPr>
          <w:rFonts w:ascii="Times New Roman"/>
          <w:b w:val="false"/>
          <w:i w:val="false"/>
          <w:color w:val="000000"/>
          <w:sz w:val="28"/>
        </w:rPr>
        <w:t>
      Перед продолжением инспекции испытательной лаборатории инспекторам рекомендуется установить контакт со службой обеспечения качества (далее - СОК) испытательной лаборатории.</w:t>
      </w:r>
    </w:p>
    <w:bookmarkEnd w:id="379"/>
    <w:bookmarkStart w:name="z386" w:id="380"/>
    <w:p>
      <w:pPr>
        <w:spacing w:after="0"/>
        <w:ind w:left="0"/>
        <w:jc w:val="both"/>
      </w:pPr>
      <w:r>
        <w:rPr>
          <w:rFonts w:ascii="Times New Roman"/>
          <w:b w:val="false"/>
          <w:i w:val="false"/>
          <w:color w:val="000000"/>
          <w:sz w:val="28"/>
        </w:rPr>
        <w:t>
      При инспекции испытательной лаборатории инспектор сопровождается сотрудником СОК.</w:t>
      </w:r>
    </w:p>
    <w:bookmarkEnd w:id="380"/>
    <w:bookmarkStart w:name="z387" w:id="381"/>
    <w:p>
      <w:pPr>
        <w:spacing w:after="0"/>
        <w:ind w:left="0"/>
        <w:jc w:val="both"/>
      </w:pPr>
      <w:r>
        <w:rPr>
          <w:rFonts w:ascii="Times New Roman"/>
          <w:b w:val="false"/>
          <w:i w:val="false"/>
          <w:color w:val="000000"/>
          <w:sz w:val="28"/>
        </w:rPr>
        <w:t>
      Инспекторам предоставляется отдельное помещение для проверки документов и проведения других действий, связанных с инспекцией.</w:t>
      </w:r>
    </w:p>
    <w:bookmarkEnd w:id="381"/>
    <w:bookmarkStart w:name="z388" w:id="382"/>
    <w:p>
      <w:pPr>
        <w:spacing w:after="0"/>
        <w:ind w:left="0"/>
        <w:jc w:val="both"/>
      </w:pPr>
      <w:r>
        <w:rPr>
          <w:rFonts w:ascii="Times New Roman"/>
          <w:b w:val="false"/>
          <w:i w:val="false"/>
          <w:color w:val="000000"/>
          <w:sz w:val="28"/>
        </w:rPr>
        <w:t>
      102. Инспекция организации и персонала. Целью данной инспекции является определение наличия достаточного количества квалифицированного персонала, кадровых ресурсов, инфраструктуры для проведения различных исследований. А также выявление соответствия требованиям организационной структуры и политики в отношении обучения персонала и контроля за состоянием здоровья персонала.</w:t>
      </w:r>
    </w:p>
    <w:bookmarkEnd w:id="382"/>
    <w:bookmarkStart w:name="z389" w:id="383"/>
    <w:p>
      <w:pPr>
        <w:spacing w:after="0"/>
        <w:ind w:left="0"/>
        <w:jc w:val="both"/>
      </w:pPr>
      <w:r>
        <w:rPr>
          <w:rFonts w:ascii="Times New Roman"/>
          <w:b w:val="false"/>
          <w:i w:val="false"/>
          <w:color w:val="000000"/>
          <w:sz w:val="28"/>
        </w:rPr>
        <w:t>
      Руководство испытательной лаборатории представляет такие документы, как:</w:t>
      </w:r>
    </w:p>
    <w:bookmarkEnd w:id="383"/>
    <w:bookmarkStart w:name="z390" w:id="384"/>
    <w:p>
      <w:pPr>
        <w:spacing w:after="0"/>
        <w:ind w:left="0"/>
        <w:jc w:val="both"/>
      </w:pPr>
      <w:r>
        <w:rPr>
          <w:rFonts w:ascii="Times New Roman"/>
          <w:b w:val="false"/>
          <w:i w:val="false"/>
          <w:color w:val="000000"/>
          <w:sz w:val="28"/>
        </w:rPr>
        <w:t>
      1) планы здания;</w:t>
      </w:r>
    </w:p>
    <w:bookmarkEnd w:id="384"/>
    <w:bookmarkStart w:name="z391" w:id="385"/>
    <w:p>
      <w:pPr>
        <w:spacing w:after="0"/>
        <w:ind w:left="0"/>
        <w:jc w:val="both"/>
      </w:pPr>
      <w:r>
        <w:rPr>
          <w:rFonts w:ascii="Times New Roman"/>
          <w:b w:val="false"/>
          <w:i w:val="false"/>
          <w:color w:val="000000"/>
          <w:sz w:val="28"/>
        </w:rPr>
        <w:t>
      2) научно-исследовательские схемы организации и управления испытательной лаборатории;</w:t>
      </w:r>
    </w:p>
    <w:bookmarkEnd w:id="385"/>
    <w:bookmarkStart w:name="z392" w:id="386"/>
    <w:p>
      <w:pPr>
        <w:spacing w:after="0"/>
        <w:ind w:left="0"/>
        <w:jc w:val="both"/>
      </w:pPr>
      <w:r>
        <w:rPr>
          <w:rFonts w:ascii="Times New Roman"/>
          <w:b w:val="false"/>
          <w:i w:val="false"/>
          <w:color w:val="000000"/>
          <w:sz w:val="28"/>
        </w:rPr>
        <w:t>
      3) резюме сотрудников, задействованных в исследованиях, выбранных для аудита;</w:t>
      </w:r>
    </w:p>
    <w:bookmarkEnd w:id="386"/>
    <w:bookmarkStart w:name="z393" w:id="387"/>
    <w:p>
      <w:pPr>
        <w:spacing w:after="0"/>
        <w:ind w:left="0"/>
        <w:jc w:val="both"/>
      </w:pPr>
      <w:r>
        <w:rPr>
          <w:rFonts w:ascii="Times New Roman"/>
          <w:b w:val="false"/>
          <w:i w:val="false"/>
          <w:color w:val="000000"/>
          <w:sz w:val="28"/>
        </w:rPr>
        <w:t>
      4) перечень текущих и завершенных исследований с информацией о виде исследования, датах начала, завершения, системе исследований, способе применения исследуемого вещества и фамилии руководителя исследования;</w:t>
      </w:r>
    </w:p>
    <w:bookmarkEnd w:id="387"/>
    <w:bookmarkStart w:name="z394" w:id="388"/>
    <w:p>
      <w:pPr>
        <w:spacing w:after="0"/>
        <w:ind w:left="0"/>
        <w:jc w:val="both"/>
      </w:pPr>
      <w:r>
        <w:rPr>
          <w:rFonts w:ascii="Times New Roman"/>
          <w:b w:val="false"/>
          <w:i w:val="false"/>
          <w:color w:val="000000"/>
          <w:sz w:val="28"/>
        </w:rPr>
        <w:t>
      5) политика контроля состояния здоровья персонала;</w:t>
      </w:r>
    </w:p>
    <w:bookmarkEnd w:id="388"/>
    <w:bookmarkStart w:name="z395" w:id="389"/>
    <w:p>
      <w:pPr>
        <w:spacing w:after="0"/>
        <w:ind w:left="0"/>
        <w:jc w:val="both"/>
      </w:pPr>
      <w:r>
        <w:rPr>
          <w:rFonts w:ascii="Times New Roman"/>
          <w:b w:val="false"/>
          <w:i w:val="false"/>
          <w:color w:val="000000"/>
          <w:sz w:val="28"/>
        </w:rPr>
        <w:t>
      6) описание работы персонала, программы обучения персонала и все соответствующие документы;</w:t>
      </w:r>
    </w:p>
    <w:bookmarkEnd w:id="389"/>
    <w:bookmarkStart w:name="z396" w:id="390"/>
    <w:p>
      <w:pPr>
        <w:spacing w:after="0"/>
        <w:ind w:left="0"/>
        <w:jc w:val="both"/>
      </w:pPr>
      <w:r>
        <w:rPr>
          <w:rFonts w:ascii="Times New Roman"/>
          <w:b w:val="false"/>
          <w:i w:val="false"/>
          <w:color w:val="000000"/>
          <w:sz w:val="28"/>
        </w:rPr>
        <w:t>
      7) указатель СОП испытательной лаборатории;</w:t>
      </w:r>
    </w:p>
    <w:bookmarkEnd w:id="390"/>
    <w:bookmarkStart w:name="z397" w:id="391"/>
    <w:p>
      <w:pPr>
        <w:spacing w:after="0"/>
        <w:ind w:left="0"/>
        <w:jc w:val="both"/>
      </w:pPr>
      <w:r>
        <w:rPr>
          <w:rFonts w:ascii="Times New Roman"/>
          <w:b w:val="false"/>
          <w:i w:val="false"/>
          <w:color w:val="000000"/>
          <w:sz w:val="28"/>
        </w:rPr>
        <w:t>
      8) специфические СОП, имеющие отношение к исследованиям и процедурам, которые проходят инспекцию и аудит;</w:t>
      </w:r>
    </w:p>
    <w:bookmarkEnd w:id="391"/>
    <w:bookmarkStart w:name="z398" w:id="392"/>
    <w:p>
      <w:pPr>
        <w:spacing w:after="0"/>
        <w:ind w:left="0"/>
        <w:jc w:val="both"/>
      </w:pPr>
      <w:r>
        <w:rPr>
          <w:rFonts w:ascii="Times New Roman"/>
          <w:b w:val="false"/>
          <w:i w:val="false"/>
          <w:color w:val="000000"/>
          <w:sz w:val="28"/>
        </w:rPr>
        <w:t>
      9) список руководителей исследования и спонсоров, имеющих отношение к аудиту исследования.</w:t>
      </w:r>
    </w:p>
    <w:bookmarkEnd w:id="392"/>
    <w:bookmarkStart w:name="z399" w:id="393"/>
    <w:p>
      <w:pPr>
        <w:spacing w:after="0"/>
        <w:ind w:left="0"/>
        <w:jc w:val="both"/>
      </w:pPr>
      <w:r>
        <w:rPr>
          <w:rFonts w:ascii="Times New Roman"/>
          <w:b w:val="false"/>
          <w:i w:val="false"/>
          <w:color w:val="000000"/>
          <w:sz w:val="28"/>
        </w:rPr>
        <w:t>
      Инспектор проверяет:</w:t>
      </w:r>
    </w:p>
    <w:bookmarkEnd w:id="393"/>
    <w:bookmarkStart w:name="z400" w:id="394"/>
    <w:p>
      <w:pPr>
        <w:spacing w:after="0"/>
        <w:ind w:left="0"/>
        <w:jc w:val="both"/>
      </w:pPr>
      <w:r>
        <w:rPr>
          <w:rFonts w:ascii="Times New Roman"/>
          <w:b w:val="false"/>
          <w:i w:val="false"/>
          <w:color w:val="000000"/>
          <w:sz w:val="28"/>
        </w:rPr>
        <w:t>
      1) перечень текущих и завершенных исследований для определения уровня работы, проделанной испытательной лабораторией;</w:t>
      </w:r>
    </w:p>
    <w:bookmarkEnd w:id="394"/>
    <w:bookmarkStart w:name="z401" w:id="395"/>
    <w:p>
      <w:pPr>
        <w:spacing w:after="0"/>
        <w:ind w:left="0"/>
        <w:jc w:val="both"/>
      </w:pPr>
      <w:r>
        <w:rPr>
          <w:rFonts w:ascii="Times New Roman"/>
          <w:b w:val="false"/>
          <w:i w:val="false"/>
          <w:color w:val="000000"/>
          <w:sz w:val="28"/>
        </w:rPr>
        <w:t>
      2) фамилию и квалификации руководителя исследования, руководителя СОК и другого персонала;</w:t>
      </w:r>
    </w:p>
    <w:bookmarkEnd w:id="395"/>
    <w:bookmarkStart w:name="z402" w:id="396"/>
    <w:p>
      <w:pPr>
        <w:spacing w:after="0"/>
        <w:ind w:left="0"/>
        <w:jc w:val="both"/>
      </w:pPr>
      <w:r>
        <w:rPr>
          <w:rFonts w:ascii="Times New Roman"/>
          <w:b w:val="false"/>
          <w:i w:val="false"/>
          <w:color w:val="000000"/>
          <w:sz w:val="28"/>
        </w:rPr>
        <w:t>
      3) наличие СОП для всех соответствующих областей проверки.</w:t>
      </w:r>
    </w:p>
    <w:bookmarkEnd w:id="396"/>
    <w:bookmarkStart w:name="z403" w:id="397"/>
    <w:p>
      <w:pPr>
        <w:spacing w:after="0"/>
        <w:ind w:left="0"/>
        <w:jc w:val="both"/>
      </w:pPr>
      <w:r>
        <w:rPr>
          <w:rFonts w:ascii="Times New Roman"/>
          <w:b w:val="false"/>
          <w:i w:val="false"/>
          <w:color w:val="000000"/>
          <w:sz w:val="28"/>
        </w:rPr>
        <w:t>
      103. Инспекция программы обеспечения качества. Цель - определить соответствие методов обеспечения качества проводимых исследований принципам Стандарта.</w:t>
      </w:r>
    </w:p>
    <w:bookmarkEnd w:id="397"/>
    <w:bookmarkStart w:name="z404" w:id="398"/>
    <w:p>
      <w:pPr>
        <w:spacing w:after="0"/>
        <w:ind w:left="0"/>
        <w:jc w:val="both"/>
      </w:pPr>
      <w:r>
        <w:rPr>
          <w:rFonts w:ascii="Times New Roman"/>
          <w:b w:val="false"/>
          <w:i w:val="false"/>
          <w:color w:val="000000"/>
          <w:sz w:val="28"/>
        </w:rPr>
        <w:t>
      Руководитель СОК показывает системы и способы проверки СОК и контроля исследований, а также способ регистрации наблюдений в течение контроля СОК.</w:t>
      </w:r>
    </w:p>
    <w:bookmarkEnd w:id="398"/>
    <w:bookmarkStart w:name="z405" w:id="399"/>
    <w:p>
      <w:pPr>
        <w:spacing w:after="0"/>
        <w:ind w:left="0"/>
        <w:jc w:val="both"/>
      </w:pPr>
      <w:r>
        <w:rPr>
          <w:rFonts w:ascii="Times New Roman"/>
          <w:b w:val="false"/>
          <w:i w:val="false"/>
          <w:color w:val="000000"/>
          <w:sz w:val="28"/>
        </w:rPr>
        <w:t>
      Инспекторы проверяют:</w:t>
      </w:r>
    </w:p>
    <w:bookmarkEnd w:id="399"/>
    <w:bookmarkStart w:name="z406" w:id="400"/>
    <w:p>
      <w:pPr>
        <w:spacing w:after="0"/>
        <w:ind w:left="0"/>
        <w:jc w:val="both"/>
      </w:pPr>
      <w:r>
        <w:rPr>
          <w:rFonts w:ascii="Times New Roman"/>
          <w:b w:val="false"/>
          <w:i w:val="false"/>
          <w:color w:val="000000"/>
          <w:sz w:val="28"/>
        </w:rPr>
        <w:t>
      1) квалификации руководителя и всего персонала СОК;</w:t>
      </w:r>
    </w:p>
    <w:bookmarkEnd w:id="400"/>
    <w:bookmarkStart w:name="z407" w:id="401"/>
    <w:p>
      <w:pPr>
        <w:spacing w:after="0"/>
        <w:ind w:left="0"/>
        <w:jc w:val="both"/>
      </w:pPr>
      <w:r>
        <w:rPr>
          <w:rFonts w:ascii="Times New Roman"/>
          <w:b w:val="false"/>
          <w:i w:val="false"/>
          <w:color w:val="000000"/>
          <w:sz w:val="28"/>
        </w:rPr>
        <w:t>
      2) работу СОК независимо от персонала, задействованного в исследованиях;</w:t>
      </w:r>
    </w:p>
    <w:bookmarkEnd w:id="401"/>
    <w:bookmarkStart w:name="z408" w:id="402"/>
    <w:p>
      <w:pPr>
        <w:spacing w:after="0"/>
        <w:ind w:left="0"/>
        <w:jc w:val="both"/>
      </w:pPr>
      <w:r>
        <w:rPr>
          <w:rFonts w:ascii="Times New Roman"/>
          <w:b w:val="false"/>
          <w:i w:val="false"/>
          <w:color w:val="000000"/>
          <w:sz w:val="28"/>
        </w:rPr>
        <w:t>
      3) характер планирования и проведения инспекций СОК, контроль определенных важных стадий исследования, имеющиеся в наличии ресурсы для проведения инспекций СОК и деятельность по контролю;</w:t>
      </w:r>
    </w:p>
    <w:bookmarkEnd w:id="402"/>
    <w:bookmarkStart w:name="z409" w:id="403"/>
    <w:p>
      <w:pPr>
        <w:spacing w:after="0"/>
        <w:ind w:left="0"/>
        <w:jc w:val="both"/>
      </w:pPr>
      <w:r>
        <w:rPr>
          <w:rFonts w:ascii="Times New Roman"/>
          <w:b w:val="false"/>
          <w:i w:val="false"/>
          <w:color w:val="000000"/>
          <w:sz w:val="28"/>
        </w:rPr>
        <w:t>
      4) если исследования непродолжительные и контроль каждого исследования невозможен, наличие договоренности о проверке на выборочной основе;</w:t>
      </w:r>
    </w:p>
    <w:bookmarkEnd w:id="403"/>
    <w:bookmarkStart w:name="z410" w:id="404"/>
    <w:p>
      <w:pPr>
        <w:spacing w:after="0"/>
        <w:ind w:left="0"/>
        <w:jc w:val="both"/>
      </w:pPr>
      <w:r>
        <w:rPr>
          <w:rFonts w:ascii="Times New Roman"/>
          <w:b w:val="false"/>
          <w:i w:val="false"/>
          <w:color w:val="000000"/>
          <w:sz w:val="28"/>
        </w:rPr>
        <w:t>
      5) масштаб и глубина контроля СОК в течение практических стадий исследования;</w:t>
      </w:r>
    </w:p>
    <w:bookmarkEnd w:id="404"/>
    <w:bookmarkStart w:name="z411" w:id="405"/>
    <w:p>
      <w:pPr>
        <w:spacing w:after="0"/>
        <w:ind w:left="0"/>
        <w:jc w:val="both"/>
      </w:pPr>
      <w:r>
        <w:rPr>
          <w:rFonts w:ascii="Times New Roman"/>
          <w:b w:val="false"/>
          <w:i w:val="false"/>
          <w:color w:val="000000"/>
          <w:sz w:val="28"/>
        </w:rPr>
        <w:t>
      6) масштаб и глубина контроля СОК стандартных операций испытательной лаборатории;</w:t>
      </w:r>
    </w:p>
    <w:bookmarkEnd w:id="405"/>
    <w:bookmarkStart w:name="z412" w:id="406"/>
    <w:p>
      <w:pPr>
        <w:spacing w:after="0"/>
        <w:ind w:left="0"/>
        <w:jc w:val="both"/>
      </w:pPr>
      <w:r>
        <w:rPr>
          <w:rFonts w:ascii="Times New Roman"/>
          <w:b w:val="false"/>
          <w:i w:val="false"/>
          <w:color w:val="000000"/>
          <w:sz w:val="28"/>
        </w:rPr>
        <w:t>
      7) процедуры СОК при проверке заключительного отчета с целью обеспечения его согласованности с исходными данными;</w:t>
      </w:r>
    </w:p>
    <w:bookmarkEnd w:id="406"/>
    <w:bookmarkStart w:name="z413" w:id="407"/>
    <w:p>
      <w:pPr>
        <w:spacing w:after="0"/>
        <w:ind w:left="0"/>
        <w:jc w:val="both"/>
      </w:pPr>
      <w:r>
        <w:rPr>
          <w:rFonts w:ascii="Times New Roman"/>
          <w:b w:val="false"/>
          <w:i w:val="false"/>
          <w:color w:val="000000"/>
          <w:sz w:val="28"/>
        </w:rPr>
        <w:t>
      8) получение руководством испытательной лаборатории отчетов из СОК в отношении проблемных вопросов, которые влияют на качество или достоверность исследования;</w:t>
      </w:r>
    </w:p>
    <w:bookmarkEnd w:id="407"/>
    <w:bookmarkStart w:name="z414" w:id="408"/>
    <w:p>
      <w:pPr>
        <w:spacing w:after="0"/>
        <w:ind w:left="0"/>
        <w:jc w:val="both"/>
      </w:pPr>
      <w:r>
        <w:rPr>
          <w:rFonts w:ascii="Times New Roman"/>
          <w:b w:val="false"/>
          <w:i w:val="false"/>
          <w:color w:val="000000"/>
          <w:sz w:val="28"/>
        </w:rPr>
        <w:t>
      9) действия, предпринимаемые СОК при обнаружении отклонений от нормы;</w:t>
      </w:r>
    </w:p>
    <w:bookmarkEnd w:id="408"/>
    <w:bookmarkStart w:name="z415" w:id="409"/>
    <w:p>
      <w:pPr>
        <w:spacing w:after="0"/>
        <w:ind w:left="0"/>
        <w:jc w:val="both"/>
      </w:pPr>
      <w:r>
        <w:rPr>
          <w:rFonts w:ascii="Times New Roman"/>
          <w:b w:val="false"/>
          <w:i w:val="false"/>
          <w:color w:val="000000"/>
          <w:sz w:val="28"/>
        </w:rPr>
        <w:t>
      10) роль СОК в тех случаях, если они имеют место, когда исследования или их часть проводятся в контрактных испытательных лабораториях;</w:t>
      </w:r>
    </w:p>
    <w:bookmarkEnd w:id="409"/>
    <w:bookmarkStart w:name="z416" w:id="410"/>
    <w:p>
      <w:pPr>
        <w:spacing w:after="0"/>
        <w:ind w:left="0"/>
        <w:jc w:val="both"/>
      </w:pPr>
      <w:r>
        <w:rPr>
          <w:rFonts w:ascii="Times New Roman"/>
          <w:b w:val="false"/>
          <w:i w:val="false"/>
          <w:color w:val="000000"/>
          <w:sz w:val="28"/>
        </w:rPr>
        <w:t>
      11) роль СОК в определенных случаях, если они имеют место, при пересмотре, изучении и внесении изменений в СОП.</w:t>
      </w:r>
    </w:p>
    <w:bookmarkEnd w:id="410"/>
    <w:bookmarkStart w:name="z417" w:id="411"/>
    <w:p>
      <w:pPr>
        <w:spacing w:after="0"/>
        <w:ind w:left="0"/>
        <w:jc w:val="both"/>
      </w:pPr>
      <w:r>
        <w:rPr>
          <w:rFonts w:ascii="Times New Roman"/>
          <w:b w:val="false"/>
          <w:i w:val="false"/>
          <w:color w:val="000000"/>
          <w:sz w:val="28"/>
        </w:rPr>
        <w:t>
      104. Инспекция помещений испытательной лаборатории. Цель - определить, имеет ли испытательная лаборатория, внутри и снаружи, соответствующую величину, построение, месторасположение и соответствует ли требованиям проводимых исследований.</w:t>
      </w:r>
    </w:p>
    <w:bookmarkEnd w:id="411"/>
    <w:bookmarkStart w:name="z418" w:id="412"/>
    <w:p>
      <w:pPr>
        <w:spacing w:after="0"/>
        <w:ind w:left="0"/>
        <w:jc w:val="both"/>
      </w:pPr>
      <w:r>
        <w:rPr>
          <w:rFonts w:ascii="Times New Roman"/>
          <w:b w:val="false"/>
          <w:i w:val="false"/>
          <w:color w:val="000000"/>
          <w:sz w:val="28"/>
        </w:rPr>
        <w:t>
      Инспектор проверяет:</w:t>
      </w:r>
    </w:p>
    <w:bookmarkEnd w:id="412"/>
    <w:bookmarkStart w:name="z419" w:id="413"/>
    <w:p>
      <w:pPr>
        <w:spacing w:after="0"/>
        <w:ind w:left="0"/>
        <w:jc w:val="both"/>
      </w:pPr>
      <w:r>
        <w:rPr>
          <w:rFonts w:ascii="Times New Roman"/>
          <w:b w:val="false"/>
          <w:i w:val="false"/>
          <w:color w:val="000000"/>
          <w:sz w:val="28"/>
        </w:rPr>
        <w:t>
      1) позволяет ли структура испытательной лаборатории адекватную степень разделения, например, чтобы испытуемые вещества, животные, добавки, патологические образцы не подвергались перекрестной контаминации;</w:t>
      </w:r>
    </w:p>
    <w:bookmarkEnd w:id="413"/>
    <w:bookmarkStart w:name="z420" w:id="414"/>
    <w:p>
      <w:pPr>
        <w:spacing w:after="0"/>
        <w:ind w:left="0"/>
        <w:jc w:val="both"/>
      </w:pPr>
      <w:r>
        <w:rPr>
          <w:rFonts w:ascii="Times New Roman"/>
          <w:b w:val="false"/>
          <w:i w:val="false"/>
          <w:color w:val="000000"/>
          <w:sz w:val="28"/>
        </w:rPr>
        <w:t>
      2) существование и надлежащее функционирование контроля окружающей среды в критических зонах, например, вивария и других биологических тест-системах, зоны хранения испытуемых веществ, зоны испытательной лаборатории;</w:t>
      </w:r>
    </w:p>
    <w:bookmarkEnd w:id="414"/>
    <w:bookmarkStart w:name="z421" w:id="415"/>
    <w:p>
      <w:pPr>
        <w:spacing w:after="0"/>
        <w:ind w:left="0"/>
        <w:jc w:val="both"/>
      </w:pPr>
      <w:r>
        <w:rPr>
          <w:rFonts w:ascii="Times New Roman"/>
          <w:b w:val="false"/>
          <w:i w:val="false"/>
          <w:color w:val="000000"/>
          <w:sz w:val="28"/>
        </w:rPr>
        <w:t>
      3) общая организация отвечает требованиям, предъявляемым к испытательным лабораториям, и существуют, при необходимости, процедуры контроля сельскохозяйственных вредителей.</w:t>
      </w:r>
    </w:p>
    <w:bookmarkEnd w:id="415"/>
    <w:bookmarkStart w:name="z422" w:id="416"/>
    <w:p>
      <w:pPr>
        <w:spacing w:after="0"/>
        <w:ind w:left="0"/>
        <w:jc w:val="both"/>
      </w:pPr>
      <w:r>
        <w:rPr>
          <w:rFonts w:ascii="Times New Roman"/>
          <w:b w:val="false"/>
          <w:i w:val="false"/>
          <w:color w:val="000000"/>
          <w:sz w:val="28"/>
        </w:rPr>
        <w:t>
      105. Инспекция обращения, размещения и локализации биологических тест-систем. Цель - определить в случае проведения исследований на животных и других биологических тест-системах, имеет ли испытательная лаборатория достаточные средства и условия для обращения с ними, размещения и локализации, предотвращения стрессовых обстановок, которые влияют на испытательную систему и на качество данных.</w:t>
      </w:r>
    </w:p>
    <w:bookmarkEnd w:id="416"/>
    <w:bookmarkStart w:name="z423" w:id="417"/>
    <w:p>
      <w:pPr>
        <w:spacing w:after="0"/>
        <w:ind w:left="0"/>
        <w:jc w:val="both"/>
      </w:pPr>
      <w:r>
        <w:rPr>
          <w:rFonts w:ascii="Times New Roman"/>
          <w:b w:val="false"/>
          <w:i w:val="false"/>
          <w:color w:val="000000"/>
          <w:sz w:val="28"/>
        </w:rPr>
        <w:t xml:space="preserve">
      В испытательной лаборатории проводятся исследования, требующие привлечения разных видов животных или растений, а также микробных или других клеточных, или субклеточных систем. Вид используемых тест-систем определяет аспекты в отношении обращения, размещения и локализации, которые будет проверять инспектор. </w:t>
      </w:r>
    </w:p>
    <w:bookmarkEnd w:id="417"/>
    <w:bookmarkStart w:name="z424" w:id="418"/>
    <w:p>
      <w:pPr>
        <w:spacing w:after="0"/>
        <w:ind w:left="0"/>
        <w:jc w:val="both"/>
      </w:pPr>
      <w:r>
        <w:rPr>
          <w:rFonts w:ascii="Times New Roman"/>
          <w:b w:val="false"/>
          <w:i w:val="false"/>
          <w:color w:val="000000"/>
          <w:sz w:val="28"/>
        </w:rPr>
        <w:t>
      В зависимости от тест-системы и по своему собственному мнению инспектор проверяет:</w:t>
      </w:r>
    </w:p>
    <w:bookmarkEnd w:id="418"/>
    <w:bookmarkStart w:name="z425" w:id="419"/>
    <w:p>
      <w:pPr>
        <w:spacing w:after="0"/>
        <w:ind w:left="0"/>
        <w:jc w:val="both"/>
      </w:pPr>
      <w:r>
        <w:rPr>
          <w:rFonts w:ascii="Times New Roman"/>
          <w:b w:val="false"/>
          <w:i w:val="false"/>
          <w:color w:val="000000"/>
          <w:sz w:val="28"/>
        </w:rPr>
        <w:t>
      1) соответствие испытательной лаборатории используемым испытательным системам и требованиям исследования;</w:t>
      </w:r>
    </w:p>
    <w:bookmarkEnd w:id="419"/>
    <w:bookmarkStart w:name="z426" w:id="420"/>
    <w:p>
      <w:pPr>
        <w:spacing w:after="0"/>
        <w:ind w:left="0"/>
        <w:jc w:val="both"/>
      </w:pPr>
      <w:r>
        <w:rPr>
          <w:rFonts w:ascii="Times New Roman"/>
          <w:b w:val="false"/>
          <w:i w:val="false"/>
          <w:color w:val="000000"/>
          <w:sz w:val="28"/>
        </w:rPr>
        <w:t>
      2) наличие договоренностей о карантине животных и растений, поступающих в испытательную лабораторию, и удовлетворительное функционирование этих договоренностей;</w:t>
      </w:r>
    </w:p>
    <w:bookmarkEnd w:id="420"/>
    <w:bookmarkStart w:name="z427" w:id="421"/>
    <w:p>
      <w:pPr>
        <w:spacing w:after="0"/>
        <w:ind w:left="0"/>
        <w:jc w:val="both"/>
      </w:pPr>
      <w:r>
        <w:rPr>
          <w:rFonts w:ascii="Times New Roman"/>
          <w:b w:val="false"/>
          <w:i w:val="false"/>
          <w:color w:val="000000"/>
          <w:sz w:val="28"/>
        </w:rPr>
        <w:t>
      3) наличие договоренностей об изоляции животных (или других составляющих испытательной системы в случае необходимости), о которых известно или которых подозревают в заболевании или переносе заболеваний;</w:t>
      </w:r>
    </w:p>
    <w:bookmarkEnd w:id="421"/>
    <w:bookmarkStart w:name="z428" w:id="422"/>
    <w:p>
      <w:pPr>
        <w:spacing w:after="0"/>
        <w:ind w:left="0"/>
        <w:jc w:val="both"/>
      </w:pPr>
      <w:r>
        <w:rPr>
          <w:rFonts w:ascii="Times New Roman"/>
          <w:b w:val="false"/>
          <w:i w:val="false"/>
          <w:color w:val="000000"/>
          <w:sz w:val="28"/>
        </w:rPr>
        <w:t>
      4) соответствующий требованиям контроль и регистрация данных о состоянии здоровья, поведении или других аспектах, которые имеют отношение к испытательной системе;</w:t>
      </w:r>
    </w:p>
    <w:bookmarkEnd w:id="422"/>
    <w:bookmarkStart w:name="z429" w:id="423"/>
    <w:p>
      <w:pPr>
        <w:spacing w:after="0"/>
        <w:ind w:left="0"/>
        <w:jc w:val="both"/>
      </w:pPr>
      <w:r>
        <w:rPr>
          <w:rFonts w:ascii="Times New Roman"/>
          <w:b w:val="false"/>
          <w:i w:val="false"/>
          <w:color w:val="000000"/>
          <w:sz w:val="28"/>
        </w:rPr>
        <w:t>
      5) наличие соответствующего требованиям, надлежащего и эффективного оборудования для поддержания нужных условий окружающей среды, требуемых для каждой испытательной системы;</w:t>
      </w:r>
    </w:p>
    <w:bookmarkEnd w:id="423"/>
    <w:bookmarkStart w:name="z430" w:id="424"/>
    <w:p>
      <w:pPr>
        <w:spacing w:after="0"/>
        <w:ind w:left="0"/>
        <w:jc w:val="both"/>
      </w:pPr>
      <w:r>
        <w:rPr>
          <w:rFonts w:ascii="Times New Roman"/>
          <w:b w:val="false"/>
          <w:i w:val="false"/>
          <w:color w:val="000000"/>
          <w:sz w:val="28"/>
        </w:rPr>
        <w:t>
      6) содержание в чистоте клеток животных, кормушек, резервуаров и других контейнеров, а также сопутствующего оборудования;</w:t>
      </w:r>
    </w:p>
    <w:bookmarkEnd w:id="424"/>
    <w:bookmarkStart w:name="z431" w:id="425"/>
    <w:p>
      <w:pPr>
        <w:spacing w:after="0"/>
        <w:ind w:left="0"/>
        <w:jc w:val="both"/>
      </w:pPr>
      <w:r>
        <w:rPr>
          <w:rFonts w:ascii="Times New Roman"/>
          <w:b w:val="false"/>
          <w:i w:val="false"/>
          <w:color w:val="000000"/>
          <w:sz w:val="28"/>
        </w:rPr>
        <w:t>
      7) проведение при необходимости проверок условий окружающей среды и вспомогательных систем;</w:t>
      </w:r>
    </w:p>
    <w:bookmarkEnd w:id="425"/>
    <w:bookmarkStart w:name="z432" w:id="426"/>
    <w:p>
      <w:pPr>
        <w:spacing w:after="0"/>
        <w:ind w:left="0"/>
        <w:jc w:val="both"/>
      </w:pPr>
      <w:r>
        <w:rPr>
          <w:rFonts w:ascii="Times New Roman"/>
          <w:b w:val="false"/>
          <w:i w:val="false"/>
          <w:color w:val="000000"/>
          <w:sz w:val="28"/>
        </w:rPr>
        <w:t>
      8)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p>
    <w:bookmarkEnd w:id="426"/>
    <w:bookmarkStart w:name="z433" w:id="427"/>
    <w:p>
      <w:pPr>
        <w:spacing w:after="0"/>
        <w:ind w:left="0"/>
        <w:jc w:val="both"/>
      </w:pPr>
      <w:r>
        <w:rPr>
          <w:rFonts w:ascii="Times New Roman"/>
          <w:b w:val="false"/>
          <w:i w:val="false"/>
          <w:color w:val="000000"/>
          <w:sz w:val="28"/>
        </w:rPr>
        <w:t>
      9) наличие зон хранения корма для животных или аналогичных материалов для всех тест-систем. Эти зоны не используются для хранения других материалов, таких как испытуемые вещества, химикаты или дезинфицирующие вещества для контроля за сельскохозяйственными вредителями. Эти зоны отделяются от зон, в которых находятся животные или содержатся другие биологические испытательные системы;</w:t>
      </w:r>
    </w:p>
    <w:bookmarkEnd w:id="427"/>
    <w:bookmarkStart w:name="z434" w:id="428"/>
    <w:p>
      <w:pPr>
        <w:spacing w:after="0"/>
        <w:ind w:left="0"/>
        <w:jc w:val="both"/>
      </w:pPr>
      <w:r>
        <w:rPr>
          <w:rFonts w:ascii="Times New Roman"/>
          <w:b w:val="false"/>
          <w:i w:val="false"/>
          <w:color w:val="000000"/>
          <w:sz w:val="28"/>
        </w:rPr>
        <w:t>
      10) защита хранящегося корма и подстилок от повреждений вследствие неблагоприятных условий окружающей среды, заражения или загрязнения.</w:t>
      </w:r>
    </w:p>
    <w:bookmarkEnd w:id="428"/>
    <w:bookmarkStart w:name="z435" w:id="429"/>
    <w:p>
      <w:pPr>
        <w:spacing w:after="0"/>
        <w:ind w:left="0"/>
        <w:jc w:val="left"/>
      </w:pPr>
      <w:r>
        <w:rPr>
          <w:rFonts w:ascii="Times New Roman"/>
          <w:b/>
          <w:i w:val="false"/>
          <w:color w:val="000000"/>
        </w:rPr>
        <w:t xml:space="preserve"> Параграф 2. Инспекция оборудования, материалов и реактивов</w:t>
      </w:r>
    </w:p>
    <w:bookmarkEnd w:id="429"/>
    <w:bookmarkStart w:name="z436" w:id="430"/>
    <w:p>
      <w:pPr>
        <w:spacing w:after="0"/>
        <w:ind w:left="0"/>
        <w:jc w:val="both"/>
      </w:pPr>
      <w:r>
        <w:rPr>
          <w:rFonts w:ascii="Times New Roman"/>
          <w:b w:val="false"/>
          <w:i w:val="false"/>
          <w:color w:val="000000"/>
          <w:sz w:val="28"/>
        </w:rPr>
        <w:t>
      106. Цель - определить, имеет ли испытательная лаборатория правильно размещенное операционное оборудование в достаточном количестве и достаточной мощности для удовлетворения требований проводимых исследований в испытательной лаборатории; проверка надлежащей маркировки, использования и хранения материалов, реактивов и образцов.</w:t>
      </w:r>
    </w:p>
    <w:bookmarkEnd w:id="430"/>
    <w:bookmarkStart w:name="z437" w:id="431"/>
    <w:p>
      <w:pPr>
        <w:spacing w:after="0"/>
        <w:ind w:left="0"/>
        <w:jc w:val="both"/>
      </w:pPr>
      <w:r>
        <w:rPr>
          <w:rFonts w:ascii="Times New Roman"/>
          <w:b w:val="false"/>
          <w:i w:val="false"/>
          <w:color w:val="000000"/>
          <w:sz w:val="28"/>
        </w:rPr>
        <w:t>
      Инспектор проверяет:</w:t>
      </w:r>
    </w:p>
    <w:bookmarkEnd w:id="431"/>
    <w:bookmarkStart w:name="z438" w:id="432"/>
    <w:p>
      <w:pPr>
        <w:spacing w:after="0"/>
        <w:ind w:left="0"/>
        <w:jc w:val="both"/>
      </w:pPr>
      <w:r>
        <w:rPr>
          <w:rFonts w:ascii="Times New Roman"/>
          <w:b w:val="false"/>
          <w:i w:val="false"/>
          <w:color w:val="000000"/>
          <w:sz w:val="28"/>
        </w:rPr>
        <w:t>
      1) чистоту и надлежащее функционирование оборудования;</w:t>
      </w:r>
    </w:p>
    <w:bookmarkEnd w:id="432"/>
    <w:bookmarkStart w:name="z439" w:id="433"/>
    <w:p>
      <w:pPr>
        <w:spacing w:after="0"/>
        <w:ind w:left="0"/>
        <w:jc w:val="both"/>
      </w:pPr>
      <w:r>
        <w:rPr>
          <w:rFonts w:ascii="Times New Roman"/>
          <w:b w:val="false"/>
          <w:i w:val="false"/>
          <w:color w:val="000000"/>
          <w:sz w:val="28"/>
        </w:rPr>
        <w:t>
      2) ведение регистрации данных о функционировании, содержании, калибровке и валидации измерительного оборудования и приборов (включая компьютеризированные системы);</w:t>
      </w:r>
    </w:p>
    <w:bookmarkEnd w:id="433"/>
    <w:bookmarkStart w:name="z440" w:id="434"/>
    <w:p>
      <w:pPr>
        <w:spacing w:after="0"/>
        <w:ind w:left="0"/>
        <w:jc w:val="both"/>
      </w:pPr>
      <w:r>
        <w:rPr>
          <w:rFonts w:ascii="Times New Roman"/>
          <w:b w:val="false"/>
          <w:i w:val="false"/>
          <w:color w:val="000000"/>
          <w:sz w:val="28"/>
        </w:rPr>
        <w:t>
      3)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содержит источник получения, вид реактива, концентрацию и (или) другую соответствующую информацию;</w:t>
      </w:r>
    </w:p>
    <w:bookmarkEnd w:id="434"/>
    <w:bookmarkStart w:name="z441" w:id="435"/>
    <w:p>
      <w:pPr>
        <w:spacing w:after="0"/>
        <w:ind w:left="0"/>
        <w:jc w:val="both"/>
      </w:pPr>
      <w:r>
        <w:rPr>
          <w:rFonts w:ascii="Times New Roman"/>
          <w:b w:val="false"/>
          <w:i w:val="false"/>
          <w:color w:val="000000"/>
          <w:sz w:val="28"/>
        </w:rPr>
        <w:t>
      4) на образцах указывается испытательная система, исследование, состав и дата взятия;</w:t>
      </w:r>
    </w:p>
    <w:bookmarkEnd w:id="435"/>
    <w:bookmarkStart w:name="z442" w:id="436"/>
    <w:p>
      <w:pPr>
        <w:spacing w:after="0"/>
        <w:ind w:left="0"/>
        <w:jc w:val="both"/>
      </w:pPr>
      <w:r>
        <w:rPr>
          <w:rFonts w:ascii="Times New Roman"/>
          <w:b w:val="false"/>
          <w:i w:val="false"/>
          <w:color w:val="000000"/>
          <w:sz w:val="28"/>
        </w:rPr>
        <w:t>
      5) используемое оборудование и материалы не влияют в значительной степени на испытательные системы.</w:t>
      </w:r>
    </w:p>
    <w:bookmarkEnd w:id="436"/>
    <w:bookmarkStart w:name="z443" w:id="437"/>
    <w:p>
      <w:pPr>
        <w:spacing w:after="0"/>
        <w:ind w:left="0"/>
        <w:jc w:val="both"/>
      </w:pPr>
      <w:r>
        <w:rPr>
          <w:rFonts w:ascii="Times New Roman"/>
          <w:b w:val="false"/>
          <w:i w:val="false"/>
          <w:color w:val="000000"/>
          <w:sz w:val="28"/>
        </w:rPr>
        <w:t>
      107. Инспекция тест-систем. Цель - определить наличие соответствующих требованиям процедур для обращения и контроля испытательных систем, которые нужны для проводимых исследований в испытательной лаборатории, например, химические и физические системы, клеточные и микробные системы, растения и животные.</w:t>
      </w:r>
    </w:p>
    <w:bookmarkEnd w:id="437"/>
    <w:bookmarkStart w:name="z444" w:id="438"/>
    <w:p>
      <w:pPr>
        <w:spacing w:after="0"/>
        <w:ind w:left="0"/>
        <w:jc w:val="both"/>
      </w:pPr>
      <w:r>
        <w:rPr>
          <w:rFonts w:ascii="Times New Roman"/>
          <w:b w:val="false"/>
          <w:i w:val="false"/>
          <w:color w:val="000000"/>
          <w:sz w:val="28"/>
        </w:rPr>
        <w:t>
      108. Физические и химические системы. Инспектор проверяет:</w:t>
      </w:r>
    </w:p>
    <w:bookmarkEnd w:id="438"/>
    <w:bookmarkStart w:name="z445" w:id="439"/>
    <w:p>
      <w:pPr>
        <w:spacing w:after="0"/>
        <w:ind w:left="0"/>
        <w:jc w:val="both"/>
      </w:pPr>
      <w:r>
        <w:rPr>
          <w:rFonts w:ascii="Times New Roman"/>
          <w:b w:val="false"/>
          <w:i w:val="false"/>
          <w:color w:val="000000"/>
          <w:sz w:val="28"/>
        </w:rPr>
        <w:t>
      1) если требуется протоколом, планом, программой исследования Ғ определение стабильности испытуемых и контрольных веществ и использование контрольных веществ, указанных в протоколах, программах исследования;</w:t>
      </w:r>
    </w:p>
    <w:bookmarkEnd w:id="439"/>
    <w:bookmarkStart w:name="z446" w:id="440"/>
    <w:p>
      <w:pPr>
        <w:spacing w:after="0"/>
        <w:ind w:left="0"/>
        <w:jc w:val="both"/>
      </w:pPr>
      <w:r>
        <w:rPr>
          <w:rFonts w:ascii="Times New Roman"/>
          <w:b w:val="false"/>
          <w:i w:val="false"/>
          <w:color w:val="000000"/>
          <w:sz w:val="28"/>
        </w:rPr>
        <w:t>
      2) в автоматических системах данные, полученные в виде графиков, кривых самописца или компьютерных распечаток, регистрируются как исходные данные и архивируются.</w:t>
      </w:r>
    </w:p>
    <w:bookmarkEnd w:id="440"/>
    <w:bookmarkStart w:name="z447" w:id="441"/>
    <w:p>
      <w:pPr>
        <w:spacing w:after="0"/>
        <w:ind w:left="0"/>
        <w:jc w:val="both"/>
      </w:pPr>
      <w:r>
        <w:rPr>
          <w:rFonts w:ascii="Times New Roman"/>
          <w:b w:val="false"/>
          <w:i w:val="false"/>
          <w:color w:val="000000"/>
          <w:sz w:val="28"/>
        </w:rPr>
        <w:t>
      109. Биологические тест-системы. Учитывая соответствующие аспекты, имеющие отношение к обращению, размещению и локализации биологических тест-систем, инспектор проверяет:</w:t>
      </w:r>
    </w:p>
    <w:bookmarkEnd w:id="441"/>
    <w:bookmarkStart w:name="z448" w:id="442"/>
    <w:p>
      <w:pPr>
        <w:spacing w:after="0"/>
        <w:ind w:left="0"/>
        <w:jc w:val="both"/>
      </w:pPr>
      <w:r>
        <w:rPr>
          <w:rFonts w:ascii="Times New Roman"/>
          <w:b w:val="false"/>
          <w:i w:val="false"/>
          <w:color w:val="000000"/>
          <w:sz w:val="28"/>
        </w:rPr>
        <w:t>
      1) испытательные системы соответствуют тем, которые указаны в протоколах, программах исследования;</w:t>
      </w:r>
    </w:p>
    <w:bookmarkEnd w:id="442"/>
    <w:bookmarkStart w:name="z449" w:id="443"/>
    <w:p>
      <w:pPr>
        <w:spacing w:after="0"/>
        <w:ind w:left="0"/>
        <w:jc w:val="both"/>
      </w:pPr>
      <w:r>
        <w:rPr>
          <w:rFonts w:ascii="Times New Roman"/>
          <w:b w:val="false"/>
          <w:i w:val="false"/>
          <w:color w:val="000000"/>
          <w:sz w:val="28"/>
        </w:rPr>
        <w:t>
      2) испытательные системы соответствуют требованиям и, при необходимости, однозначно идентифицированы в исследовании; наличие документов о получении тест-систем: количество полученных, использованных, замененных и утилизированных тест-систем;</w:t>
      </w:r>
    </w:p>
    <w:bookmarkEnd w:id="443"/>
    <w:bookmarkStart w:name="z450" w:id="444"/>
    <w:p>
      <w:pPr>
        <w:spacing w:after="0"/>
        <w:ind w:left="0"/>
        <w:jc w:val="both"/>
      </w:pPr>
      <w:r>
        <w:rPr>
          <w:rFonts w:ascii="Times New Roman"/>
          <w:b w:val="false"/>
          <w:i w:val="false"/>
          <w:color w:val="000000"/>
          <w:sz w:val="28"/>
        </w:rPr>
        <w:t>
      3) надлежащая идентификация со всей нужной информацией помещения или контейнеров с испытательными системами;</w:t>
      </w:r>
    </w:p>
    <w:bookmarkEnd w:id="444"/>
    <w:bookmarkStart w:name="z451" w:id="445"/>
    <w:p>
      <w:pPr>
        <w:spacing w:after="0"/>
        <w:ind w:left="0"/>
        <w:jc w:val="both"/>
      </w:pPr>
      <w:r>
        <w:rPr>
          <w:rFonts w:ascii="Times New Roman"/>
          <w:b w:val="false"/>
          <w:i w:val="false"/>
          <w:color w:val="000000"/>
          <w:sz w:val="28"/>
        </w:rPr>
        <w:t>
      4) обеспечение раздельного проведения исследований на одних видах животных (или одних биологических тест-системах), но на разных веществах;</w:t>
      </w:r>
    </w:p>
    <w:bookmarkEnd w:id="445"/>
    <w:bookmarkStart w:name="z452" w:id="446"/>
    <w:p>
      <w:pPr>
        <w:spacing w:after="0"/>
        <w:ind w:left="0"/>
        <w:jc w:val="both"/>
      </w:pPr>
      <w:r>
        <w:rPr>
          <w:rFonts w:ascii="Times New Roman"/>
          <w:b w:val="false"/>
          <w:i w:val="false"/>
          <w:color w:val="000000"/>
          <w:sz w:val="28"/>
        </w:rPr>
        <w:t>
      5) соответствующее требованиям разделение видов животных (и других биологических тест-систем) в помещениях или по периодам времени;</w:t>
      </w:r>
    </w:p>
    <w:bookmarkEnd w:id="446"/>
    <w:bookmarkStart w:name="z453" w:id="447"/>
    <w:p>
      <w:pPr>
        <w:spacing w:after="0"/>
        <w:ind w:left="0"/>
        <w:jc w:val="both"/>
      </w:pPr>
      <w:r>
        <w:rPr>
          <w:rFonts w:ascii="Times New Roman"/>
          <w:b w:val="false"/>
          <w:i w:val="false"/>
          <w:color w:val="000000"/>
          <w:sz w:val="28"/>
        </w:rPr>
        <w:t>
      6) соответствие условий биологической испытательной системы той системе, которая указана в протоколе, плане, программе исследования или в СОП в отношении таких аспектов, как температура или циклы дня и ночи;</w:t>
      </w:r>
    </w:p>
    <w:bookmarkEnd w:id="447"/>
    <w:bookmarkStart w:name="z454" w:id="448"/>
    <w:p>
      <w:pPr>
        <w:spacing w:after="0"/>
        <w:ind w:left="0"/>
        <w:jc w:val="both"/>
      </w:pPr>
      <w:r>
        <w:rPr>
          <w:rFonts w:ascii="Times New Roman"/>
          <w:b w:val="false"/>
          <w:i w:val="false"/>
          <w:color w:val="000000"/>
          <w:sz w:val="28"/>
        </w:rPr>
        <w:t>
      7) соответствие регистрации получения, обращения, размещения или локализации, содержания и оценки состояния испытательным системам;</w:t>
      </w:r>
    </w:p>
    <w:bookmarkEnd w:id="448"/>
    <w:bookmarkStart w:name="z455" w:id="449"/>
    <w:p>
      <w:pPr>
        <w:spacing w:after="0"/>
        <w:ind w:left="0"/>
        <w:jc w:val="both"/>
      </w:pPr>
      <w:r>
        <w:rPr>
          <w:rFonts w:ascii="Times New Roman"/>
          <w:b w:val="false"/>
          <w:i w:val="false"/>
          <w:color w:val="000000"/>
          <w:sz w:val="28"/>
        </w:rPr>
        <w:t>
      8) соответствие информации в письменном виде о проверке, карантине, заболеваемости, смертности, действии на окружающую среду, диагностике и исследовании животных и растительных тест-систем каждой биологической испытательной системы;</w:t>
      </w:r>
    </w:p>
    <w:bookmarkEnd w:id="449"/>
    <w:bookmarkStart w:name="z456" w:id="450"/>
    <w:p>
      <w:pPr>
        <w:spacing w:after="0"/>
        <w:ind w:left="0"/>
        <w:jc w:val="both"/>
      </w:pPr>
      <w:r>
        <w:rPr>
          <w:rFonts w:ascii="Times New Roman"/>
          <w:b w:val="false"/>
          <w:i w:val="false"/>
          <w:color w:val="000000"/>
          <w:sz w:val="28"/>
        </w:rPr>
        <w:t>
      9) наличие положений о надлежащей утилизации тест-систем в конце исследований.</w:t>
      </w:r>
    </w:p>
    <w:bookmarkEnd w:id="450"/>
    <w:bookmarkStart w:name="z457" w:id="451"/>
    <w:p>
      <w:pPr>
        <w:spacing w:after="0"/>
        <w:ind w:left="0"/>
        <w:jc w:val="both"/>
      </w:pPr>
      <w:r>
        <w:rPr>
          <w:rFonts w:ascii="Times New Roman"/>
          <w:b w:val="false"/>
          <w:i w:val="false"/>
          <w:color w:val="000000"/>
          <w:sz w:val="28"/>
        </w:rPr>
        <w:t>
      110. Инспекция испытуемых и контрольных веществ. Цель - определить, имеет ли испытательная лаборатория процедуры, предназначенные для гарантии того, что подлинность, активность и состав испытуемых и контрольных веществ соответствует спецификациям, а также для надлежащего получения и хранения испытуемых и контрольных веществ.</w:t>
      </w:r>
    </w:p>
    <w:bookmarkEnd w:id="451"/>
    <w:bookmarkStart w:name="z458" w:id="452"/>
    <w:p>
      <w:pPr>
        <w:spacing w:after="0"/>
        <w:ind w:left="0"/>
        <w:jc w:val="both"/>
      </w:pPr>
      <w:r>
        <w:rPr>
          <w:rFonts w:ascii="Times New Roman"/>
          <w:b w:val="false"/>
          <w:i w:val="false"/>
          <w:color w:val="000000"/>
          <w:sz w:val="28"/>
        </w:rPr>
        <w:t>
      Инспектор проверяет:</w:t>
      </w:r>
    </w:p>
    <w:bookmarkEnd w:id="452"/>
    <w:bookmarkStart w:name="z459" w:id="453"/>
    <w:p>
      <w:pPr>
        <w:spacing w:after="0"/>
        <w:ind w:left="0"/>
        <w:jc w:val="both"/>
      </w:pPr>
      <w:r>
        <w:rPr>
          <w:rFonts w:ascii="Times New Roman"/>
          <w:b w:val="false"/>
          <w:i w:val="false"/>
          <w:color w:val="000000"/>
          <w:sz w:val="28"/>
        </w:rPr>
        <w:t>
      1) наличие информации в письменном виде о получении (включая идентификацию уполномоченного лица), обращении, отборе проб, использовании и хранении испытуемых и контрольных веществ;</w:t>
      </w:r>
    </w:p>
    <w:bookmarkEnd w:id="453"/>
    <w:bookmarkStart w:name="z460" w:id="454"/>
    <w:p>
      <w:pPr>
        <w:spacing w:after="0"/>
        <w:ind w:left="0"/>
        <w:jc w:val="both"/>
      </w:pPr>
      <w:r>
        <w:rPr>
          <w:rFonts w:ascii="Times New Roman"/>
          <w:b w:val="false"/>
          <w:i w:val="false"/>
          <w:color w:val="000000"/>
          <w:sz w:val="28"/>
        </w:rPr>
        <w:t>
      2) надлежащую маркировку контейнеров с исследуемыми и контрольными веществами;</w:t>
      </w:r>
    </w:p>
    <w:bookmarkEnd w:id="454"/>
    <w:bookmarkStart w:name="z461" w:id="455"/>
    <w:p>
      <w:pPr>
        <w:spacing w:after="0"/>
        <w:ind w:left="0"/>
        <w:jc w:val="both"/>
      </w:pPr>
      <w:r>
        <w:rPr>
          <w:rFonts w:ascii="Times New Roman"/>
          <w:b w:val="false"/>
          <w:i w:val="false"/>
          <w:color w:val="000000"/>
          <w:sz w:val="28"/>
        </w:rPr>
        <w:t>
      3) соответствие условий хранения для сохранения концентрации, чистоты и стабильности испытуемых и контрольных веществ;</w:t>
      </w:r>
    </w:p>
    <w:bookmarkEnd w:id="455"/>
    <w:bookmarkStart w:name="z462" w:id="456"/>
    <w:p>
      <w:pPr>
        <w:spacing w:after="0"/>
        <w:ind w:left="0"/>
        <w:jc w:val="both"/>
      </w:pPr>
      <w:r>
        <w:rPr>
          <w:rFonts w:ascii="Times New Roman"/>
          <w:b w:val="false"/>
          <w:i w:val="false"/>
          <w:color w:val="000000"/>
          <w:sz w:val="28"/>
        </w:rPr>
        <w:t>
      4) наличие информации в письменном виде об определении подлинности, чистоты, состава, стабильности и предотвращении загрязнения испытуемых и контрольных веществ, если применимо;</w:t>
      </w:r>
    </w:p>
    <w:bookmarkEnd w:id="456"/>
    <w:bookmarkStart w:name="z463" w:id="457"/>
    <w:p>
      <w:pPr>
        <w:spacing w:after="0"/>
        <w:ind w:left="0"/>
        <w:jc w:val="both"/>
      </w:pPr>
      <w:r>
        <w:rPr>
          <w:rFonts w:ascii="Times New Roman"/>
          <w:b w:val="false"/>
          <w:i w:val="false"/>
          <w:color w:val="000000"/>
          <w:sz w:val="28"/>
        </w:rPr>
        <w:t>
      5) в соответствующих случаях наличие процедур для определения гомогенности и стабильности смесей, содержащих испытуемые и контрольные вещества;</w:t>
      </w:r>
    </w:p>
    <w:bookmarkEnd w:id="457"/>
    <w:bookmarkStart w:name="z464" w:id="458"/>
    <w:p>
      <w:pPr>
        <w:spacing w:after="0"/>
        <w:ind w:left="0"/>
        <w:jc w:val="both"/>
      </w:pPr>
      <w:r>
        <w:rPr>
          <w:rFonts w:ascii="Times New Roman"/>
          <w:b w:val="false"/>
          <w:i w:val="false"/>
          <w:color w:val="000000"/>
          <w:sz w:val="28"/>
        </w:rPr>
        <w:t>
      6) маркировку контейнеров, содержащих смеси (или растворы) испытуемых и контрольных веществ, и в соответствующих случаях регистрацию данных о гомогенности и стабильности их содержания;</w:t>
      </w:r>
    </w:p>
    <w:bookmarkEnd w:id="458"/>
    <w:bookmarkStart w:name="z465" w:id="459"/>
    <w:p>
      <w:pPr>
        <w:spacing w:after="0"/>
        <w:ind w:left="0"/>
        <w:jc w:val="both"/>
      </w:pPr>
      <w:r>
        <w:rPr>
          <w:rFonts w:ascii="Times New Roman"/>
          <w:b w:val="false"/>
          <w:i w:val="false"/>
          <w:color w:val="000000"/>
          <w:sz w:val="28"/>
        </w:rPr>
        <w:t>
      7) если исследование длится более четырех недель, взятие образцов из каждой серии испытуемых и контрольных веществ в аналитических целях и их сохранение в течение соответствующего периода времени;</w:t>
      </w:r>
    </w:p>
    <w:bookmarkEnd w:id="459"/>
    <w:bookmarkStart w:name="z466" w:id="460"/>
    <w:p>
      <w:pPr>
        <w:spacing w:after="0"/>
        <w:ind w:left="0"/>
        <w:jc w:val="both"/>
      </w:pPr>
      <w:r>
        <w:rPr>
          <w:rFonts w:ascii="Times New Roman"/>
          <w:b w:val="false"/>
          <w:i w:val="false"/>
          <w:color w:val="000000"/>
          <w:sz w:val="28"/>
        </w:rPr>
        <w:t>
      8) процедуры для смешанных веществ, предназначенные для предотвращения погрешностей при определении подлинности или перекрестного загрязнения.</w:t>
      </w:r>
    </w:p>
    <w:bookmarkEnd w:id="460"/>
    <w:bookmarkStart w:name="z467" w:id="461"/>
    <w:p>
      <w:pPr>
        <w:spacing w:after="0"/>
        <w:ind w:left="0"/>
        <w:jc w:val="both"/>
      </w:pPr>
      <w:r>
        <w:rPr>
          <w:rFonts w:ascii="Times New Roman"/>
          <w:b w:val="false"/>
          <w:i w:val="false"/>
          <w:color w:val="000000"/>
          <w:sz w:val="28"/>
        </w:rPr>
        <w:t>
      111. Инспекция стандартных операционных процедур. Цель - определить, имеет ли испытательная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контроле деятельности испытательной лаборатории является использование СОП в письменной форме. Это напрямую относится к типовым составляющим элементам исследований, проводимых в испытательной лаборатории.</w:t>
      </w:r>
    </w:p>
    <w:bookmarkEnd w:id="461"/>
    <w:bookmarkStart w:name="z468" w:id="462"/>
    <w:p>
      <w:pPr>
        <w:spacing w:after="0"/>
        <w:ind w:left="0"/>
        <w:jc w:val="both"/>
      </w:pPr>
      <w:r>
        <w:rPr>
          <w:rFonts w:ascii="Times New Roman"/>
          <w:b w:val="false"/>
          <w:i w:val="false"/>
          <w:color w:val="000000"/>
          <w:sz w:val="28"/>
        </w:rPr>
        <w:t>
      Инспектор проверяет:</w:t>
      </w:r>
    </w:p>
    <w:bookmarkEnd w:id="462"/>
    <w:bookmarkStart w:name="z469" w:id="463"/>
    <w:p>
      <w:pPr>
        <w:spacing w:after="0"/>
        <w:ind w:left="0"/>
        <w:jc w:val="both"/>
      </w:pPr>
      <w:r>
        <w:rPr>
          <w:rFonts w:ascii="Times New Roman"/>
          <w:b w:val="false"/>
          <w:i w:val="false"/>
          <w:color w:val="000000"/>
          <w:sz w:val="28"/>
        </w:rPr>
        <w:t>
      1) наличие в каждом помещении испытательной лаборатории соответствующих утвержденных копий СОП;</w:t>
      </w:r>
    </w:p>
    <w:bookmarkEnd w:id="463"/>
    <w:bookmarkStart w:name="z470" w:id="464"/>
    <w:p>
      <w:pPr>
        <w:spacing w:after="0"/>
        <w:ind w:left="0"/>
        <w:jc w:val="both"/>
      </w:pPr>
      <w:r>
        <w:rPr>
          <w:rFonts w:ascii="Times New Roman"/>
          <w:b w:val="false"/>
          <w:i w:val="false"/>
          <w:color w:val="000000"/>
          <w:sz w:val="28"/>
        </w:rPr>
        <w:t>
      2) проведение процедур по пересмотру и обновлению СОП;</w:t>
      </w:r>
    </w:p>
    <w:bookmarkEnd w:id="464"/>
    <w:bookmarkStart w:name="z471" w:id="465"/>
    <w:p>
      <w:pPr>
        <w:spacing w:after="0"/>
        <w:ind w:left="0"/>
        <w:jc w:val="both"/>
      </w:pPr>
      <w:r>
        <w:rPr>
          <w:rFonts w:ascii="Times New Roman"/>
          <w:b w:val="false"/>
          <w:i w:val="false"/>
          <w:color w:val="000000"/>
          <w:sz w:val="28"/>
        </w:rPr>
        <w:t>
      3) утверждение и датирование любых поправок и изменений в СОП;</w:t>
      </w:r>
    </w:p>
    <w:bookmarkEnd w:id="465"/>
    <w:bookmarkStart w:name="z472" w:id="466"/>
    <w:p>
      <w:pPr>
        <w:spacing w:after="0"/>
        <w:ind w:left="0"/>
        <w:jc w:val="both"/>
      </w:pPr>
      <w:r>
        <w:rPr>
          <w:rFonts w:ascii="Times New Roman"/>
          <w:b w:val="false"/>
          <w:i w:val="false"/>
          <w:color w:val="000000"/>
          <w:sz w:val="28"/>
        </w:rPr>
        <w:t>
      4) документы с регистрацией предыдущих СОП;</w:t>
      </w:r>
    </w:p>
    <w:bookmarkEnd w:id="466"/>
    <w:bookmarkStart w:name="z473" w:id="467"/>
    <w:p>
      <w:pPr>
        <w:spacing w:after="0"/>
        <w:ind w:left="0"/>
        <w:jc w:val="both"/>
      </w:pPr>
      <w:r>
        <w:rPr>
          <w:rFonts w:ascii="Times New Roman"/>
          <w:b w:val="false"/>
          <w:i w:val="false"/>
          <w:color w:val="000000"/>
          <w:sz w:val="28"/>
        </w:rPr>
        <w:t>
      5) наличие СОП, в частности, для следующих видов деятельности:</w:t>
      </w:r>
    </w:p>
    <w:bookmarkEnd w:id="467"/>
    <w:bookmarkStart w:name="z474" w:id="468"/>
    <w:p>
      <w:pPr>
        <w:spacing w:after="0"/>
        <w:ind w:left="0"/>
        <w:jc w:val="both"/>
      </w:pPr>
      <w:r>
        <w:rPr>
          <w:rFonts w:ascii="Times New Roman"/>
          <w:b w:val="false"/>
          <w:i w:val="false"/>
          <w:color w:val="000000"/>
          <w:sz w:val="28"/>
        </w:rPr>
        <w:t>
      6) получение; определение подлинности, чистоты, состава и стабильности; маркировка; обращение; отбор проб; использование; хранение исследуемых веществ (лекарственных средств) и образцов сравнения (контрольных образцов);</w:t>
      </w:r>
    </w:p>
    <w:bookmarkEnd w:id="468"/>
    <w:bookmarkStart w:name="z475" w:id="469"/>
    <w:p>
      <w:pPr>
        <w:spacing w:after="0"/>
        <w:ind w:left="0"/>
        <w:jc w:val="both"/>
      </w:pPr>
      <w:r>
        <w:rPr>
          <w:rFonts w:ascii="Times New Roman"/>
          <w:b w:val="false"/>
          <w:i w:val="false"/>
          <w:color w:val="000000"/>
          <w:sz w:val="28"/>
        </w:rPr>
        <w:t>
      7) использование, обслуживание, очистка, калибровка и валидация измерительного оборудования, компьютеризированных систем и оборудования по контролю состояния окружающей среды;</w:t>
      </w:r>
    </w:p>
    <w:bookmarkEnd w:id="469"/>
    <w:bookmarkStart w:name="z476" w:id="470"/>
    <w:p>
      <w:pPr>
        <w:spacing w:after="0"/>
        <w:ind w:left="0"/>
        <w:jc w:val="both"/>
      </w:pPr>
      <w:r>
        <w:rPr>
          <w:rFonts w:ascii="Times New Roman"/>
          <w:b w:val="false"/>
          <w:i w:val="false"/>
          <w:color w:val="000000"/>
          <w:sz w:val="28"/>
        </w:rPr>
        <w:t>
      8) приготовление реактивов и дозирование исследуемых веществ (лекарственных</w:t>
      </w:r>
      <w:r>
        <w:rPr>
          <w:rFonts w:ascii="Times New Roman"/>
          <w:b w:val="false"/>
          <w:i w:val="false"/>
          <w:color w:val="000000"/>
          <w:sz w:val="28"/>
        </w:rPr>
        <w:t xml:space="preserve"> средств) и образцов сравнения (контрольных образцов);</w:t>
      </w:r>
    </w:p>
    <w:bookmarkEnd w:id="470"/>
    <w:bookmarkStart w:name="z478" w:id="471"/>
    <w:p>
      <w:pPr>
        <w:spacing w:after="0"/>
        <w:ind w:left="0"/>
        <w:jc w:val="both"/>
      </w:pPr>
      <w:r>
        <w:rPr>
          <w:rFonts w:ascii="Times New Roman"/>
          <w:b w:val="false"/>
          <w:i w:val="false"/>
          <w:color w:val="000000"/>
          <w:sz w:val="28"/>
        </w:rPr>
        <w:t>
      9) регистрация данных, подготовка отчетов, хранение и извлечение документов и отчетов;</w:t>
      </w:r>
    </w:p>
    <w:bookmarkEnd w:id="471"/>
    <w:bookmarkStart w:name="z479" w:id="472"/>
    <w:p>
      <w:pPr>
        <w:spacing w:after="0"/>
        <w:ind w:left="0"/>
        <w:jc w:val="both"/>
      </w:pPr>
      <w:r>
        <w:rPr>
          <w:rFonts w:ascii="Times New Roman"/>
          <w:b w:val="false"/>
          <w:i w:val="false"/>
          <w:color w:val="000000"/>
          <w:sz w:val="28"/>
        </w:rPr>
        <w:t>
      10) подготовка и контроль состояния окружающей среды в помещениях с испытательными системами;</w:t>
      </w:r>
    </w:p>
    <w:bookmarkEnd w:id="472"/>
    <w:bookmarkStart w:name="z480" w:id="473"/>
    <w:p>
      <w:pPr>
        <w:spacing w:after="0"/>
        <w:ind w:left="0"/>
        <w:jc w:val="both"/>
      </w:pPr>
      <w:r>
        <w:rPr>
          <w:rFonts w:ascii="Times New Roman"/>
          <w:b w:val="false"/>
          <w:i w:val="false"/>
          <w:color w:val="000000"/>
          <w:sz w:val="28"/>
        </w:rPr>
        <w:t>
      11) получение, перемещение, размещение, описание, определение подлинности и обращение с испытательными системами;</w:t>
      </w:r>
    </w:p>
    <w:bookmarkEnd w:id="473"/>
    <w:bookmarkStart w:name="z481" w:id="474"/>
    <w:p>
      <w:pPr>
        <w:spacing w:after="0"/>
        <w:ind w:left="0"/>
        <w:jc w:val="both"/>
      </w:pPr>
      <w:r>
        <w:rPr>
          <w:rFonts w:ascii="Times New Roman"/>
          <w:b w:val="false"/>
          <w:i w:val="false"/>
          <w:color w:val="000000"/>
          <w:sz w:val="28"/>
        </w:rPr>
        <w:t>
      12) обращение с испытательными системами до начала, в течение и в конце исследования;</w:t>
      </w:r>
    </w:p>
    <w:bookmarkEnd w:id="474"/>
    <w:bookmarkStart w:name="z482" w:id="475"/>
    <w:p>
      <w:pPr>
        <w:spacing w:after="0"/>
        <w:ind w:left="0"/>
        <w:jc w:val="both"/>
      </w:pPr>
      <w:r>
        <w:rPr>
          <w:rFonts w:ascii="Times New Roman"/>
          <w:b w:val="false"/>
          <w:i w:val="false"/>
          <w:color w:val="000000"/>
          <w:sz w:val="28"/>
        </w:rPr>
        <w:t>
      13) утилизация тест-систем;</w:t>
      </w:r>
    </w:p>
    <w:bookmarkEnd w:id="475"/>
    <w:bookmarkStart w:name="z483" w:id="476"/>
    <w:p>
      <w:pPr>
        <w:spacing w:after="0"/>
        <w:ind w:left="0"/>
        <w:jc w:val="both"/>
      </w:pPr>
      <w:r>
        <w:rPr>
          <w:rFonts w:ascii="Times New Roman"/>
          <w:b w:val="false"/>
          <w:i w:val="false"/>
          <w:color w:val="000000"/>
          <w:sz w:val="28"/>
        </w:rPr>
        <w:t>
      14) использование очищающих средств и средств для контроля за сельскохозяйственными вредителями;</w:t>
      </w:r>
    </w:p>
    <w:bookmarkEnd w:id="476"/>
    <w:bookmarkStart w:name="z484" w:id="477"/>
    <w:p>
      <w:pPr>
        <w:spacing w:after="0"/>
        <w:ind w:left="0"/>
        <w:jc w:val="both"/>
      </w:pPr>
      <w:r>
        <w:rPr>
          <w:rFonts w:ascii="Times New Roman"/>
          <w:b w:val="false"/>
          <w:i w:val="false"/>
          <w:color w:val="000000"/>
          <w:sz w:val="28"/>
        </w:rPr>
        <w:t>
      15) меры программы обеспечения качества.</w:t>
      </w:r>
    </w:p>
    <w:bookmarkEnd w:id="477"/>
    <w:bookmarkStart w:name="z485" w:id="478"/>
    <w:p>
      <w:pPr>
        <w:spacing w:after="0"/>
        <w:ind w:left="0"/>
        <w:jc w:val="left"/>
      </w:pPr>
      <w:r>
        <w:rPr>
          <w:rFonts w:ascii="Times New Roman"/>
          <w:b/>
          <w:i w:val="false"/>
          <w:color w:val="000000"/>
        </w:rPr>
        <w:t xml:space="preserve"> Параграф 3. Инспекция проведения исследования</w:t>
      </w:r>
    </w:p>
    <w:bookmarkEnd w:id="478"/>
    <w:bookmarkStart w:name="z486" w:id="479"/>
    <w:p>
      <w:pPr>
        <w:spacing w:after="0"/>
        <w:ind w:left="0"/>
        <w:jc w:val="both"/>
      </w:pPr>
      <w:r>
        <w:rPr>
          <w:rFonts w:ascii="Times New Roman"/>
          <w:b w:val="false"/>
          <w:i w:val="false"/>
          <w:color w:val="000000"/>
          <w:sz w:val="28"/>
        </w:rPr>
        <w:t>
      112. Цель - проверить наличие протокола, плана, программы исследования в письменной форме и соответствие протокола, плана, программы и проведения исследования принципам Стандарта.</w:t>
      </w:r>
    </w:p>
    <w:bookmarkEnd w:id="479"/>
    <w:bookmarkStart w:name="z487" w:id="480"/>
    <w:p>
      <w:pPr>
        <w:spacing w:after="0"/>
        <w:ind w:left="0"/>
        <w:jc w:val="both"/>
      </w:pPr>
      <w:r>
        <w:rPr>
          <w:rFonts w:ascii="Times New Roman"/>
          <w:b w:val="false"/>
          <w:i w:val="false"/>
          <w:color w:val="000000"/>
          <w:sz w:val="28"/>
        </w:rPr>
        <w:t>
      Инспектор проверяет:</w:t>
      </w:r>
    </w:p>
    <w:bookmarkEnd w:id="480"/>
    <w:bookmarkStart w:name="z488" w:id="481"/>
    <w:p>
      <w:pPr>
        <w:spacing w:after="0"/>
        <w:ind w:left="0"/>
        <w:jc w:val="both"/>
      </w:pPr>
      <w:r>
        <w:rPr>
          <w:rFonts w:ascii="Times New Roman"/>
          <w:b w:val="false"/>
          <w:i w:val="false"/>
          <w:color w:val="000000"/>
          <w:sz w:val="28"/>
        </w:rPr>
        <w:t>
      1) подпись руководителя исследования на протоколе, плане, программе исследования;</w:t>
      </w:r>
    </w:p>
    <w:bookmarkEnd w:id="481"/>
    <w:bookmarkStart w:name="z489" w:id="482"/>
    <w:p>
      <w:pPr>
        <w:spacing w:after="0"/>
        <w:ind w:left="0"/>
        <w:jc w:val="both"/>
      </w:pPr>
      <w:r>
        <w:rPr>
          <w:rFonts w:ascii="Times New Roman"/>
          <w:b w:val="false"/>
          <w:i w:val="false"/>
          <w:color w:val="000000"/>
          <w:sz w:val="28"/>
        </w:rPr>
        <w:t>
      2) подпись и датирование руководителем исследования любых изменений протокола, программы исследования;</w:t>
      </w:r>
    </w:p>
    <w:bookmarkEnd w:id="482"/>
    <w:bookmarkStart w:name="z490" w:id="483"/>
    <w:p>
      <w:pPr>
        <w:spacing w:after="0"/>
        <w:ind w:left="0"/>
        <w:jc w:val="both"/>
      </w:pPr>
      <w:r>
        <w:rPr>
          <w:rFonts w:ascii="Times New Roman"/>
          <w:b w:val="false"/>
          <w:i w:val="false"/>
          <w:color w:val="000000"/>
          <w:sz w:val="28"/>
        </w:rPr>
        <w:t>
      3) регистрацию даты согласования протокола, программы исследования со спонсором (в соответствующих случаях);</w:t>
      </w:r>
    </w:p>
    <w:bookmarkEnd w:id="483"/>
    <w:bookmarkStart w:name="z491" w:id="484"/>
    <w:p>
      <w:pPr>
        <w:spacing w:after="0"/>
        <w:ind w:left="0"/>
        <w:jc w:val="both"/>
      </w:pPr>
      <w:r>
        <w:rPr>
          <w:rFonts w:ascii="Times New Roman"/>
          <w:b w:val="false"/>
          <w:i w:val="false"/>
          <w:color w:val="000000"/>
          <w:sz w:val="28"/>
        </w:rPr>
        <w:t>
      4) соответствие измерений, наблюдений и результатов протоколу, плану, программе исследования и СОП;</w:t>
      </w:r>
    </w:p>
    <w:bookmarkEnd w:id="484"/>
    <w:bookmarkStart w:name="z492" w:id="485"/>
    <w:p>
      <w:pPr>
        <w:spacing w:after="0"/>
        <w:ind w:left="0"/>
        <w:jc w:val="both"/>
      </w:pPr>
      <w:r>
        <w:rPr>
          <w:rFonts w:ascii="Times New Roman"/>
          <w:b w:val="false"/>
          <w:i w:val="false"/>
          <w:color w:val="000000"/>
          <w:sz w:val="28"/>
        </w:rPr>
        <w:t>
      5) полная, своевременная, точная и разборчивая регистрация результатов этих измерений, наблюдений и результатов, подписание (или инициалы) и датирование;</w:t>
      </w:r>
    </w:p>
    <w:bookmarkEnd w:id="485"/>
    <w:bookmarkStart w:name="z493" w:id="486"/>
    <w:p>
      <w:pPr>
        <w:spacing w:after="0"/>
        <w:ind w:left="0"/>
        <w:jc w:val="both"/>
      </w:pPr>
      <w:r>
        <w:rPr>
          <w:rFonts w:ascii="Times New Roman"/>
          <w:b w:val="false"/>
          <w:i w:val="false"/>
          <w:color w:val="000000"/>
          <w:sz w:val="28"/>
        </w:rPr>
        <w:t>
      6) изменения в исходных данных, включая данные, хранимые в компьютерах, не внесли неясность в документы, включая причину изменения и лицо, отвечающее за изменение, и дату, когда такое изменение было внесено;</w:t>
      </w:r>
    </w:p>
    <w:bookmarkEnd w:id="486"/>
    <w:bookmarkStart w:name="z494" w:id="487"/>
    <w:p>
      <w:pPr>
        <w:spacing w:after="0"/>
        <w:ind w:left="0"/>
        <w:jc w:val="both"/>
      </w:pPr>
      <w:r>
        <w:rPr>
          <w:rFonts w:ascii="Times New Roman"/>
          <w:b w:val="false"/>
          <w:i w:val="false"/>
          <w:color w:val="000000"/>
          <w:sz w:val="28"/>
        </w:rPr>
        <w:t>
      7) идентификацию данных, созданных компьютером или сохраненных, наличие соответствующих процедур по защите этих данных от неуполномоченных изменений или утери;</w:t>
      </w:r>
    </w:p>
    <w:bookmarkEnd w:id="487"/>
    <w:bookmarkStart w:name="z495" w:id="488"/>
    <w:p>
      <w:pPr>
        <w:spacing w:after="0"/>
        <w:ind w:left="0"/>
        <w:jc w:val="both"/>
      </w:pPr>
      <w:r>
        <w:rPr>
          <w:rFonts w:ascii="Times New Roman"/>
          <w:b w:val="false"/>
          <w:i w:val="false"/>
          <w:color w:val="000000"/>
          <w:sz w:val="28"/>
        </w:rPr>
        <w:t>
      8) надежность, точность и валидацию компьютеризированных систем, использованных в исследовании;</w:t>
      </w:r>
    </w:p>
    <w:bookmarkEnd w:id="488"/>
    <w:bookmarkStart w:name="z496" w:id="489"/>
    <w:p>
      <w:pPr>
        <w:spacing w:after="0"/>
        <w:ind w:left="0"/>
        <w:jc w:val="both"/>
      </w:pPr>
      <w:r>
        <w:rPr>
          <w:rFonts w:ascii="Times New Roman"/>
          <w:b w:val="false"/>
          <w:i w:val="false"/>
          <w:color w:val="000000"/>
          <w:sz w:val="28"/>
        </w:rPr>
        <w:t>
      9) изучение и оценку непредвиденных обстоятельств, зарегистрированных в исходных данных;</w:t>
      </w:r>
    </w:p>
    <w:bookmarkEnd w:id="489"/>
    <w:bookmarkStart w:name="z497" w:id="490"/>
    <w:p>
      <w:pPr>
        <w:spacing w:after="0"/>
        <w:ind w:left="0"/>
        <w:jc w:val="both"/>
      </w:pPr>
      <w:r>
        <w:rPr>
          <w:rFonts w:ascii="Times New Roman"/>
          <w:b w:val="false"/>
          <w:i w:val="false"/>
          <w:color w:val="000000"/>
          <w:sz w:val="28"/>
        </w:rPr>
        <w:t>
      10) согласованность и полнота результатов в отчетах исследования (промежуточных и заключительных) и правильное отображение исходных данных.</w:t>
      </w:r>
    </w:p>
    <w:bookmarkEnd w:id="490"/>
    <w:bookmarkStart w:name="z498" w:id="491"/>
    <w:p>
      <w:pPr>
        <w:spacing w:after="0"/>
        <w:ind w:left="0"/>
        <w:jc w:val="both"/>
      </w:pPr>
      <w:r>
        <w:rPr>
          <w:rFonts w:ascii="Times New Roman"/>
          <w:b w:val="false"/>
          <w:i w:val="false"/>
          <w:color w:val="000000"/>
          <w:sz w:val="28"/>
        </w:rPr>
        <w:t>
      113. Инспекция представления отчета о результатах исследования. Цель - определить соответствие заключительных отчетов принципам Стандарта.</w:t>
      </w:r>
    </w:p>
    <w:bookmarkEnd w:id="491"/>
    <w:bookmarkStart w:name="z499" w:id="492"/>
    <w:p>
      <w:pPr>
        <w:spacing w:after="0"/>
        <w:ind w:left="0"/>
        <w:jc w:val="both"/>
      </w:pPr>
      <w:r>
        <w:rPr>
          <w:rFonts w:ascii="Times New Roman"/>
          <w:b w:val="false"/>
          <w:i w:val="false"/>
          <w:color w:val="000000"/>
          <w:sz w:val="28"/>
        </w:rPr>
        <w:t>
      При изучении заключительного отчета инспектор проверяет:</w:t>
      </w:r>
    </w:p>
    <w:bookmarkEnd w:id="492"/>
    <w:bookmarkStart w:name="z500" w:id="493"/>
    <w:p>
      <w:pPr>
        <w:spacing w:after="0"/>
        <w:ind w:left="0"/>
        <w:jc w:val="both"/>
      </w:pPr>
      <w:r>
        <w:rPr>
          <w:rFonts w:ascii="Times New Roman"/>
          <w:b w:val="false"/>
          <w:i w:val="false"/>
          <w:color w:val="000000"/>
          <w:sz w:val="28"/>
        </w:rPr>
        <w:t>
      1) подпись и датирование руководителем исследования с учетом валидации исследования и соответствие проведенного исследования принципам Стандарта;</w:t>
      </w:r>
    </w:p>
    <w:bookmarkEnd w:id="493"/>
    <w:bookmarkStart w:name="z501" w:id="494"/>
    <w:p>
      <w:pPr>
        <w:spacing w:after="0"/>
        <w:ind w:left="0"/>
        <w:jc w:val="both"/>
      </w:pPr>
      <w:r>
        <w:rPr>
          <w:rFonts w:ascii="Times New Roman"/>
          <w:b w:val="false"/>
          <w:i w:val="false"/>
          <w:color w:val="000000"/>
          <w:sz w:val="28"/>
        </w:rPr>
        <w:t>
      2) подпись и датирование другими ведущими учеными в том случае, если прилагаются отчеты из сопутствующих дисциплин;</w:t>
      </w:r>
    </w:p>
    <w:bookmarkEnd w:id="494"/>
    <w:bookmarkStart w:name="z502" w:id="495"/>
    <w:p>
      <w:pPr>
        <w:spacing w:after="0"/>
        <w:ind w:left="0"/>
        <w:jc w:val="both"/>
      </w:pPr>
      <w:r>
        <w:rPr>
          <w:rFonts w:ascii="Times New Roman"/>
          <w:b w:val="false"/>
          <w:i w:val="false"/>
          <w:color w:val="000000"/>
          <w:sz w:val="28"/>
        </w:rPr>
        <w:t>
      3) включение отчета об обеспечении качества, подпись и датирование;</w:t>
      </w:r>
    </w:p>
    <w:bookmarkEnd w:id="495"/>
    <w:bookmarkStart w:name="z503" w:id="496"/>
    <w:p>
      <w:pPr>
        <w:spacing w:after="0"/>
        <w:ind w:left="0"/>
        <w:jc w:val="both"/>
      </w:pPr>
      <w:r>
        <w:rPr>
          <w:rFonts w:ascii="Times New Roman"/>
          <w:b w:val="false"/>
          <w:i w:val="false"/>
          <w:color w:val="000000"/>
          <w:sz w:val="28"/>
        </w:rPr>
        <w:t>
      4) внесение изменений персоналом;</w:t>
      </w:r>
    </w:p>
    <w:bookmarkEnd w:id="496"/>
    <w:bookmarkStart w:name="z504" w:id="497"/>
    <w:p>
      <w:pPr>
        <w:spacing w:after="0"/>
        <w:ind w:left="0"/>
        <w:jc w:val="both"/>
      </w:pPr>
      <w:r>
        <w:rPr>
          <w:rFonts w:ascii="Times New Roman"/>
          <w:b w:val="false"/>
          <w:i w:val="false"/>
          <w:color w:val="000000"/>
          <w:sz w:val="28"/>
        </w:rPr>
        <w:t>
      5) архивное размещение всех образцов, проб и исходных данных.</w:t>
      </w:r>
    </w:p>
    <w:bookmarkEnd w:id="497"/>
    <w:bookmarkStart w:name="z505" w:id="498"/>
    <w:p>
      <w:pPr>
        <w:spacing w:after="0"/>
        <w:ind w:left="0"/>
        <w:jc w:val="both"/>
      </w:pPr>
      <w:r>
        <w:rPr>
          <w:rFonts w:ascii="Times New Roman"/>
          <w:b w:val="false"/>
          <w:i w:val="false"/>
          <w:color w:val="000000"/>
          <w:sz w:val="28"/>
        </w:rPr>
        <w:t>
      114. Инспекция хранения данных. Цель - определить, имеет ли испытательная лаборатория соответствующие документы и отчеты, меры предосторожности по безопасному хранению документов и материалов.</w:t>
      </w:r>
    </w:p>
    <w:bookmarkEnd w:id="498"/>
    <w:bookmarkStart w:name="z506" w:id="499"/>
    <w:p>
      <w:pPr>
        <w:spacing w:after="0"/>
        <w:ind w:left="0"/>
        <w:jc w:val="both"/>
      </w:pPr>
      <w:r>
        <w:rPr>
          <w:rFonts w:ascii="Times New Roman"/>
          <w:b w:val="false"/>
          <w:i w:val="false"/>
          <w:color w:val="000000"/>
          <w:sz w:val="28"/>
        </w:rPr>
        <w:t>
      Инспектор проверяет:</w:t>
      </w:r>
    </w:p>
    <w:bookmarkEnd w:id="499"/>
    <w:bookmarkStart w:name="z507" w:id="500"/>
    <w:p>
      <w:pPr>
        <w:spacing w:after="0"/>
        <w:ind w:left="0"/>
        <w:jc w:val="both"/>
      </w:pPr>
      <w:r>
        <w:rPr>
          <w:rFonts w:ascii="Times New Roman"/>
          <w:b w:val="false"/>
          <w:i w:val="false"/>
          <w:color w:val="000000"/>
          <w:sz w:val="28"/>
        </w:rPr>
        <w:t>
      1) утверждение лица, отвечающего за архив;</w:t>
      </w:r>
    </w:p>
    <w:bookmarkEnd w:id="500"/>
    <w:bookmarkStart w:name="z508" w:id="501"/>
    <w:p>
      <w:pPr>
        <w:spacing w:after="0"/>
        <w:ind w:left="0"/>
        <w:jc w:val="both"/>
      </w:pPr>
      <w:r>
        <w:rPr>
          <w:rFonts w:ascii="Times New Roman"/>
          <w:b w:val="false"/>
          <w:i w:val="false"/>
          <w:color w:val="000000"/>
          <w:sz w:val="28"/>
        </w:rPr>
        <w:t>
      2) устройства для хранения протоколов, планов, программ исследований, исходных данных (включая прерванные доклинические (неклинические) исследования), заключительных отчетов, образцов, проб и документов об образовании и обучении персонала;</w:t>
      </w:r>
    </w:p>
    <w:bookmarkEnd w:id="501"/>
    <w:bookmarkStart w:name="z509" w:id="502"/>
    <w:p>
      <w:pPr>
        <w:spacing w:after="0"/>
        <w:ind w:left="0"/>
        <w:jc w:val="both"/>
      </w:pPr>
      <w:r>
        <w:rPr>
          <w:rFonts w:ascii="Times New Roman"/>
          <w:b w:val="false"/>
          <w:i w:val="false"/>
          <w:color w:val="000000"/>
          <w:sz w:val="28"/>
        </w:rPr>
        <w:t>
      3) процедуры для извлечения сохраненных данных;</w:t>
      </w:r>
    </w:p>
    <w:bookmarkEnd w:id="502"/>
    <w:bookmarkStart w:name="z510" w:id="503"/>
    <w:p>
      <w:pPr>
        <w:spacing w:after="0"/>
        <w:ind w:left="0"/>
        <w:jc w:val="both"/>
      </w:pPr>
      <w:r>
        <w:rPr>
          <w:rFonts w:ascii="Times New Roman"/>
          <w:b w:val="false"/>
          <w:i w:val="false"/>
          <w:color w:val="000000"/>
          <w:sz w:val="28"/>
        </w:rPr>
        <w:t>
      4) ограничение доступа к архивам только для уполномоченного персонала, хранение документов у персонала, имеющего доступ к исходным данным, слайдам;</w:t>
      </w:r>
    </w:p>
    <w:bookmarkEnd w:id="503"/>
    <w:bookmarkStart w:name="z511" w:id="504"/>
    <w:p>
      <w:pPr>
        <w:spacing w:after="0"/>
        <w:ind w:left="0"/>
        <w:jc w:val="both"/>
      </w:pPr>
      <w:r>
        <w:rPr>
          <w:rFonts w:ascii="Times New Roman"/>
          <w:b w:val="false"/>
          <w:i w:val="false"/>
          <w:color w:val="000000"/>
          <w:sz w:val="28"/>
        </w:rPr>
        <w:t>
      5) опись материалов, удаленных и восстановленных в архиве;</w:t>
      </w:r>
    </w:p>
    <w:bookmarkEnd w:id="504"/>
    <w:bookmarkStart w:name="z512" w:id="505"/>
    <w:p>
      <w:pPr>
        <w:spacing w:after="0"/>
        <w:ind w:left="0"/>
        <w:jc w:val="both"/>
      </w:pPr>
      <w:r>
        <w:rPr>
          <w:rFonts w:ascii="Times New Roman"/>
          <w:b w:val="false"/>
          <w:i w:val="false"/>
          <w:color w:val="000000"/>
          <w:sz w:val="28"/>
        </w:rPr>
        <w:t>
      6)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w:t>
      </w:r>
    </w:p>
    <w:bookmarkEnd w:id="505"/>
    <w:bookmarkStart w:name="z513" w:id="506"/>
    <w:p>
      <w:pPr>
        <w:spacing w:after="0"/>
        <w:ind w:left="0"/>
        <w:jc w:val="both"/>
      </w:pPr>
      <w:r>
        <w:rPr>
          <w:rFonts w:ascii="Times New Roman"/>
          <w:b w:val="false"/>
          <w:i w:val="false"/>
          <w:color w:val="000000"/>
          <w:sz w:val="28"/>
        </w:rPr>
        <w:t>
      115. Инспекции испытательных лабораторий включают в себя аудит исследований (текущих и завершенных). Проведение специфических аудитов исследований является требованием уполномоченного органа, и проводятся независимо от инспекций испытательных лабораторий. В силу существования большого разнообразия исследований, подвергаемые аудиту, применяется только общее руководство. Инспекторам и другим лицам, принимающим участие в аудите исследований, потребуется высказать собственное мнение о характере и масштабе исследований. Цель - восстановление исследования путем сравнения заключительного отчета с протоколом, планом, программой исследования, соответствующими СОП, исходными данными и другими сохраненными материалами.</w:t>
      </w:r>
    </w:p>
    <w:bookmarkEnd w:id="506"/>
    <w:bookmarkStart w:name="z514" w:id="507"/>
    <w:p>
      <w:pPr>
        <w:spacing w:after="0"/>
        <w:ind w:left="0"/>
        <w:jc w:val="both"/>
      </w:pPr>
      <w:r>
        <w:rPr>
          <w:rFonts w:ascii="Times New Roman"/>
          <w:b w:val="false"/>
          <w:i w:val="false"/>
          <w:color w:val="000000"/>
          <w:sz w:val="28"/>
        </w:rPr>
        <w:t>
      116. При проведении аудита исследования инспектору:</w:t>
      </w:r>
    </w:p>
    <w:bookmarkEnd w:id="507"/>
    <w:bookmarkStart w:name="z515" w:id="508"/>
    <w:p>
      <w:pPr>
        <w:spacing w:after="0"/>
        <w:ind w:left="0"/>
        <w:jc w:val="both"/>
      </w:pPr>
      <w:r>
        <w:rPr>
          <w:rFonts w:ascii="Times New Roman"/>
          <w:b w:val="false"/>
          <w:i w:val="false"/>
          <w:color w:val="000000"/>
          <w:sz w:val="28"/>
        </w:rPr>
        <w:t>
      1) получить фамилии, описание работы и краткое изложение обучения и опыта выбранного персонала, вовлеченного в проведение исследования;</w:t>
      </w:r>
    </w:p>
    <w:bookmarkEnd w:id="508"/>
    <w:bookmarkStart w:name="z516" w:id="509"/>
    <w:p>
      <w:pPr>
        <w:spacing w:after="0"/>
        <w:ind w:left="0"/>
        <w:jc w:val="both"/>
      </w:pPr>
      <w:r>
        <w:rPr>
          <w:rFonts w:ascii="Times New Roman"/>
          <w:b w:val="false"/>
          <w:i w:val="false"/>
          <w:color w:val="000000"/>
          <w:sz w:val="28"/>
        </w:rPr>
        <w:t>
      2) проверить наличие достаточного количества персонала, обученного в определенных областях для проведения исследования;</w:t>
      </w:r>
    </w:p>
    <w:bookmarkEnd w:id="509"/>
    <w:bookmarkStart w:name="z517" w:id="510"/>
    <w:p>
      <w:pPr>
        <w:spacing w:after="0"/>
        <w:ind w:left="0"/>
        <w:jc w:val="both"/>
      </w:pPr>
      <w:r>
        <w:rPr>
          <w:rFonts w:ascii="Times New Roman"/>
          <w:b w:val="false"/>
          <w:i w:val="false"/>
          <w:color w:val="000000"/>
          <w:sz w:val="28"/>
        </w:rPr>
        <w:t>
      3)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p>
    <w:bookmarkEnd w:id="510"/>
    <w:bookmarkStart w:name="z518" w:id="511"/>
    <w:p>
      <w:pPr>
        <w:spacing w:after="0"/>
        <w:ind w:left="0"/>
        <w:jc w:val="both"/>
      </w:pPr>
      <w:r>
        <w:rPr>
          <w:rFonts w:ascii="Times New Roman"/>
          <w:b w:val="false"/>
          <w:i w:val="false"/>
          <w:color w:val="000000"/>
          <w:sz w:val="28"/>
        </w:rPr>
        <w:t>
      4) изучить документы в отношении стабильности испытуемого вещества (лекарственного средства), результаты анализов исследуемого вещества (лекарственного средства) и образцов сравнения (контрольных образцов);</w:t>
      </w:r>
    </w:p>
    <w:bookmarkEnd w:id="511"/>
    <w:bookmarkStart w:name="z519" w:id="512"/>
    <w:p>
      <w:pPr>
        <w:spacing w:after="0"/>
        <w:ind w:left="0"/>
        <w:jc w:val="both"/>
      </w:pPr>
      <w:r>
        <w:rPr>
          <w:rFonts w:ascii="Times New Roman"/>
          <w:b w:val="false"/>
          <w:i w:val="false"/>
          <w:color w:val="000000"/>
          <w:sz w:val="28"/>
        </w:rPr>
        <w:t>
      5) попытаться определить, по возможности при помощи интервьюирования, распределение обязанностей среди выбранных сотрудников, принимающих участие в исследовании, с целью подтверждения, что эти лица имели достаточно времени для выполнения своих задач, указанных в протоколе, плане, программе исследования или отчете;</w:t>
      </w:r>
    </w:p>
    <w:bookmarkEnd w:id="512"/>
    <w:bookmarkStart w:name="z520" w:id="513"/>
    <w:p>
      <w:pPr>
        <w:spacing w:after="0"/>
        <w:ind w:left="0"/>
        <w:jc w:val="both"/>
      </w:pPr>
      <w:r>
        <w:rPr>
          <w:rFonts w:ascii="Times New Roman"/>
          <w:b w:val="false"/>
          <w:i w:val="false"/>
          <w:color w:val="000000"/>
          <w:sz w:val="28"/>
        </w:rPr>
        <w:t>
      6) получить копии всех документов в отношении процедур контроля или являющихся неотъемлемой частью исследования, включая:</w:t>
      </w:r>
    </w:p>
    <w:bookmarkEnd w:id="513"/>
    <w:bookmarkStart w:name="z521" w:id="514"/>
    <w:p>
      <w:pPr>
        <w:spacing w:after="0"/>
        <w:ind w:left="0"/>
        <w:jc w:val="both"/>
      </w:pPr>
      <w:r>
        <w:rPr>
          <w:rFonts w:ascii="Times New Roman"/>
          <w:b w:val="false"/>
          <w:i w:val="false"/>
          <w:color w:val="000000"/>
          <w:sz w:val="28"/>
        </w:rPr>
        <w:t>
      7) протокол, план, программа исследования;</w:t>
      </w:r>
    </w:p>
    <w:bookmarkEnd w:id="514"/>
    <w:bookmarkStart w:name="z522" w:id="515"/>
    <w:p>
      <w:pPr>
        <w:spacing w:after="0"/>
        <w:ind w:left="0"/>
        <w:jc w:val="both"/>
      </w:pPr>
      <w:r>
        <w:rPr>
          <w:rFonts w:ascii="Times New Roman"/>
          <w:b w:val="false"/>
          <w:i w:val="false"/>
          <w:color w:val="000000"/>
          <w:sz w:val="28"/>
        </w:rPr>
        <w:t>
      8) используемые СОП на момент проведения исследования;</w:t>
      </w:r>
    </w:p>
    <w:bookmarkEnd w:id="515"/>
    <w:bookmarkStart w:name="z523" w:id="516"/>
    <w:p>
      <w:pPr>
        <w:spacing w:after="0"/>
        <w:ind w:left="0"/>
        <w:jc w:val="both"/>
      </w:pPr>
      <w:r>
        <w:rPr>
          <w:rFonts w:ascii="Times New Roman"/>
          <w:b w:val="false"/>
          <w:i w:val="false"/>
          <w:color w:val="000000"/>
          <w:sz w:val="28"/>
        </w:rPr>
        <w:t>
      9) журналы учета, лабораторные журналы, документы, рабочие таблицы, распечатки сохраненных в компьютере данных; в соответствующих случаях поверочные расчеты;</w:t>
      </w:r>
    </w:p>
    <w:bookmarkEnd w:id="516"/>
    <w:bookmarkStart w:name="z524" w:id="517"/>
    <w:p>
      <w:pPr>
        <w:spacing w:after="0"/>
        <w:ind w:left="0"/>
        <w:jc w:val="both"/>
      </w:pPr>
      <w:r>
        <w:rPr>
          <w:rFonts w:ascii="Times New Roman"/>
          <w:b w:val="false"/>
          <w:i w:val="false"/>
          <w:color w:val="000000"/>
          <w:sz w:val="28"/>
        </w:rPr>
        <w:t>
      10) заключительный отчет;</w:t>
      </w:r>
    </w:p>
    <w:bookmarkEnd w:id="517"/>
    <w:bookmarkStart w:name="z525" w:id="518"/>
    <w:p>
      <w:pPr>
        <w:spacing w:after="0"/>
        <w:ind w:left="0"/>
        <w:jc w:val="both"/>
      </w:pPr>
      <w:r>
        <w:rPr>
          <w:rFonts w:ascii="Times New Roman"/>
          <w:b w:val="false"/>
          <w:i w:val="false"/>
          <w:color w:val="000000"/>
          <w:sz w:val="28"/>
        </w:rPr>
        <w:t>
      11) если в исследованиях использовались, инспекторам зарегистрирует определенное количество отдельных животных с момента их прибытия в испытательную лабораторию до аутопсии. Инспектора обращает внимание на следующие записи: масса тела животных, прием пищи, воды, дозирование и введение препаратов, клинические наблюдения и результаты аутопсии, клиническая химия; патология.</w:t>
      </w:r>
    </w:p>
    <w:bookmarkEnd w:id="518"/>
    <w:bookmarkStart w:name="z526" w:id="519"/>
    <w:p>
      <w:pPr>
        <w:spacing w:after="0"/>
        <w:ind w:left="0"/>
        <w:jc w:val="both"/>
      </w:pPr>
      <w:r>
        <w:rPr>
          <w:rFonts w:ascii="Times New Roman"/>
          <w:b w:val="false"/>
          <w:i w:val="false"/>
          <w:color w:val="000000"/>
          <w:sz w:val="28"/>
        </w:rPr>
        <w:t>
      117. После окончания инспекции испытательной лаборатории или аудита исследования инспектор готовится к обсуждению результатов с представителями испытательной лаборатории на заключительной конференции и подготавливает заключительный отчет (отчет о проведенной инспекции).</w:t>
      </w:r>
    </w:p>
    <w:bookmarkEnd w:id="519"/>
    <w:bookmarkStart w:name="z527" w:id="520"/>
    <w:p>
      <w:pPr>
        <w:spacing w:after="0"/>
        <w:ind w:left="0"/>
        <w:jc w:val="both"/>
      </w:pPr>
      <w:r>
        <w:rPr>
          <w:rFonts w:ascii="Times New Roman"/>
          <w:b w:val="false"/>
          <w:i w:val="false"/>
          <w:color w:val="000000"/>
          <w:sz w:val="28"/>
        </w:rPr>
        <w:t>
      118. При обнаружении незначительных отклонений, в частности при инспекции крупной испытательной лаборатории, от требований принципов Стандарта, которые не оказывают серьезного влияния на достоверность исследований, проводимых в этой испытательной лаборатории. В таких случаях инспектор в отчете сообщает о том, что испытательная лаборатория работает согласно критериям Стандарта. Тем не менее, детали незначительных несоответствий или мелких погрешностей предоставляются руководству испытательной лаборатории. Руководство дает гарантии о принятии соответствующих мер по их устранению. Инспектор посещает испытательную лабораторию через заранее оговоренный период времени и проверяет принятие соответствующих мер.</w:t>
      </w:r>
    </w:p>
    <w:bookmarkEnd w:id="520"/>
    <w:bookmarkStart w:name="z528" w:id="521"/>
    <w:p>
      <w:pPr>
        <w:spacing w:after="0"/>
        <w:ind w:left="0"/>
        <w:jc w:val="both"/>
      </w:pPr>
      <w:r>
        <w:rPr>
          <w:rFonts w:ascii="Times New Roman"/>
          <w:b w:val="false"/>
          <w:i w:val="false"/>
          <w:color w:val="000000"/>
          <w:sz w:val="28"/>
        </w:rPr>
        <w:t>
      119. Если в течение инспекции испытательной лаборатории или аудита исследования обнаружены серьезные отклонения от принципов Стандарта, которые, по мнению инспектора, влияют на достоверность исследования или на другие исследования, проводимые в испытательной лаборатории, инспектор сообщает об этом в уполномоченный орган. Действия, предпринимаемые этим органом и (или) уполномоченным органом в зависимости от ситуации, будут зависеть от характера и объема несоответствия, а также от юридических и (или) административных положений в программе соблюдения Стандарта.</w:t>
      </w:r>
    </w:p>
    <w:bookmarkEnd w:id="521"/>
    <w:bookmarkStart w:name="z529" w:id="522"/>
    <w:p>
      <w:pPr>
        <w:spacing w:after="0"/>
        <w:ind w:left="0"/>
        <w:jc w:val="both"/>
      </w:pPr>
      <w:r>
        <w:rPr>
          <w:rFonts w:ascii="Times New Roman"/>
          <w:b w:val="false"/>
          <w:i w:val="false"/>
          <w:color w:val="000000"/>
          <w:sz w:val="28"/>
        </w:rPr>
        <w:t>
      120. Если аудит исследования проводился по запросу уполномоченного органа, нужно подготовить полный отчет о результатах и отправить в уполномоченный орган.</w:t>
      </w:r>
    </w:p>
    <w:bookmarkEnd w:id="522"/>
    <w:bookmarkStart w:name="z530" w:id="523"/>
    <w:p>
      <w:pPr>
        <w:spacing w:after="0"/>
        <w:ind w:left="0"/>
        <w:jc w:val="left"/>
      </w:pPr>
      <w:r>
        <w:rPr>
          <w:rFonts w:ascii="Times New Roman"/>
          <w:b/>
          <w:i w:val="false"/>
          <w:color w:val="000000"/>
        </w:rPr>
        <w:t xml:space="preserve"> Глава 9. Арбитражные процедуры</w:t>
      </w:r>
    </w:p>
    <w:bookmarkEnd w:id="523"/>
    <w:bookmarkStart w:name="z531" w:id="524"/>
    <w:p>
      <w:pPr>
        <w:spacing w:after="0"/>
        <w:ind w:left="0"/>
        <w:jc w:val="both"/>
      </w:pPr>
      <w:r>
        <w:rPr>
          <w:rFonts w:ascii="Times New Roman"/>
          <w:b w:val="false"/>
          <w:i w:val="false"/>
          <w:color w:val="000000"/>
          <w:sz w:val="28"/>
        </w:rPr>
        <w:t>
      121. Проблемы или разногласия во мнениях между инспекторами и руководством испытательной лаборатории разрешаются в ходе инспекции испытательной лаборатории или аудита исследований. Испытательная лаборатория заявляет протест против результатов инспекции испытательной лаборатории или аудита исследований на соответствие Стандарту и (или) в отношении действий в уполномоченный орган.</w:t>
      </w:r>
    </w:p>
    <w:bookmarkEnd w:id="524"/>
    <w:bookmarkStart w:name="z532" w:id="525"/>
    <w:p>
      <w:pPr>
        <w:spacing w:after="0"/>
        <w:ind w:left="0"/>
        <w:jc w:val="left"/>
      </w:pPr>
      <w:r>
        <w:rPr>
          <w:rFonts w:ascii="Times New Roman"/>
          <w:b/>
          <w:i w:val="false"/>
          <w:color w:val="000000"/>
        </w:rPr>
        <w:t xml:space="preserve"> Глава 10. Система управления обеспечением качества</w:t>
      </w:r>
    </w:p>
    <w:bookmarkEnd w:id="525"/>
    <w:bookmarkStart w:name="z533" w:id="526"/>
    <w:p>
      <w:pPr>
        <w:spacing w:after="0"/>
        <w:ind w:left="0"/>
        <w:jc w:val="both"/>
      </w:pPr>
      <w:r>
        <w:rPr>
          <w:rFonts w:ascii="Times New Roman"/>
          <w:b w:val="false"/>
          <w:i w:val="false"/>
          <w:color w:val="000000"/>
          <w:sz w:val="28"/>
        </w:rPr>
        <w:t>
      122. Руководство испытательной лаборатории отвечает за обеспечение работы испытательной лаборатории в целом в соответствии со Стандартом. Руководство при необходимости отвечает и делегирует обозначенные виды деятельности по контролю среднему звену руководства. Руководство отвечает за назначение и подбор соответствующего количества квалифицированного и опытного персонала, включая сотрудников для выполнения функций отдела обеспечения качества (далее - ОК).</w:t>
      </w:r>
    </w:p>
    <w:bookmarkEnd w:id="526"/>
    <w:bookmarkStart w:name="z534" w:id="527"/>
    <w:p>
      <w:pPr>
        <w:spacing w:after="0"/>
        <w:ind w:left="0"/>
        <w:jc w:val="both"/>
      </w:pPr>
      <w:r>
        <w:rPr>
          <w:rFonts w:ascii="Times New Roman"/>
          <w:b w:val="false"/>
          <w:i w:val="false"/>
          <w:color w:val="000000"/>
          <w:sz w:val="28"/>
        </w:rPr>
        <w:t>
      123. В функции руководителя входит назначение соответствующего квалифицированного персонала для выполнения независимой функции ОК. Делегирование функций ОК, связанных с выполнением Стандарта, не нарушает независимость функционирования отдела ОК и не приводит вовлечение персонала СОК в проведение исследования, кроме исполнения функции контроля. Лицо, отвечающее за ОК, имеет прямой доступ к разным уровням руководства, в частности к руководству испытательной лаборатории высшего уровня.</w:t>
      </w:r>
    </w:p>
    <w:bookmarkEnd w:id="527"/>
    <w:bookmarkStart w:name="z535" w:id="528"/>
    <w:p>
      <w:pPr>
        <w:spacing w:after="0"/>
        <w:ind w:left="0"/>
        <w:jc w:val="both"/>
      </w:pPr>
      <w:r>
        <w:rPr>
          <w:rFonts w:ascii="Times New Roman"/>
          <w:b w:val="false"/>
          <w:i w:val="false"/>
          <w:color w:val="000000"/>
          <w:sz w:val="28"/>
        </w:rPr>
        <w:t>
      124. Персонал отдела качества владеет соответствующими знаниями и имеет соответствующий опыт для исполнения своих функций. Сотрудники ознакомлены с процедурами исследований, стандартами и системами, используемыми в испытательной лаборатории или в ее интересах.</w:t>
      </w:r>
    </w:p>
    <w:bookmarkEnd w:id="528"/>
    <w:bookmarkStart w:name="z536" w:id="529"/>
    <w:p>
      <w:pPr>
        <w:spacing w:after="0"/>
        <w:ind w:left="0"/>
        <w:jc w:val="both"/>
      </w:pPr>
      <w:r>
        <w:rPr>
          <w:rFonts w:ascii="Times New Roman"/>
          <w:b w:val="false"/>
          <w:i w:val="false"/>
          <w:color w:val="000000"/>
          <w:sz w:val="28"/>
        </w:rPr>
        <w:t>
      125. Лицам, назначенных для исполнения функций ОК, нужно иметь представление об основных принципах контролируемых видов деятельности. Они также имеют четкое представление о Стандарте.</w:t>
      </w:r>
    </w:p>
    <w:bookmarkEnd w:id="529"/>
    <w:bookmarkStart w:name="z537" w:id="530"/>
    <w:p>
      <w:pPr>
        <w:spacing w:after="0"/>
        <w:ind w:left="0"/>
        <w:jc w:val="both"/>
      </w:pPr>
      <w:r>
        <w:rPr>
          <w:rFonts w:ascii="Times New Roman"/>
          <w:b w:val="false"/>
          <w:i w:val="false"/>
          <w:color w:val="000000"/>
          <w:sz w:val="28"/>
        </w:rPr>
        <w:t>
      126. В случае отсутствия специальных знаний или необходимости получения заключения еще одного лица рекомендуется обращение за экспертной помощью. Руководство обеспечивает наличие документально изложенной программы обучения, охватывающей все аспекты работы отдела ОК. При необходимости организовывается посещение внутренних и внешних семинаров и курсов. Рекомендуется обучение методам общения и улаживания конфликтов. Обучение проводится постоянно и подлежит периодической проверке.</w:t>
      </w:r>
    </w:p>
    <w:bookmarkEnd w:id="530"/>
    <w:bookmarkStart w:name="z538" w:id="531"/>
    <w:p>
      <w:pPr>
        <w:spacing w:after="0"/>
        <w:ind w:left="0"/>
        <w:jc w:val="both"/>
      </w:pPr>
      <w:r>
        <w:rPr>
          <w:rFonts w:ascii="Times New Roman"/>
          <w:b w:val="false"/>
          <w:i w:val="false"/>
          <w:color w:val="000000"/>
          <w:sz w:val="28"/>
        </w:rPr>
        <w:t>
      127. Обучение персонала ОК оформляется документально, а также оценивается их компетентность. Эти документы постоянно обновляется и сохраняется.</w:t>
      </w:r>
    </w:p>
    <w:bookmarkEnd w:id="531"/>
    <w:bookmarkStart w:name="z539" w:id="532"/>
    <w:p>
      <w:pPr>
        <w:spacing w:after="0"/>
        <w:ind w:left="0"/>
        <w:jc w:val="both"/>
      </w:pPr>
      <w:r>
        <w:rPr>
          <w:rFonts w:ascii="Times New Roman"/>
          <w:b w:val="false"/>
          <w:i w:val="false"/>
          <w:color w:val="000000"/>
          <w:sz w:val="28"/>
        </w:rPr>
        <w:t>
      128. Руководство отвечает за разработку, выпуск, распространение и сохранение СОП. Персонал ОК участвует в подготовке СОП, а также, в большей степени, проверяют СОП перед применением с целью оценки их ясности и соответствия принципам Стандарта.</w:t>
      </w:r>
    </w:p>
    <w:bookmarkEnd w:id="532"/>
    <w:bookmarkStart w:name="z540" w:id="533"/>
    <w:p>
      <w:pPr>
        <w:spacing w:after="0"/>
        <w:ind w:left="0"/>
        <w:jc w:val="both"/>
      </w:pPr>
      <w:r>
        <w:rPr>
          <w:rFonts w:ascii="Times New Roman"/>
          <w:b w:val="false"/>
          <w:i w:val="false"/>
          <w:color w:val="000000"/>
          <w:sz w:val="28"/>
        </w:rPr>
        <w:t>
      129. Руководство обеспечивает доступность протокола, плана, программы исследования персоналу ОК перед началом исследования, с целью:</w:t>
      </w:r>
    </w:p>
    <w:bookmarkEnd w:id="533"/>
    <w:bookmarkStart w:name="z541" w:id="534"/>
    <w:p>
      <w:pPr>
        <w:spacing w:after="0"/>
        <w:ind w:left="0"/>
        <w:jc w:val="both"/>
      </w:pPr>
      <w:r>
        <w:rPr>
          <w:rFonts w:ascii="Times New Roman"/>
          <w:b w:val="false"/>
          <w:i w:val="false"/>
          <w:color w:val="000000"/>
          <w:sz w:val="28"/>
        </w:rPr>
        <w:t>
      1) контроля соответствия протокола, плана, программы исследования принципам Стандарта;</w:t>
      </w:r>
    </w:p>
    <w:bookmarkEnd w:id="534"/>
    <w:bookmarkStart w:name="z542" w:id="535"/>
    <w:p>
      <w:pPr>
        <w:spacing w:after="0"/>
        <w:ind w:left="0"/>
        <w:jc w:val="both"/>
      </w:pPr>
      <w:r>
        <w:rPr>
          <w:rFonts w:ascii="Times New Roman"/>
          <w:b w:val="false"/>
          <w:i w:val="false"/>
          <w:color w:val="000000"/>
          <w:sz w:val="28"/>
        </w:rPr>
        <w:t>
      2) оценки согласованности протокола, плана, программы исследования;</w:t>
      </w:r>
    </w:p>
    <w:bookmarkEnd w:id="535"/>
    <w:bookmarkStart w:name="z543" w:id="536"/>
    <w:p>
      <w:pPr>
        <w:spacing w:after="0"/>
        <w:ind w:left="0"/>
        <w:jc w:val="both"/>
      </w:pPr>
      <w:r>
        <w:rPr>
          <w:rFonts w:ascii="Times New Roman"/>
          <w:b w:val="false"/>
          <w:i w:val="false"/>
          <w:color w:val="000000"/>
          <w:sz w:val="28"/>
        </w:rPr>
        <w:t>
      3) определения важных стадий исследования;</w:t>
      </w:r>
    </w:p>
    <w:bookmarkEnd w:id="536"/>
    <w:bookmarkStart w:name="z544" w:id="537"/>
    <w:p>
      <w:pPr>
        <w:spacing w:after="0"/>
        <w:ind w:left="0"/>
        <w:jc w:val="both"/>
      </w:pPr>
      <w:r>
        <w:rPr>
          <w:rFonts w:ascii="Times New Roman"/>
          <w:b w:val="false"/>
          <w:i w:val="false"/>
          <w:color w:val="000000"/>
          <w:sz w:val="28"/>
        </w:rPr>
        <w:t>
      4) планирования программы контроля в отношении исследования.</w:t>
      </w:r>
    </w:p>
    <w:bookmarkEnd w:id="537"/>
    <w:bookmarkStart w:name="z545" w:id="538"/>
    <w:p>
      <w:pPr>
        <w:spacing w:after="0"/>
        <w:ind w:left="0"/>
        <w:jc w:val="both"/>
      </w:pPr>
      <w:r>
        <w:rPr>
          <w:rFonts w:ascii="Times New Roman"/>
          <w:b w:val="false"/>
          <w:i w:val="false"/>
          <w:color w:val="000000"/>
          <w:sz w:val="28"/>
        </w:rPr>
        <w:t>
      130. После внесения изменений в протокол, план, программу исследования копии протокола, плана, программы передается в ОК для упрощения контроля исследования.</w:t>
      </w:r>
    </w:p>
    <w:bookmarkEnd w:id="538"/>
    <w:bookmarkStart w:name="z546" w:id="539"/>
    <w:p>
      <w:pPr>
        <w:spacing w:after="0"/>
        <w:ind w:left="0"/>
        <w:jc w:val="both"/>
      </w:pPr>
      <w:r>
        <w:rPr>
          <w:rFonts w:ascii="Times New Roman"/>
          <w:b w:val="false"/>
          <w:i w:val="false"/>
          <w:color w:val="000000"/>
          <w:sz w:val="28"/>
        </w:rPr>
        <w:t>
      131. Программы ОК основаны на следующих видах инспекций:</w:t>
      </w:r>
    </w:p>
    <w:bookmarkEnd w:id="539"/>
    <w:bookmarkStart w:name="z547" w:id="540"/>
    <w:p>
      <w:pPr>
        <w:spacing w:after="0"/>
        <w:ind w:left="0"/>
        <w:jc w:val="both"/>
      </w:pPr>
      <w:r>
        <w:rPr>
          <w:rFonts w:ascii="Times New Roman"/>
          <w:b w:val="false"/>
          <w:i w:val="false"/>
          <w:color w:val="000000"/>
          <w:sz w:val="28"/>
        </w:rPr>
        <w:t>
      1) инспекции исследований, включающие в себя инспекции, график проведения которых составлен согласно хронологии конкретного исследования и включает определение важных стадий исследования;</w:t>
      </w:r>
    </w:p>
    <w:bookmarkEnd w:id="540"/>
    <w:bookmarkStart w:name="z548" w:id="541"/>
    <w:p>
      <w:pPr>
        <w:spacing w:after="0"/>
        <w:ind w:left="0"/>
        <w:jc w:val="both"/>
      </w:pPr>
      <w:r>
        <w:rPr>
          <w:rFonts w:ascii="Times New Roman"/>
          <w:b w:val="false"/>
          <w:i w:val="false"/>
          <w:color w:val="000000"/>
          <w:sz w:val="28"/>
        </w:rPr>
        <w:t>
      2) инспекции испытательных лабораторий, включающие в себя инспекции, инспекции общего оборудования и видов деятельности в испытательной лаборатории (в том числе монтаж, вспомогательные службы, компьютерная система, обучение, мониторинг окружающей среды, эксплуатация, калибровка);</w:t>
      </w:r>
    </w:p>
    <w:bookmarkEnd w:id="541"/>
    <w:bookmarkStart w:name="z549" w:id="542"/>
    <w:p>
      <w:pPr>
        <w:spacing w:after="0"/>
        <w:ind w:left="0"/>
        <w:jc w:val="both"/>
      </w:pPr>
      <w:r>
        <w:rPr>
          <w:rFonts w:ascii="Times New Roman"/>
          <w:b w:val="false"/>
          <w:i w:val="false"/>
          <w:color w:val="000000"/>
          <w:sz w:val="28"/>
        </w:rPr>
        <w:t>
      3) инспекции процедур, проводящиеся независимо от конкретных исследований. Выполняются для контроля процедур или процессов повторяющегося характера и осуществляются на выборочной основе. Проводятся в тех случаях, когда один и тот же процесс в испытательной лаборатории осуществляется очень часто, вследствие чего проведение инспекций отдельных исследований считается неэффективным или нецелесообразным. Признается, что инспекции отдельных процессов в рамках конкретных этапов, осуществляемых очень часто, приводят к появлению некоторых исследований, не проверенных в индивидуальном порядке в ходе экспериментальных этапов.</w:t>
      </w:r>
    </w:p>
    <w:bookmarkEnd w:id="542"/>
    <w:bookmarkStart w:name="z550" w:id="543"/>
    <w:p>
      <w:pPr>
        <w:spacing w:after="0"/>
        <w:ind w:left="0"/>
        <w:jc w:val="both"/>
      </w:pPr>
      <w:r>
        <w:rPr>
          <w:rFonts w:ascii="Times New Roman"/>
          <w:b w:val="false"/>
          <w:i w:val="false"/>
          <w:color w:val="000000"/>
          <w:sz w:val="28"/>
        </w:rPr>
        <w:t>
      132. Работа персонала ОК и процедуры планирования в отношении проведения, документирования и подготовки отчетов об инспекциях описаны в СОП. Следует вести учет запланированных и текущих исследований. ОК имеет доступ к последнему обновленному варианту основного графика. Такой учет нужен для планирования видов деятельности ОК и оценки ОК в испытательной лаборатории.</w:t>
      </w:r>
    </w:p>
    <w:bookmarkEnd w:id="543"/>
    <w:bookmarkStart w:name="z551" w:id="544"/>
    <w:p>
      <w:pPr>
        <w:spacing w:after="0"/>
        <w:ind w:left="0"/>
        <w:jc w:val="both"/>
      </w:pPr>
      <w:r>
        <w:rPr>
          <w:rFonts w:ascii="Times New Roman"/>
          <w:b w:val="false"/>
          <w:i w:val="false"/>
          <w:color w:val="000000"/>
          <w:sz w:val="28"/>
        </w:rPr>
        <w:t>
      133. Программа ОК с инспекциями и аудитами подлежит проверке в отношении организации и управления. Как персонал, так и руководство делают обоснование выбора методов, выбранных для исполнения своей работы.</w:t>
      </w:r>
    </w:p>
    <w:bookmarkEnd w:id="544"/>
    <w:bookmarkStart w:name="z552" w:id="545"/>
    <w:p>
      <w:pPr>
        <w:spacing w:after="0"/>
        <w:ind w:left="0"/>
        <w:jc w:val="both"/>
      </w:pPr>
      <w:r>
        <w:rPr>
          <w:rFonts w:ascii="Times New Roman"/>
          <w:b w:val="false"/>
          <w:i w:val="false"/>
          <w:color w:val="000000"/>
          <w:sz w:val="28"/>
        </w:rPr>
        <w:t>
      134. Уполномоченный орган при надобности запрашивает информацию о видах инспекций и датах их проведения, включая стадию инспектируемого исследования. Содержание отчетов о проведении инспекций СОК не рассматривается органом по контролю соблюдения Стандарта, для исключения препятствованию СОК в подготовке отчетов об инспекции. Уполномоченный орган периодически запрашивает доступ к содержанию отчетов об инспекциях, чтобы проверить надлежащее функционирование ОК. Уполномоченный органом не используются такие отчеты как способ установления недостатков в проведенных исследованиях.</w:t>
      </w:r>
    </w:p>
    <w:bookmarkEnd w:id="545"/>
    <w:bookmarkStart w:name="z553" w:id="546"/>
    <w:p>
      <w:pPr>
        <w:spacing w:after="0"/>
        <w:ind w:left="0"/>
        <w:jc w:val="both"/>
      </w:pPr>
      <w:r>
        <w:rPr>
          <w:rFonts w:ascii="Times New Roman"/>
          <w:b w:val="false"/>
          <w:i w:val="false"/>
          <w:color w:val="000000"/>
          <w:sz w:val="28"/>
        </w:rPr>
        <w:t>
      135. Аудит исходных данных исследования ОК проводится разными способами. Отдел ОК при надобности проверяет документы в ходе экспериментальных этапов исследования, инспекций процесса или в ходе аудита заключительных отчетов. Руководство обеспечивает, чтобы все заключительные отчеты, в отношении которых заявлено соответствие Стандартам, были проверены ОК. Такой аудит проводится на заключительной стадии подготовки проекта отчета, когда все исходные данные собраны и не планируется вносить никаких изменений.</w:t>
      </w:r>
    </w:p>
    <w:bookmarkEnd w:id="546"/>
    <w:bookmarkStart w:name="z554" w:id="547"/>
    <w:p>
      <w:pPr>
        <w:spacing w:after="0"/>
        <w:ind w:left="0"/>
        <w:jc w:val="both"/>
      </w:pPr>
      <w:r>
        <w:rPr>
          <w:rFonts w:ascii="Times New Roman"/>
          <w:b w:val="false"/>
          <w:i w:val="false"/>
          <w:color w:val="000000"/>
          <w:sz w:val="28"/>
        </w:rPr>
        <w:t>
      136. Целью аудита заключительного отчета является определение того, что:</w:t>
      </w:r>
    </w:p>
    <w:bookmarkEnd w:id="547"/>
    <w:bookmarkStart w:name="z555" w:id="548"/>
    <w:p>
      <w:pPr>
        <w:spacing w:after="0"/>
        <w:ind w:left="0"/>
        <w:jc w:val="both"/>
      </w:pPr>
      <w:r>
        <w:rPr>
          <w:rFonts w:ascii="Times New Roman"/>
          <w:b w:val="false"/>
          <w:i w:val="false"/>
          <w:color w:val="000000"/>
          <w:sz w:val="28"/>
        </w:rPr>
        <w:t>
      1) исследование было проведено в соответствии с протоколом, планом, программой исследования и СОП;</w:t>
      </w:r>
    </w:p>
    <w:bookmarkEnd w:id="548"/>
    <w:bookmarkStart w:name="z556" w:id="549"/>
    <w:p>
      <w:pPr>
        <w:spacing w:after="0"/>
        <w:ind w:left="0"/>
        <w:jc w:val="both"/>
      </w:pPr>
      <w:r>
        <w:rPr>
          <w:rFonts w:ascii="Times New Roman"/>
          <w:b w:val="false"/>
          <w:i w:val="false"/>
          <w:color w:val="000000"/>
          <w:sz w:val="28"/>
        </w:rPr>
        <w:t>
      2) исследование было точным и полным образом отражено в отчете;</w:t>
      </w:r>
    </w:p>
    <w:bookmarkEnd w:id="549"/>
    <w:bookmarkStart w:name="z557" w:id="550"/>
    <w:p>
      <w:pPr>
        <w:spacing w:after="0"/>
        <w:ind w:left="0"/>
        <w:jc w:val="both"/>
      </w:pPr>
      <w:r>
        <w:rPr>
          <w:rFonts w:ascii="Times New Roman"/>
          <w:b w:val="false"/>
          <w:i w:val="false"/>
          <w:color w:val="000000"/>
          <w:sz w:val="28"/>
        </w:rPr>
        <w:t>
      3) отчет содержит все элементы, требуемые Стандартом;</w:t>
      </w:r>
    </w:p>
    <w:bookmarkEnd w:id="550"/>
    <w:bookmarkStart w:name="z558" w:id="551"/>
    <w:p>
      <w:pPr>
        <w:spacing w:after="0"/>
        <w:ind w:left="0"/>
        <w:jc w:val="both"/>
      </w:pPr>
      <w:r>
        <w:rPr>
          <w:rFonts w:ascii="Times New Roman"/>
          <w:b w:val="false"/>
          <w:i w:val="false"/>
          <w:color w:val="000000"/>
          <w:sz w:val="28"/>
        </w:rPr>
        <w:t>
      4) отчет характеризуется последовательностью и внутренней непротиворечивостью;</w:t>
      </w:r>
    </w:p>
    <w:bookmarkEnd w:id="551"/>
    <w:bookmarkStart w:name="z559" w:id="552"/>
    <w:p>
      <w:pPr>
        <w:spacing w:after="0"/>
        <w:ind w:left="0"/>
        <w:jc w:val="both"/>
      </w:pPr>
      <w:r>
        <w:rPr>
          <w:rFonts w:ascii="Times New Roman"/>
          <w:b w:val="false"/>
          <w:i w:val="false"/>
          <w:color w:val="000000"/>
          <w:sz w:val="28"/>
        </w:rPr>
        <w:t>
      5) первичные данные собраны полностью и в соответствии с требованиями Стандарта.</w:t>
      </w:r>
    </w:p>
    <w:bookmarkEnd w:id="552"/>
    <w:bookmarkStart w:name="z560" w:id="553"/>
    <w:p>
      <w:pPr>
        <w:spacing w:after="0"/>
        <w:ind w:left="0"/>
        <w:jc w:val="both"/>
      </w:pPr>
      <w:r>
        <w:rPr>
          <w:rFonts w:ascii="Times New Roman"/>
          <w:b w:val="false"/>
          <w:i w:val="false"/>
          <w:color w:val="000000"/>
          <w:sz w:val="28"/>
        </w:rPr>
        <w:t>
      137. Сотрудникам СОК рекомендуется составлять заключительный отчет об аудите максимально подробно для того, чтобы была возможность реконструировать аудит. Устанавливаются процедуры, в соответствии с которыми ОК будет узнавать обо всех дополнениях и изменениях в протоколе, плане, программе исследования и отчете в ходе этапа аудита.</w:t>
      </w:r>
    </w:p>
    <w:bookmarkEnd w:id="553"/>
    <w:bookmarkStart w:name="z561" w:id="554"/>
    <w:p>
      <w:pPr>
        <w:spacing w:after="0"/>
        <w:ind w:left="0"/>
        <w:jc w:val="both"/>
      </w:pPr>
      <w:r>
        <w:rPr>
          <w:rFonts w:ascii="Times New Roman"/>
          <w:b w:val="false"/>
          <w:i w:val="false"/>
          <w:color w:val="000000"/>
          <w:sz w:val="28"/>
        </w:rPr>
        <w:t>
      138. Перед подписанием заключения, ОК контролирует, чтобы все проблемные вопросы, затронутые в ходе аудита ОК, были соответствующим образом рассмотрены в заключительном отчете, все согласованные действия были выполнены, и чтобы никаких изменений, требующих дополнительного аудита, не было внесено в отчет.</w:t>
      </w:r>
    </w:p>
    <w:bookmarkEnd w:id="554"/>
    <w:bookmarkStart w:name="z562" w:id="555"/>
    <w:p>
      <w:pPr>
        <w:spacing w:after="0"/>
        <w:ind w:left="0"/>
        <w:jc w:val="both"/>
      </w:pPr>
      <w:r>
        <w:rPr>
          <w:rFonts w:ascii="Times New Roman"/>
          <w:b w:val="false"/>
          <w:i w:val="false"/>
          <w:color w:val="000000"/>
          <w:sz w:val="28"/>
        </w:rPr>
        <w:t>
      139. Любые исправления или дополнения завершенного заключительного отчета могут стать объектом аудита со стороны СОК, после чего будет нужно предоставить пересмотренное или дополнительное заключение СОК.</w:t>
      </w:r>
    </w:p>
    <w:bookmarkEnd w:id="555"/>
    <w:bookmarkStart w:name="z563" w:id="556"/>
    <w:p>
      <w:pPr>
        <w:spacing w:after="0"/>
        <w:ind w:left="0"/>
        <w:jc w:val="both"/>
      </w:pPr>
      <w:r>
        <w:rPr>
          <w:rFonts w:ascii="Times New Roman"/>
          <w:b w:val="false"/>
          <w:i w:val="false"/>
          <w:color w:val="000000"/>
          <w:sz w:val="28"/>
        </w:rPr>
        <w:t>
      140. Подписанное заключение об обеспечении качества включается в заключительный отчет, в котором указаны виды инспекций и даты их проведения, даты сообщения результатов инспекции руководству, руководителю исследования и, когда применимо, ведущему исследователю. В функции руководства входит проведение процедур, гарантирующих, что заключение, выданное отделом ОК согласуется с заявлением руководителя исследования о соблюдении Стандарта и соответствует выданному заключительному отчету об исследовании.</w:t>
      </w:r>
    </w:p>
    <w:bookmarkEnd w:id="556"/>
    <w:bookmarkStart w:name="z564" w:id="557"/>
    <w:p>
      <w:pPr>
        <w:spacing w:after="0"/>
        <w:ind w:left="0"/>
        <w:jc w:val="both"/>
      </w:pPr>
      <w:r>
        <w:rPr>
          <w:rFonts w:ascii="Times New Roman"/>
          <w:b w:val="false"/>
          <w:i w:val="false"/>
          <w:color w:val="000000"/>
          <w:sz w:val="28"/>
        </w:rPr>
        <w:t>
      141. Формат заключения ОК соответствует структуре отчета. Следует, чтобы заключение содержало полное название исследования, даты и стадии соответствующих видов контроля ОК. В случаях, когда инспекции отдельных исследований не являются частью запланированной программы обеспечения качества, обязательно наличие заключения, подробно описывающего контролирующие инспекции при краткосрочных исследованиях, когда повторяющиеся инспекции каждого исследования неэффективны или непрактичны.</w:t>
      </w:r>
    </w:p>
    <w:bookmarkEnd w:id="557"/>
    <w:bookmarkStart w:name="z565" w:id="558"/>
    <w:p>
      <w:pPr>
        <w:spacing w:after="0"/>
        <w:ind w:left="0"/>
        <w:jc w:val="both"/>
      </w:pPr>
      <w:r>
        <w:rPr>
          <w:rFonts w:ascii="Times New Roman"/>
          <w:b w:val="false"/>
          <w:i w:val="false"/>
          <w:color w:val="000000"/>
          <w:sz w:val="28"/>
        </w:rPr>
        <w:t>
      142. Рекомендуется, чтобы заключение СОК было завершено только тогда, когда будет подтверждено заявление руководителя исследования о соответствии Стандарту. Заключение СОК также подтверждает факт, что в заключительном отчете отражены первичные данные. За руководителем исследования остается обеспечение того, чтобы в заключительном отчете были выделены области исследования, не соответствующие Стандарту.</w:t>
      </w:r>
    </w:p>
    <w:bookmarkEnd w:id="558"/>
    <w:bookmarkStart w:name="z566" w:id="559"/>
    <w:p>
      <w:pPr>
        <w:spacing w:after="0"/>
        <w:ind w:left="0"/>
        <w:jc w:val="both"/>
      </w:pPr>
      <w:r>
        <w:rPr>
          <w:rFonts w:ascii="Times New Roman"/>
          <w:b w:val="false"/>
          <w:i w:val="false"/>
          <w:color w:val="000000"/>
          <w:sz w:val="28"/>
        </w:rPr>
        <w:t>
      143. Соответствие Стандарту является нормативным требованием для одобрения доклинических (неклинических) исследований. Некоторые испытательные лаборатории проводят на одной площадке исследования, которые предназначены и не предназначены для предоставления в уполномоченный орган. Если исследования, не предназначенные для предоставления в уполномоченный орган, проводятся не в соответствии с Стандартом, что негативно влияет на соответствие Стандарту исследований, регулируемых нормативными требованиями.</w:t>
      </w:r>
    </w:p>
    <w:bookmarkEnd w:id="559"/>
    <w:bookmarkStart w:name="z567" w:id="560"/>
    <w:p>
      <w:pPr>
        <w:spacing w:after="0"/>
        <w:ind w:left="0"/>
        <w:jc w:val="both"/>
      </w:pPr>
      <w:r>
        <w:rPr>
          <w:rFonts w:ascii="Times New Roman"/>
          <w:b w:val="false"/>
          <w:i w:val="false"/>
          <w:color w:val="000000"/>
          <w:sz w:val="28"/>
        </w:rPr>
        <w:t>
      144. В списках исследований, проводимых ОК, обозначаются как регулируемые, так и не регулируемые нормативными требованиями исследования, чтобы позволить провести надлежащую оценку рабочей нагрузки, пригодность испытательных лабораторий и возможное взаимное влияние в процессе проведения испытаний. Для выполнения данной задачи СОК владеет доступом к актуализированному экземпляру основного плана-графика. Является неприемлемым заявлять о соответствии принципам Стандарта уже начатого исследования, не соответствующего требованиям принципам Стандарта. Если проведение исследования, обозначенного в качестве соответствующего принципам Стандарта, продолжается как исследование, не соответствующее Стандарту, это четко документально оформляется.</w:t>
      </w:r>
    </w:p>
    <w:bookmarkEnd w:id="560"/>
    <w:bookmarkStart w:name="z568" w:id="561"/>
    <w:p>
      <w:pPr>
        <w:spacing w:after="0"/>
        <w:ind w:left="0"/>
        <w:jc w:val="both"/>
      </w:pPr>
      <w:r>
        <w:rPr>
          <w:rFonts w:ascii="Times New Roman"/>
          <w:b w:val="false"/>
          <w:i w:val="false"/>
          <w:color w:val="000000"/>
          <w:sz w:val="28"/>
        </w:rPr>
        <w:t>
      145. В небольших испытательных лабораториях в случае непрактичности содержания персонала, предназначенного исключительно для ОК. Руководство назначает не менее одного сотрудника, с постоянного или частичной занятостью, отвечающего за координацию ОК. Продолжительная работа персонала ОК нужна для накопления опыта и обеспечения непротиворечивой интерпретации данных ОК. Сотрудники, принимающие участие в исследованиях, соответствующих Стандарту, выполняют функции ОК в отношении доклинических (неклинических) исследований, проводимых в других отделах испытательной лаборатории. Персонал, не являющийся штатным сотрудником испытательной лаборатории, выполняют функции ОК, если обеспечена соответствующая эффективность, требуемая для соответствия Стандарту.</w:t>
      </w:r>
    </w:p>
    <w:bookmarkEnd w:id="561"/>
    <w:bookmarkStart w:name="z569" w:id="562"/>
    <w:p>
      <w:pPr>
        <w:spacing w:after="0"/>
        <w:ind w:left="0"/>
        <w:jc w:val="both"/>
      </w:pPr>
      <w:r>
        <w:rPr>
          <w:rFonts w:ascii="Times New Roman"/>
          <w:b w:val="false"/>
          <w:i w:val="false"/>
          <w:color w:val="000000"/>
          <w:sz w:val="28"/>
        </w:rPr>
        <w:t>
      146. Данная информация при необходимости дополнительно применяется к многоцентровым исследованиям, при условии четкого определения общей координации.</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571" w:id="563"/>
    <w:p>
      <w:pPr>
        <w:spacing w:after="0"/>
        <w:ind w:left="0"/>
        <w:jc w:val="left"/>
      </w:pPr>
      <w:r>
        <w:rPr>
          <w:rFonts w:ascii="Times New Roman"/>
          <w:b/>
          <w:i w:val="false"/>
          <w:color w:val="000000"/>
        </w:rPr>
        <w:t xml:space="preserve"> Руководство по применению Стандарта в краткосрочных Исследованиях</w:t>
      </w:r>
    </w:p>
    <w:bookmarkEnd w:id="563"/>
    <w:bookmarkStart w:name="z572" w:id="564"/>
    <w:p>
      <w:pPr>
        <w:spacing w:after="0"/>
        <w:ind w:left="0"/>
        <w:jc w:val="both"/>
      </w:pPr>
      <w:r>
        <w:rPr>
          <w:rFonts w:ascii="Times New Roman"/>
          <w:b w:val="false"/>
          <w:i w:val="false"/>
          <w:color w:val="000000"/>
          <w:sz w:val="28"/>
        </w:rPr>
        <w:t>
      1. Общие положения:</w:t>
      </w:r>
    </w:p>
    <w:bookmarkEnd w:id="564"/>
    <w:bookmarkStart w:name="z573" w:id="565"/>
    <w:p>
      <w:pPr>
        <w:spacing w:after="0"/>
        <w:ind w:left="0"/>
        <w:jc w:val="both"/>
      </w:pPr>
      <w:r>
        <w:rPr>
          <w:rFonts w:ascii="Times New Roman"/>
          <w:b w:val="false"/>
          <w:i w:val="false"/>
          <w:color w:val="000000"/>
          <w:sz w:val="28"/>
        </w:rPr>
        <w:t>
      1) Стандарт является общими и не касается какого-либо конкретного вида анализа или порядка тестирования. В условиях действия принципов Стандарта краткосрочные исследования составляют отдельную проблему для уполномоченного органа за соблюдением установленных норм, базирующихся на существовании конкретных методов и технических приемов;</w:t>
      </w:r>
    </w:p>
    <w:bookmarkEnd w:id="565"/>
    <w:bookmarkStart w:name="z574" w:id="566"/>
    <w:p>
      <w:pPr>
        <w:spacing w:after="0"/>
        <w:ind w:left="0"/>
        <w:jc w:val="both"/>
      </w:pPr>
      <w:r>
        <w:rPr>
          <w:rFonts w:ascii="Times New Roman"/>
          <w:b w:val="false"/>
          <w:i w:val="false"/>
          <w:color w:val="000000"/>
          <w:sz w:val="28"/>
        </w:rPr>
        <w:t>
      2) краткосрочные биологические исследования включают изучение острой токсичности, ряд исследований мутагенности и исследования острой экотоксичности;</w:t>
      </w:r>
    </w:p>
    <w:bookmarkEnd w:id="566"/>
    <w:bookmarkStart w:name="z575" w:id="567"/>
    <w:p>
      <w:pPr>
        <w:spacing w:after="0"/>
        <w:ind w:left="0"/>
        <w:jc w:val="both"/>
      </w:pPr>
      <w:r>
        <w:rPr>
          <w:rFonts w:ascii="Times New Roman"/>
          <w:b w:val="false"/>
          <w:i w:val="false"/>
          <w:color w:val="000000"/>
          <w:sz w:val="28"/>
        </w:rPr>
        <w:t>
      3) физико-химическими исследованиями считаются те исследования, анализы и измерения, которые имеют малую продолжительность, задействуют широко используемые методики и дают легко воспроизводимые результаты, зачастую представленные в виде простых численных величин или словесных выражений;</w:t>
      </w:r>
    </w:p>
    <w:bookmarkEnd w:id="567"/>
    <w:bookmarkStart w:name="z576" w:id="568"/>
    <w:p>
      <w:pPr>
        <w:spacing w:after="0"/>
        <w:ind w:left="0"/>
        <w:jc w:val="both"/>
      </w:pPr>
      <w:r>
        <w:rPr>
          <w:rFonts w:ascii="Times New Roman"/>
          <w:b w:val="false"/>
          <w:i w:val="false"/>
          <w:color w:val="000000"/>
          <w:sz w:val="28"/>
        </w:rPr>
        <w:t xml:space="preserve">
      4) традиционные физико-химические исследования включают определение химических свойств, температуры плавления, упругости пара, коэффициента распределения, взрывчатых свойств и другие подобные исследования, для которых существуют инструкции по проведению тестов. </w:t>
      </w:r>
    </w:p>
    <w:bookmarkEnd w:id="568"/>
    <w:bookmarkStart w:name="z577" w:id="569"/>
    <w:p>
      <w:pPr>
        <w:spacing w:after="0"/>
        <w:ind w:left="0"/>
        <w:jc w:val="both"/>
      </w:pPr>
      <w:r>
        <w:rPr>
          <w:rFonts w:ascii="Times New Roman"/>
          <w:b w:val="false"/>
          <w:i w:val="false"/>
          <w:color w:val="000000"/>
          <w:sz w:val="28"/>
        </w:rPr>
        <w:t>
      2. Программа обеспечения качества:</w:t>
      </w:r>
    </w:p>
    <w:bookmarkEnd w:id="569"/>
    <w:bookmarkStart w:name="z578" w:id="570"/>
    <w:p>
      <w:pPr>
        <w:spacing w:after="0"/>
        <w:ind w:left="0"/>
        <w:jc w:val="both"/>
      </w:pPr>
      <w:r>
        <w:rPr>
          <w:rFonts w:ascii="Times New Roman"/>
          <w:b w:val="false"/>
          <w:i w:val="false"/>
          <w:color w:val="000000"/>
          <w:sz w:val="28"/>
        </w:rPr>
        <w:t>
      1) документальное оформление программы обеспечения качества включает описание пользы, полученной из инспекций исследования, испытательной лаборатории или процедур;</w:t>
      </w:r>
    </w:p>
    <w:bookmarkEnd w:id="570"/>
    <w:bookmarkStart w:name="z579" w:id="571"/>
    <w:p>
      <w:pPr>
        <w:spacing w:after="0"/>
        <w:ind w:left="0"/>
        <w:jc w:val="both"/>
      </w:pPr>
      <w:r>
        <w:rPr>
          <w:rFonts w:ascii="Times New Roman"/>
          <w:b w:val="false"/>
          <w:i w:val="false"/>
          <w:color w:val="000000"/>
          <w:sz w:val="28"/>
        </w:rPr>
        <w:t>
      2) инспекции исследований планируются в соответствии с хронологией данного исследования, с привязкой к первому шагу, определяющему основные фазы эксперимента;</w:t>
      </w:r>
    </w:p>
    <w:bookmarkEnd w:id="571"/>
    <w:bookmarkStart w:name="z580" w:id="572"/>
    <w:p>
      <w:pPr>
        <w:spacing w:after="0"/>
        <w:ind w:left="0"/>
        <w:jc w:val="both"/>
      </w:pPr>
      <w:r>
        <w:rPr>
          <w:rFonts w:ascii="Times New Roman"/>
          <w:b w:val="false"/>
          <w:i w:val="false"/>
          <w:color w:val="000000"/>
          <w:sz w:val="28"/>
        </w:rPr>
        <w:t>
      3) инспекции испытательных площадок не опираются на конкретные исследования, а охватывают производственные помещения и коммуникации, а также операции в пределах испытательной лаборатории (в том числе оборудование, вспомогательные службы, компьютерная система, специальная подготовка, экологический мониторинг, техническое обслуживание, калибровка);</w:t>
      </w:r>
    </w:p>
    <w:bookmarkEnd w:id="572"/>
    <w:bookmarkStart w:name="z581" w:id="573"/>
    <w:p>
      <w:pPr>
        <w:spacing w:after="0"/>
        <w:ind w:left="0"/>
        <w:jc w:val="both"/>
      </w:pPr>
      <w:r>
        <w:rPr>
          <w:rFonts w:ascii="Times New Roman"/>
          <w:b w:val="false"/>
          <w:i w:val="false"/>
          <w:color w:val="000000"/>
          <w:sz w:val="28"/>
        </w:rPr>
        <w:t>
      4) инспекции процессов также проводятся в независимости от конкретных исследований. Их выполняют с целью мониторинга операций и технологических процессов циклического характера и проводят в произвольном порядке. Данные инспекции имеют место, в случае если какая-либо операция очень часто повторяется в рамках испытательной лаборатории, в связи с чем проведение ориентированного на исследование контроля считается неэффективным или непрактичным. При организации ориентированных на технологию проверок, которые охватывают фазы с очень высокой частотой повторения, эмпирические этапы некоторых исследований могут отдельно не проверяться.</w:t>
      </w:r>
    </w:p>
    <w:bookmarkEnd w:id="573"/>
    <w:bookmarkStart w:name="z582" w:id="574"/>
    <w:p>
      <w:pPr>
        <w:spacing w:after="0"/>
        <w:ind w:left="0"/>
        <w:jc w:val="both"/>
      </w:pPr>
      <w:r>
        <w:rPr>
          <w:rFonts w:ascii="Times New Roman"/>
          <w:b w:val="false"/>
          <w:i w:val="false"/>
          <w:color w:val="000000"/>
          <w:sz w:val="28"/>
        </w:rPr>
        <w:t>
      3. Функции персонала по обеспечению качества:</w:t>
      </w:r>
    </w:p>
    <w:bookmarkEnd w:id="574"/>
    <w:bookmarkStart w:name="z583" w:id="575"/>
    <w:p>
      <w:pPr>
        <w:spacing w:after="0"/>
        <w:ind w:left="0"/>
        <w:jc w:val="both"/>
      </w:pPr>
      <w:r>
        <w:rPr>
          <w:rFonts w:ascii="Times New Roman"/>
          <w:b w:val="false"/>
          <w:i w:val="false"/>
          <w:color w:val="000000"/>
          <w:sz w:val="28"/>
        </w:rPr>
        <w:t>
      1) в связи с высокой повторяемостью и типовым характером определенных стандартных краткосрочных исследований в ходе эмпирической фазы исследования СОК отсутствует необходимость инспектировать по-отдельности каждое исследование. В данных обстоятельствах ориентированная на технологию программа контроля охватывает все виды исследований. В СОП обеспечения качества оговаривается периодичность таких инспекций, принимая во внимание численность, повторяемость и (или) сложность экспериментов, проводимых в данной лаборатории. Частота инспекций уточняется в соответствующих СОП обеспечения качества, и именно СОП гарантируют регулярность контроля всех процессов такого рода;</w:t>
      </w:r>
    </w:p>
    <w:bookmarkEnd w:id="575"/>
    <w:bookmarkStart w:name="z584" w:id="576"/>
    <w:p>
      <w:pPr>
        <w:spacing w:after="0"/>
        <w:ind w:left="0"/>
        <w:jc w:val="both"/>
      </w:pPr>
      <w:r>
        <w:rPr>
          <w:rFonts w:ascii="Times New Roman"/>
          <w:b w:val="false"/>
          <w:i w:val="false"/>
          <w:color w:val="000000"/>
          <w:sz w:val="28"/>
        </w:rPr>
        <w:t>
      2) если отсутствуют отдельные ориентированные на исследование инспекции, то в отчете об обеспечении качества четко описывается, когда и какие виды инспекций проводились. Докладная записка об обеспечении качества свидетельствует об аудите итогового отчета.</w:t>
      </w:r>
    </w:p>
    <w:bookmarkEnd w:id="576"/>
    <w:bookmarkStart w:name="z585" w:id="577"/>
    <w:p>
      <w:pPr>
        <w:spacing w:after="0"/>
        <w:ind w:left="0"/>
        <w:jc w:val="both"/>
      </w:pPr>
      <w:r>
        <w:rPr>
          <w:rFonts w:ascii="Times New Roman"/>
          <w:b w:val="false"/>
          <w:i w:val="false"/>
          <w:color w:val="000000"/>
          <w:sz w:val="28"/>
        </w:rPr>
        <w:t xml:space="preserve">
      4. Предметом стандартизации для биологических in vitro (ин витро) исследований является заражение испытательной системы. Испытательным лабораториям устанавливает материальную базу и процедуры, посредством которых такое вероятное загрязнение очевидно предотвращается и (или) контролируется. </w:t>
      </w:r>
    </w:p>
    <w:bookmarkEnd w:id="577"/>
    <w:bookmarkStart w:name="z586" w:id="578"/>
    <w:p>
      <w:pPr>
        <w:spacing w:after="0"/>
        <w:ind w:left="0"/>
        <w:jc w:val="both"/>
      </w:pPr>
      <w:r>
        <w:rPr>
          <w:rFonts w:ascii="Times New Roman"/>
          <w:b w:val="false"/>
          <w:i w:val="false"/>
          <w:color w:val="000000"/>
          <w:sz w:val="28"/>
        </w:rPr>
        <w:t>
      5. Оборудование подлежит периодической проверке на предмет длительно сохраняющейся точности количественного определения. Калибровочные стандарты считается объектами сравнения, но необязательно оставлять для хранения.</w:t>
      </w:r>
    </w:p>
    <w:bookmarkEnd w:id="578"/>
    <w:bookmarkStart w:name="z587" w:id="579"/>
    <w:p>
      <w:pPr>
        <w:spacing w:after="0"/>
        <w:ind w:left="0"/>
        <w:jc w:val="both"/>
      </w:pPr>
      <w:r>
        <w:rPr>
          <w:rFonts w:ascii="Times New Roman"/>
          <w:b w:val="false"/>
          <w:i w:val="false"/>
          <w:color w:val="000000"/>
          <w:sz w:val="28"/>
        </w:rPr>
        <w:t>
      6. Тест-системы:</w:t>
      </w:r>
    </w:p>
    <w:bookmarkEnd w:id="579"/>
    <w:bookmarkStart w:name="z588" w:id="580"/>
    <w:p>
      <w:pPr>
        <w:spacing w:after="0"/>
        <w:ind w:left="0"/>
        <w:jc w:val="both"/>
      </w:pPr>
      <w:r>
        <w:rPr>
          <w:rFonts w:ascii="Times New Roman"/>
          <w:b w:val="false"/>
          <w:i w:val="false"/>
          <w:color w:val="000000"/>
          <w:sz w:val="28"/>
        </w:rPr>
        <w:t>
      1) физическая, химическая - следует периодически проверять, чистить, ремонтировать и калибровать оборудование, применяемое в физических, химических исследованиях в соответствии с СОП;</w:t>
      </w:r>
    </w:p>
    <w:bookmarkEnd w:id="580"/>
    <w:bookmarkStart w:name="z589" w:id="581"/>
    <w:p>
      <w:pPr>
        <w:spacing w:after="0"/>
        <w:ind w:left="0"/>
        <w:jc w:val="both"/>
      </w:pPr>
      <w:r>
        <w:rPr>
          <w:rFonts w:ascii="Times New Roman"/>
          <w:b w:val="false"/>
          <w:i w:val="false"/>
          <w:color w:val="000000"/>
          <w:sz w:val="28"/>
        </w:rPr>
        <w:t>
      2) биологическая:</w:t>
      </w:r>
    </w:p>
    <w:bookmarkEnd w:id="581"/>
    <w:bookmarkStart w:name="z590" w:id="582"/>
    <w:p>
      <w:pPr>
        <w:spacing w:after="0"/>
        <w:ind w:left="0"/>
        <w:jc w:val="both"/>
      </w:pPr>
      <w:r>
        <w:rPr>
          <w:rFonts w:ascii="Times New Roman"/>
          <w:b w:val="false"/>
          <w:i w:val="false"/>
          <w:color w:val="000000"/>
          <w:sz w:val="28"/>
        </w:rPr>
        <w:t>
      1) для тестовых систем in vitro требуется вести отчетность для документального подтверждения роста, жизнеспособности и отсутствия заражения серий. Для исследований in vitro следует определить подлинность и зафиксировать происхождение, подштамм и режим обслуживания тест-системы;</w:t>
      </w:r>
    </w:p>
    <w:bookmarkEnd w:id="582"/>
    <w:bookmarkStart w:name="z591" w:id="583"/>
    <w:p>
      <w:pPr>
        <w:spacing w:after="0"/>
        <w:ind w:left="0"/>
        <w:jc w:val="both"/>
      </w:pPr>
      <w:r>
        <w:rPr>
          <w:rFonts w:ascii="Times New Roman"/>
          <w:b w:val="false"/>
          <w:i w:val="false"/>
          <w:color w:val="000000"/>
          <w:sz w:val="28"/>
        </w:rPr>
        <w:t>
      2) определение характеристик тестовой системы, в первую очередь для исследований in vitro. Основополагающим является обеспечение того, чтобы использовалась система тестирования, описанная в протоколе, плане, программе исследования и свободная от заражения;</w:t>
      </w:r>
    </w:p>
    <w:bookmarkEnd w:id="583"/>
    <w:bookmarkStart w:name="z592" w:id="584"/>
    <w:p>
      <w:pPr>
        <w:spacing w:after="0"/>
        <w:ind w:left="0"/>
        <w:jc w:val="both"/>
      </w:pPr>
      <w:r>
        <w:rPr>
          <w:rFonts w:ascii="Times New Roman"/>
          <w:b w:val="false"/>
          <w:i w:val="false"/>
          <w:color w:val="000000"/>
          <w:sz w:val="28"/>
        </w:rPr>
        <w:t>
      3) изоляция тест-систем. В случае с краткосрочными биологическими исследованиями не обязательно требовать обособления животных и растительных тестовых систем. В СОП испытательной лаборатории определяется принцип оценки состояния здоровья (прошлая информация о колонии и поставщике, наблюдения, серологический анализ) и последующие действия;</w:t>
      </w:r>
    </w:p>
    <w:bookmarkEnd w:id="584"/>
    <w:bookmarkStart w:name="z593" w:id="585"/>
    <w:p>
      <w:pPr>
        <w:spacing w:after="0"/>
        <w:ind w:left="0"/>
        <w:jc w:val="both"/>
      </w:pPr>
      <w:r>
        <w:rPr>
          <w:rFonts w:ascii="Times New Roman"/>
          <w:b w:val="false"/>
          <w:i w:val="false"/>
          <w:color w:val="000000"/>
          <w:sz w:val="28"/>
        </w:rPr>
        <w:t>
      4) контроль заражающих материалов в исследованиях in vitro. Надлежит предотвратить воздействие субстанций, которые мешают проведению анализа, на воду, лабораторную посуду и другое лабораторное оборудование. Чтобы выполнить данную задачу, в протокол, план, программу исследования следует включить контрольные группы. Кроме того, для осуществления этого задания применяется периодическое тестирование систем;</w:t>
      </w:r>
    </w:p>
    <w:bookmarkEnd w:id="585"/>
    <w:bookmarkStart w:name="z594" w:id="586"/>
    <w:p>
      <w:pPr>
        <w:spacing w:after="0"/>
        <w:ind w:left="0"/>
        <w:jc w:val="both"/>
      </w:pPr>
      <w:r>
        <w:rPr>
          <w:rFonts w:ascii="Times New Roman"/>
          <w:b w:val="false"/>
          <w:i w:val="false"/>
          <w:color w:val="000000"/>
          <w:sz w:val="28"/>
        </w:rPr>
        <w:t>
      5) описание свойств питательных сред. Типы сред, компоненты и номера партий сред (использование антибиотиков, сыворотки) документально подтверждаются. В СОП рассматривается подготовка и приемка таких сред;</w:t>
      </w:r>
    </w:p>
    <w:bookmarkEnd w:id="586"/>
    <w:bookmarkStart w:name="z595" w:id="587"/>
    <w:p>
      <w:pPr>
        <w:spacing w:after="0"/>
        <w:ind w:left="0"/>
        <w:jc w:val="both"/>
      </w:pPr>
      <w:r>
        <w:rPr>
          <w:rFonts w:ascii="Times New Roman"/>
          <w:b w:val="false"/>
          <w:i w:val="false"/>
          <w:color w:val="000000"/>
          <w:sz w:val="28"/>
        </w:rPr>
        <w:t>
      6) эксплуатация испытательной системы. В определенных обстоятельствах допускается повторное использование животных организмов или одновременное тестирование множественных испытуемых объектов на одном животном. Во всех этих случаях обеспечивается обязательное сохранение всей прошлой документации по предыдущему использованию животного организма, а в итоговом отчете делается ссылка на нее. При этом документально заверяется, что такие методы не препятствуют изучению исследуемого вещества.</w:t>
      </w:r>
    </w:p>
    <w:bookmarkEnd w:id="587"/>
    <w:bookmarkStart w:name="z596" w:id="588"/>
    <w:p>
      <w:pPr>
        <w:spacing w:after="0"/>
        <w:ind w:left="0"/>
        <w:jc w:val="both"/>
      </w:pPr>
      <w:r>
        <w:rPr>
          <w:rFonts w:ascii="Times New Roman"/>
          <w:b w:val="false"/>
          <w:i w:val="false"/>
          <w:color w:val="000000"/>
          <w:sz w:val="28"/>
        </w:rPr>
        <w:t>
      7. Исследуемые вещества (лекарственные средства) и образцы сравнения (контрольные образцы):</w:t>
      </w:r>
    </w:p>
    <w:bookmarkEnd w:id="588"/>
    <w:bookmarkStart w:name="z597" w:id="589"/>
    <w:p>
      <w:pPr>
        <w:spacing w:after="0"/>
        <w:ind w:left="0"/>
        <w:jc w:val="both"/>
      </w:pPr>
      <w:r>
        <w:rPr>
          <w:rFonts w:ascii="Times New Roman"/>
          <w:b w:val="false"/>
          <w:i w:val="false"/>
          <w:color w:val="000000"/>
          <w:sz w:val="28"/>
        </w:rPr>
        <w:t>
      1) предоставляются данные для адекватного составления спецификации в отношении каждой серии исследуемого вещества (лекарственного средства) и образца сравнения (контрольного образца). Если испытуемый объект находится на ранней стадии разработки, допускается выполнить аналитическое описание характеристик после проведения биологического исследования. Тем не менее, до даты начала исследования получает определенные сведения о химической структуре исследуемого вещества;</w:t>
      </w:r>
    </w:p>
    <w:bookmarkEnd w:id="589"/>
    <w:bookmarkStart w:name="z598" w:id="590"/>
    <w:p>
      <w:pPr>
        <w:spacing w:after="0"/>
        <w:ind w:left="0"/>
        <w:jc w:val="both"/>
      </w:pPr>
      <w:r>
        <w:rPr>
          <w:rFonts w:ascii="Times New Roman"/>
          <w:b w:val="false"/>
          <w:i w:val="false"/>
          <w:color w:val="000000"/>
          <w:sz w:val="28"/>
        </w:rPr>
        <w:t>
      2) рекомендуется в надлежащих случаях определить стабильность исследуемого и ссылочного объектов в условиях хранения;</w:t>
      </w:r>
    </w:p>
    <w:bookmarkEnd w:id="590"/>
    <w:bookmarkStart w:name="z599" w:id="591"/>
    <w:p>
      <w:pPr>
        <w:spacing w:after="0"/>
        <w:ind w:left="0"/>
        <w:jc w:val="both"/>
      </w:pPr>
      <w:r>
        <w:rPr>
          <w:rFonts w:ascii="Times New Roman"/>
          <w:b w:val="false"/>
          <w:i w:val="false"/>
          <w:color w:val="000000"/>
          <w:sz w:val="28"/>
        </w:rPr>
        <w:t>
      3) при отсутствии возможности параллельно выполнить подобные анализы для определенных краткосрочных биологических тестов, если промежуток времени между изготовлением и использованием обычно стабильной субстанции составляет несколько минут, требуется обоснование нецелесообразности определения устойчивости тестируемого изделия. По этим причинам очень важно указывать и одобрять в протоколе, плане, программе исследования аналитические требования, а также четко рассматривать их в итоговом отчете;</w:t>
      </w:r>
    </w:p>
    <w:bookmarkEnd w:id="591"/>
    <w:bookmarkStart w:name="z600" w:id="592"/>
    <w:p>
      <w:pPr>
        <w:spacing w:after="0"/>
        <w:ind w:left="0"/>
        <w:jc w:val="both"/>
      </w:pPr>
      <w:r>
        <w:rPr>
          <w:rFonts w:ascii="Times New Roman"/>
          <w:b w:val="false"/>
          <w:i w:val="false"/>
          <w:color w:val="000000"/>
          <w:sz w:val="28"/>
        </w:rPr>
        <w:t>
      4) в случае физико-химических исследований допустимо отсутствие данных, относящихся к подпунктам 4) и 5) пункта 41 параграфа 6 главы 3 настоящего Стандарта, если исследования проводятся с целью их получения.</w:t>
      </w:r>
    </w:p>
    <w:bookmarkEnd w:id="592"/>
    <w:bookmarkStart w:name="z601" w:id="593"/>
    <w:p>
      <w:pPr>
        <w:spacing w:after="0"/>
        <w:ind w:left="0"/>
        <w:jc w:val="both"/>
      </w:pPr>
      <w:r>
        <w:rPr>
          <w:rFonts w:ascii="Times New Roman"/>
          <w:b w:val="false"/>
          <w:i w:val="false"/>
          <w:color w:val="000000"/>
          <w:sz w:val="28"/>
        </w:rPr>
        <w:t>
      8. В функции руководства испытательной лаборатории входит контроль разработкой СОП для проводимых в лаборатории исследований.</w:t>
      </w:r>
    </w:p>
    <w:bookmarkEnd w:id="593"/>
    <w:bookmarkStart w:name="z602" w:id="594"/>
    <w:p>
      <w:pPr>
        <w:spacing w:after="0"/>
        <w:ind w:left="0"/>
        <w:jc w:val="both"/>
      </w:pPr>
      <w:r>
        <w:rPr>
          <w:rFonts w:ascii="Times New Roman"/>
          <w:b w:val="false"/>
          <w:i w:val="false"/>
          <w:color w:val="000000"/>
          <w:sz w:val="28"/>
        </w:rPr>
        <w:t>
      9. Проведение исследования:</w:t>
      </w:r>
    </w:p>
    <w:bookmarkEnd w:id="594"/>
    <w:bookmarkStart w:name="z603" w:id="595"/>
    <w:p>
      <w:pPr>
        <w:spacing w:after="0"/>
        <w:ind w:left="0"/>
        <w:jc w:val="both"/>
      </w:pPr>
      <w:r>
        <w:rPr>
          <w:rFonts w:ascii="Times New Roman"/>
          <w:b w:val="false"/>
          <w:i w:val="false"/>
          <w:color w:val="000000"/>
          <w:sz w:val="28"/>
        </w:rPr>
        <w:t>
      1) если конкретное краткосрочное исследование или серия подобных исследований регулярно проводится в рамках испытательной лаборатории, целесообразным является составление одного общего протокола, плана, программы исследования, содержащего большую часть основной информации, присутствие которой требуется. Информация заранее одобряется руководством испытательной лаборатории и руководителем исследования, отвечающим за подобные исследования, а также СОК;</w:t>
      </w:r>
    </w:p>
    <w:bookmarkEnd w:id="595"/>
    <w:bookmarkStart w:name="z604" w:id="596"/>
    <w:p>
      <w:pPr>
        <w:spacing w:after="0"/>
        <w:ind w:left="0"/>
        <w:jc w:val="both"/>
      </w:pPr>
      <w:r>
        <w:rPr>
          <w:rFonts w:ascii="Times New Roman"/>
          <w:b w:val="false"/>
          <w:i w:val="false"/>
          <w:color w:val="000000"/>
          <w:sz w:val="28"/>
        </w:rPr>
        <w:t>
      2) связанные с экспериментом приложения к таким протоколам, планам, программам (подробные данные по тестируемому объекту, эмпирической дате начала) представляется в виде дополнительного документа, который нуждается только в подписи уполномоченного руководителя исследования с датой. Этот объединенный документ - общий протокол, план, программа исследования и связанное с исследованием приложение - представляет собой протокол, план, программу исследования. Подобные дополнения важно незамедлительно представлять руководству испытательной лаборатории и сотрудникам по обеспечению качества.</w:t>
      </w:r>
    </w:p>
    <w:bookmarkEnd w:id="596"/>
    <w:bookmarkStart w:name="z605" w:id="597"/>
    <w:p>
      <w:pPr>
        <w:spacing w:after="0"/>
        <w:ind w:left="0"/>
        <w:jc w:val="both"/>
      </w:pPr>
      <w:r>
        <w:rPr>
          <w:rFonts w:ascii="Times New Roman"/>
          <w:b w:val="false"/>
          <w:i w:val="false"/>
          <w:color w:val="000000"/>
          <w:sz w:val="28"/>
        </w:rPr>
        <w:t>
      10. Содержание протокола, плана, программы исследования:</w:t>
      </w:r>
    </w:p>
    <w:bookmarkEnd w:id="597"/>
    <w:bookmarkStart w:name="z606" w:id="598"/>
    <w:p>
      <w:pPr>
        <w:spacing w:after="0"/>
        <w:ind w:left="0"/>
        <w:jc w:val="both"/>
      </w:pPr>
      <w:r>
        <w:rPr>
          <w:rFonts w:ascii="Times New Roman"/>
          <w:b w:val="false"/>
          <w:i w:val="false"/>
          <w:color w:val="000000"/>
          <w:sz w:val="28"/>
        </w:rPr>
        <w:t>
      1) содержание общего протокола, плана, программы исследования и связанного с ними приложения соответствует описанному в параграфе 2 главы 4 и параграфе 2 главы 5 настоящего Стандарта со следующими уточнениями;</w:t>
      </w:r>
    </w:p>
    <w:bookmarkEnd w:id="598"/>
    <w:bookmarkStart w:name="z607" w:id="599"/>
    <w:p>
      <w:pPr>
        <w:spacing w:after="0"/>
        <w:ind w:left="0"/>
        <w:jc w:val="both"/>
      </w:pPr>
      <w:r>
        <w:rPr>
          <w:rFonts w:ascii="Times New Roman"/>
          <w:b w:val="false"/>
          <w:i w:val="false"/>
          <w:color w:val="000000"/>
          <w:sz w:val="28"/>
        </w:rPr>
        <w:t>
      2) информация о характере и цели исследования не обязательна, если она содержится в описании дизайна;</w:t>
      </w:r>
    </w:p>
    <w:bookmarkEnd w:id="599"/>
    <w:bookmarkStart w:name="z608" w:id="600"/>
    <w:p>
      <w:pPr>
        <w:spacing w:after="0"/>
        <w:ind w:left="0"/>
        <w:jc w:val="both"/>
      </w:pPr>
      <w:r>
        <w:rPr>
          <w:rFonts w:ascii="Times New Roman"/>
          <w:b w:val="false"/>
          <w:i w:val="false"/>
          <w:color w:val="000000"/>
          <w:sz w:val="28"/>
        </w:rPr>
        <w:t>
      3) вопросы подпунктов 1)-4) пункта 59 параграфа 2 главы 4 настоящего Стандарта исключаются при физико-химических экспериментах;</w:t>
      </w:r>
    </w:p>
    <w:bookmarkEnd w:id="600"/>
    <w:bookmarkStart w:name="z609" w:id="601"/>
    <w:p>
      <w:pPr>
        <w:spacing w:after="0"/>
        <w:ind w:left="0"/>
        <w:jc w:val="both"/>
      </w:pPr>
      <w:r>
        <w:rPr>
          <w:rFonts w:ascii="Times New Roman"/>
          <w:b w:val="false"/>
          <w:i w:val="false"/>
          <w:color w:val="000000"/>
          <w:sz w:val="28"/>
        </w:rPr>
        <w:t>
      4) сведения по подпункту 5) пункта 59 параграфа 2 главы 4 настоящего Стандарта в целом возможно представление в краткой, обобщающей форме или со ссылкой на соответствующие СОП или руководства по тестированию.</w:t>
      </w:r>
    </w:p>
    <w:bookmarkEnd w:id="601"/>
    <w:bookmarkStart w:name="z610" w:id="602"/>
    <w:p>
      <w:pPr>
        <w:spacing w:after="0"/>
        <w:ind w:left="0"/>
        <w:jc w:val="both"/>
      </w:pPr>
      <w:r>
        <w:rPr>
          <w:rFonts w:ascii="Times New Roman"/>
          <w:b w:val="false"/>
          <w:i w:val="false"/>
          <w:color w:val="000000"/>
          <w:sz w:val="28"/>
        </w:rPr>
        <w:t>
      11. Если осуществляются краткосрочные эксперименты с использованием общих протоколов, планов, программ исследования, целесообразно составление "стандартизированных итоговых отчетов", содержащих большую часть нужной для подобных отчетов общей информации. Они заранее утверждаются руководством испытательной лаборатории, а также руководитель исследование, отвечает за проведение подобных исследований. В таких случаях издаются связанные с исследованием расширения к таким отчетам (указанием подробных сведений об исследуемом объекте и полученных количественных результатов) в качестве дополнительного акта, нуждающегося только в подписи руководителя исследования с датой. Не допускается использование "шаблонного итогового отчета", в случае если протокол, план, программа исследования изменяется или в нем делаются поправки до или во время проведения исследования, вносятся только соответствующие дополнения в "шаблонный итоговый отчет".</w:t>
      </w:r>
    </w:p>
    <w:bookmarkEnd w:id="602"/>
    <w:bookmarkStart w:name="z611" w:id="603"/>
    <w:p>
      <w:pPr>
        <w:spacing w:after="0"/>
        <w:ind w:left="0"/>
        <w:jc w:val="both"/>
      </w:pPr>
      <w:r>
        <w:rPr>
          <w:rFonts w:ascii="Times New Roman"/>
          <w:b w:val="false"/>
          <w:i w:val="false"/>
          <w:color w:val="000000"/>
          <w:sz w:val="28"/>
        </w:rPr>
        <w:t>
      Содержание итогового отчета:</w:t>
      </w:r>
    </w:p>
    <w:bookmarkEnd w:id="603"/>
    <w:bookmarkStart w:name="z612" w:id="604"/>
    <w:p>
      <w:pPr>
        <w:spacing w:after="0"/>
        <w:ind w:left="0"/>
        <w:jc w:val="both"/>
      </w:pPr>
      <w:r>
        <w:rPr>
          <w:rFonts w:ascii="Times New Roman"/>
          <w:b w:val="false"/>
          <w:i w:val="false"/>
          <w:color w:val="000000"/>
          <w:sz w:val="28"/>
        </w:rPr>
        <w:t>
      1) состав полного итогового отчета ("стандартного итогового отчета" и связанного с исследованием приложения) согласовывается с требованиями, описанными в параграфе 2 главы 5 настоящего Стандарта с возможными отступлениями, указанными далее:</w:t>
      </w:r>
    </w:p>
    <w:bookmarkEnd w:id="604"/>
    <w:bookmarkStart w:name="z613" w:id="605"/>
    <w:p>
      <w:pPr>
        <w:spacing w:after="0"/>
        <w:ind w:left="0"/>
        <w:jc w:val="both"/>
      </w:pPr>
      <w:r>
        <w:rPr>
          <w:rFonts w:ascii="Times New Roman"/>
          <w:b w:val="false"/>
          <w:i w:val="false"/>
          <w:color w:val="000000"/>
          <w:sz w:val="28"/>
        </w:rPr>
        <w:t>
      2) определение параметров исследуемого вещества (лекарственного вещества), включая чистоту, стабильность и однородность оказывается неактуальным, если исследование проводится для установления этих данных;</w:t>
      </w:r>
    </w:p>
    <w:bookmarkEnd w:id="605"/>
    <w:bookmarkStart w:name="z614" w:id="606"/>
    <w:p>
      <w:pPr>
        <w:spacing w:after="0"/>
        <w:ind w:left="0"/>
        <w:jc w:val="both"/>
      </w:pPr>
      <w:r>
        <w:rPr>
          <w:rFonts w:ascii="Times New Roman"/>
          <w:b w:val="false"/>
          <w:i w:val="false"/>
          <w:color w:val="000000"/>
          <w:sz w:val="28"/>
        </w:rPr>
        <w:t>
      3) при надобности требуется отразить проведение аудита процедур. В заключении по обеспечению качества надлежит ясно указать, что итоговый отчет подвергался аудиту.</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616" w:id="607"/>
    <w:p>
      <w:pPr>
        <w:spacing w:after="0"/>
        <w:ind w:left="0"/>
        <w:jc w:val="left"/>
      </w:pPr>
      <w:r>
        <w:rPr>
          <w:rFonts w:ascii="Times New Roman"/>
          <w:b/>
          <w:i w:val="false"/>
          <w:color w:val="000000"/>
        </w:rPr>
        <w:t xml:space="preserve"> Руководство по применению Стандарта для исследований in vitro (ин витро)</w:t>
      </w:r>
    </w:p>
    <w:bookmarkEnd w:id="607"/>
    <w:bookmarkStart w:name="z617" w:id="608"/>
    <w:p>
      <w:pPr>
        <w:spacing w:after="0"/>
        <w:ind w:left="0"/>
        <w:jc w:val="both"/>
      </w:pPr>
      <w:r>
        <w:rPr>
          <w:rFonts w:ascii="Times New Roman"/>
          <w:b w:val="false"/>
          <w:i w:val="false"/>
          <w:color w:val="000000"/>
          <w:sz w:val="28"/>
        </w:rPr>
        <w:t>
      1. Функции:</w:t>
      </w:r>
    </w:p>
    <w:bookmarkEnd w:id="608"/>
    <w:bookmarkStart w:name="z618" w:id="609"/>
    <w:p>
      <w:pPr>
        <w:spacing w:after="0"/>
        <w:ind w:left="0"/>
        <w:jc w:val="both"/>
      </w:pPr>
      <w:r>
        <w:rPr>
          <w:rFonts w:ascii="Times New Roman"/>
          <w:b w:val="false"/>
          <w:i w:val="false"/>
          <w:color w:val="000000"/>
          <w:sz w:val="28"/>
        </w:rPr>
        <w:t>
      1) функции руководства испытательной лаборатории применяется для исследований in vitro и in vivo (ин виво). Требования к руководству испытательной лаборатории по обеспечению наличия квалифицированного персонала и соответствующего оборудования и аппаратуры для своевременного и надлежащего проведения исследования. Руководство испытательной лаборатории гарантирует, что персонал точно понимает выполняемые им функции. Для исследований in vitro при необходимости проводится специального обучения асептическим процедурам и обращению с биологически опасными материалами. Для исследования in vitro при необходимости требуется наличие специальных зон и выполнение процедур для предотвращения загрязнения испытательной системы. Для некоторых исследований in vitro при необходимости требуется использование патентованных материалов или наборов для проведения исследования. Материалы, используемые в исследовании, соответствующем Стандарту, производятся и тестируются на соответствие с использованием надлежащей системы качества. таким образом, отвечает за их соответствие на изготовителя или поставщика, обязанность руководства испытательной лаборатории - подтвердить, что эти условия соответствующим образом выполнены путем оценивания деятельности, методик и политики поставщиков;</w:t>
      </w:r>
    </w:p>
    <w:bookmarkEnd w:id="609"/>
    <w:bookmarkStart w:name="z619" w:id="610"/>
    <w:p>
      <w:pPr>
        <w:spacing w:after="0"/>
        <w:ind w:left="0"/>
        <w:jc w:val="both"/>
      </w:pPr>
      <w:r>
        <w:rPr>
          <w:rFonts w:ascii="Times New Roman"/>
          <w:b w:val="false"/>
          <w:i w:val="false"/>
          <w:color w:val="000000"/>
          <w:sz w:val="28"/>
        </w:rPr>
        <w:t>
      2) общие функции руководителя исследования не зависят от типа исследования, а функции, перечисленные в стандартах, применяются и к исследованиям in vitro. Руководитель исследования продолжает являться центральным и единственным лицом в обеспечении контроля исследования и отвечает за общее проведение исследования и формирование отчета об исследовании;</w:t>
      </w:r>
    </w:p>
    <w:bookmarkEnd w:id="610"/>
    <w:bookmarkStart w:name="z620" w:id="611"/>
    <w:p>
      <w:pPr>
        <w:spacing w:after="0"/>
        <w:ind w:left="0"/>
        <w:jc w:val="both"/>
      </w:pPr>
      <w:r>
        <w:rPr>
          <w:rFonts w:ascii="Times New Roman"/>
          <w:b w:val="false"/>
          <w:i w:val="false"/>
          <w:color w:val="000000"/>
          <w:sz w:val="28"/>
        </w:rPr>
        <w:t>
      3) в исследованиях in vitro руководитель исследования уделяет особое внимание документальному оформлению обоснованности и характеристики тест-системы, деятельности, которая более сложная для осуществления в исследованиях in vitro. Использование определенных видов организмов обосновывается документированием таких характеристик, которые делают их подходящей моделью для оценки интересующих исследователя эффектов. Характеристика определенного животного осуществляется путем составления документа с указанием вида животного, штамма, субштамма, источника поставки, номера диапазона веса тела, пола и возраста;</w:t>
      </w:r>
    </w:p>
    <w:bookmarkEnd w:id="611"/>
    <w:bookmarkStart w:name="z621" w:id="612"/>
    <w:p>
      <w:pPr>
        <w:spacing w:after="0"/>
        <w:ind w:left="0"/>
        <w:jc w:val="both"/>
      </w:pPr>
      <w:r>
        <w:rPr>
          <w:rFonts w:ascii="Times New Roman"/>
          <w:b w:val="false"/>
          <w:i w:val="false"/>
          <w:color w:val="000000"/>
          <w:sz w:val="28"/>
        </w:rPr>
        <w:t>
      4) для обоснования выбора тест-системы руководитель исследования оформляет документ о том, что метод исследования был официально утвержден или является структурно, функционально и (или) механически сходным с официально утвержденным эталонным методом исследований. Перед использованием новых методов исследований, являющихся структурно, функционально и (или) механически сходными с официально утвержденным эталонным методом исследований, руководитель исследования предоставляет документальное подтверждение о том, что новый метод исследований имеет сопоставимую эффективность при оценке с помощью надлежащего образца сравнения (контрольного образца);</w:t>
      </w:r>
    </w:p>
    <w:bookmarkEnd w:id="612"/>
    <w:bookmarkStart w:name="z622" w:id="613"/>
    <w:p>
      <w:pPr>
        <w:spacing w:after="0"/>
        <w:ind w:left="0"/>
        <w:jc w:val="both"/>
      </w:pPr>
      <w:r>
        <w:rPr>
          <w:rFonts w:ascii="Times New Roman"/>
          <w:b w:val="false"/>
          <w:i w:val="false"/>
          <w:color w:val="000000"/>
          <w:sz w:val="28"/>
        </w:rPr>
        <w:t>
      5) документальное оформление характеристик систем in vitro является трудной задачей. Хотя руководитель исследования, с помощью поставщика, способен документировать некоторые характеристики тест-системы (линию клеток, возраст, пассажирование, происхождение), а также охарактеризовать испытательную систему, документально зафиксировав, что она обеспечивает нужную надежность при оценке с помощью надлежащего образца сравнения (контрольного образца), включая, при необходимости, объекты положительного, отрицательного контроля, необработанные контрольные объекты и (или) объекты контроля реактива. В особых случаях рассматривается использование патентованных материалов или наборов для проведения испытаний in vitro. Эффективность таких материалов или испытательных комплектов гарантируется поставщиком, производителем или патентообладателем, и руководство испытательной лаборатории отвечает за то, что поставщик соответствует критериям качества, как указано выше, проверяя деятельность, методики и политику продавца, только руководитель исследования отвечает за подтверждение того, что характеристики данных материалов или наборов действительно отвечают требованиям проведения исследования и что наборы для проведения испытания соответствующим образом валидированы и подходят для предназначенной цели применения. Так как качество и надежность этих материалов или испытательных комплектов напрямую влияют на качество и надежность результатов исследования, руководитель исследования тщательно изучает и критически оценивает полноту и приемлемость документации по контролю качества, предоставленной поставщиком. Руководитель исследования оценивает соответствие системы качества, используемой изготовителем, и имеет в наличии все документы, нужные для оценки пригодности испытательной системы для использования (результаты исследований характеристик).</w:t>
      </w:r>
    </w:p>
    <w:bookmarkEnd w:id="613"/>
    <w:bookmarkStart w:name="z623" w:id="614"/>
    <w:p>
      <w:pPr>
        <w:spacing w:after="0"/>
        <w:ind w:left="0"/>
        <w:jc w:val="both"/>
      </w:pPr>
      <w:r>
        <w:rPr>
          <w:rFonts w:ascii="Times New Roman"/>
          <w:b w:val="false"/>
          <w:i w:val="false"/>
          <w:color w:val="000000"/>
          <w:sz w:val="28"/>
        </w:rPr>
        <w:t>
      2. Персонал тщательно соблюдает требования к асептическим условиям, где они применяются, и осуществляет соответствующие процедуры при проведении исследований in vitro, чтобы избежать патогенного загрязнения испытательной системы. Аналогично, персонал применяет соответствующие практики чтобы избежать перекрестного загрязнения между испытательными системами и обеспечить чистоту исследования. Персонал исследования владеет и строго придерживается требований к изолированию испытательных систем и исследованиям с применением биологически опасных материалов. Во время исследований in vitro также применяется надлежащие меры предосторожности, чтобы свести к минимуму риски от использования опасных химических веществ.</w:t>
      </w:r>
    </w:p>
    <w:bookmarkEnd w:id="614"/>
    <w:bookmarkStart w:name="z624" w:id="615"/>
    <w:p>
      <w:pPr>
        <w:spacing w:after="0"/>
        <w:ind w:left="0"/>
        <w:jc w:val="both"/>
      </w:pPr>
      <w:r>
        <w:rPr>
          <w:rFonts w:ascii="Times New Roman"/>
          <w:b w:val="false"/>
          <w:i w:val="false"/>
          <w:color w:val="000000"/>
          <w:sz w:val="28"/>
        </w:rPr>
        <w:t>
      3. В целом, деятельность, связанная с ОК, незначительно различается для исследований in vitro и in vivo. Исследования in vitro в некоторых случаях классифицируются как краткосрочные исследования; в таких случаях применяется требования приложения 1 Стандарта. Стандарт требует, чтобы СОК инспектировала, главным образом, критические фазы исследования, поэтому важно, чтобы в исследованиях in vitro СОК была хорошо осведомлена о том, что собой представляют критические фазы (и критические аспекты) таких исследований. Поэтому руководителю исследования, ведущим исследователям и исследовательскому персоналу совместно разрабатывает руководство по проведению инспекций службой обеспечения качества в соответствующих областях. Поскольку программа обеспечения качества распространяется и на специальные аспекты исследований in vitro, образование и обучение персонала СОК четко направлена на формирование способности распознать потенциальные проблемы в специальных областях исследования in vitro.</w:t>
      </w:r>
    </w:p>
    <w:bookmarkEnd w:id="615"/>
    <w:bookmarkStart w:name="z625" w:id="616"/>
    <w:p>
      <w:pPr>
        <w:spacing w:after="0"/>
        <w:ind w:left="0"/>
        <w:jc w:val="both"/>
      </w:pPr>
      <w:r>
        <w:rPr>
          <w:rFonts w:ascii="Times New Roman"/>
          <w:b w:val="false"/>
          <w:i w:val="false"/>
          <w:color w:val="000000"/>
          <w:sz w:val="28"/>
        </w:rPr>
        <w:t>
      4. Специальные области, подлежащие инспектированию, включают в себя процедуры и меры, не ограничиваясь ими:</w:t>
      </w:r>
    </w:p>
    <w:bookmarkEnd w:id="616"/>
    <w:bookmarkStart w:name="z626" w:id="617"/>
    <w:p>
      <w:pPr>
        <w:spacing w:after="0"/>
        <w:ind w:left="0"/>
        <w:jc w:val="both"/>
      </w:pPr>
      <w:r>
        <w:rPr>
          <w:rFonts w:ascii="Times New Roman"/>
          <w:b w:val="false"/>
          <w:i w:val="false"/>
          <w:color w:val="000000"/>
          <w:sz w:val="28"/>
        </w:rPr>
        <w:t>
      1) мониторинг партий компонентов клеточных и тканевых культуральных сред, являющихся критически важными для эффективности испытательной системы (например, фетальная телячья сыворотка), и других материалов в отношении их воздействия на эффективность испытательной системы;</w:t>
      </w:r>
    </w:p>
    <w:bookmarkEnd w:id="617"/>
    <w:bookmarkStart w:name="z627" w:id="618"/>
    <w:p>
      <w:pPr>
        <w:spacing w:after="0"/>
        <w:ind w:left="0"/>
        <w:jc w:val="both"/>
      </w:pPr>
      <w:r>
        <w:rPr>
          <w:rFonts w:ascii="Times New Roman"/>
          <w:b w:val="false"/>
          <w:i w:val="false"/>
          <w:color w:val="000000"/>
          <w:sz w:val="28"/>
        </w:rPr>
        <w:t>
      2) оценка и обеспечение функционального и (или) морфологического статуса (и целостности) клеток, тканей и других индикаторных материалов;</w:t>
      </w:r>
    </w:p>
    <w:bookmarkEnd w:id="618"/>
    <w:bookmarkStart w:name="z628" w:id="619"/>
    <w:p>
      <w:pPr>
        <w:spacing w:after="0"/>
        <w:ind w:left="0"/>
        <w:jc w:val="both"/>
      </w:pPr>
      <w:r>
        <w:rPr>
          <w:rFonts w:ascii="Times New Roman"/>
          <w:b w:val="false"/>
          <w:i w:val="false"/>
          <w:color w:val="000000"/>
          <w:sz w:val="28"/>
        </w:rPr>
        <w:t>
      3) мониторинг потенциального загрязнения чужеродными клетками, микоплазмой и другими патогенами или другими случайными агентами;</w:t>
      </w:r>
    </w:p>
    <w:bookmarkEnd w:id="619"/>
    <w:bookmarkStart w:name="z629" w:id="620"/>
    <w:p>
      <w:pPr>
        <w:spacing w:after="0"/>
        <w:ind w:left="0"/>
        <w:jc w:val="both"/>
      </w:pPr>
      <w:r>
        <w:rPr>
          <w:rFonts w:ascii="Times New Roman"/>
          <w:b w:val="false"/>
          <w:i w:val="false"/>
          <w:color w:val="000000"/>
          <w:sz w:val="28"/>
        </w:rPr>
        <w:t>
      4) очистка и обеззараживание оборудования и аппаратуры и сведение к минимуму источников загрязнения исследуемых элементов и тест-систем;</w:t>
      </w:r>
    </w:p>
    <w:bookmarkEnd w:id="620"/>
    <w:bookmarkStart w:name="z630" w:id="621"/>
    <w:p>
      <w:pPr>
        <w:spacing w:after="0"/>
        <w:ind w:left="0"/>
        <w:jc w:val="both"/>
      </w:pPr>
      <w:r>
        <w:rPr>
          <w:rFonts w:ascii="Times New Roman"/>
          <w:b w:val="false"/>
          <w:i w:val="false"/>
          <w:color w:val="000000"/>
          <w:sz w:val="28"/>
        </w:rPr>
        <w:t>
      5) обеспечение надлежащего использования и обслуживания специализированного оборудования;</w:t>
      </w:r>
    </w:p>
    <w:bookmarkEnd w:id="621"/>
    <w:bookmarkStart w:name="z631" w:id="622"/>
    <w:p>
      <w:pPr>
        <w:spacing w:after="0"/>
        <w:ind w:left="0"/>
        <w:jc w:val="both"/>
      </w:pPr>
      <w:r>
        <w:rPr>
          <w:rFonts w:ascii="Times New Roman"/>
          <w:b w:val="false"/>
          <w:i w:val="false"/>
          <w:color w:val="000000"/>
          <w:sz w:val="28"/>
        </w:rPr>
        <w:t>
      6) обеспечение надлежащей криоконсервации и восстановления клеток и тканей;</w:t>
      </w:r>
    </w:p>
    <w:bookmarkEnd w:id="622"/>
    <w:bookmarkStart w:name="z632" w:id="623"/>
    <w:p>
      <w:pPr>
        <w:spacing w:after="0"/>
        <w:ind w:left="0"/>
        <w:jc w:val="both"/>
      </w:pPr>
      <w:r>
        <w:rPr>
          <w:rFonts w:ascii="Times New Roman"/>
          <w:b w:val="false"/>
          <w:i w:val="false"/>
          <w:color w:val="000000"/>
          <w:sz w:val="28"/>
        </w:rPr>
        <w:t>
      7) обеспечение надлежащих условий для извлечений материалов после хранения в замороженном состоянии;</w:t>
      </w:r>
    </w:p>
    <w:bookmarkEnd w:id="623"/>
    <w:bookmarkStart w:name="z633" w:id="624"/>
    <w:p>
      <w:pPr>
        <w:spacing w:after="0"/>
        <w:ind w:left="0"/>
        <w:jc w:val="both"/>
      </w:pPr>
      <w:r>
        <w:rPr>
          <w:rFonts w:ascii="Times New Roman"/>
          <w:b w:val="false"/>
          <w:i w:val="false"/>
          <w:color w:val="000000"/>
          <w:sz w:val="28"/>
        </w:rPr>
        <w:t>
      8) обеспечение стерильности материалов и поставок, используемых для клеточных и тканевых культур;</w:t>
      </w:r>
    </w:p>
    <w:bookmarkEnd w:id="624"/>
    <w:bookmarkStart w:name="z634" w:id="625"/>
    <w:p>
      <w:pPr>
        <w:spacing w:after="0"/>
        <w:ind w:left="0"/>
        <w:jc w:val="both"/>
      </w:pPr>
      <w:r>
        <w:rPr>
          <w:rFonts w:ascii="Times New Roman"/>
          <w:b w:val="false"/>
          <w:i w:val="false"/>
          <w:color w:val="000000"/>
          <w:sz w:val="28"/>
        </w:rPr>
        <w:t>
      9) поддержание соответствующего разделения между различными исследованиями и испытательными системами.</w:t>
      </w:r>
    </w:p>
    <w:bookmarkEnd w:id="625"/>
    <w:bookmarkStart w:name="z635" w:id="626"/>
    <w:p>
      <w:pPr>
        <w:spacing w:after="0"/>
        <w:ind w:left="0"/>
        <w:jc w:val="both"/>
      </w:pPr>
      <w:r>
        <w:rPr>
          <w:rFonts w:ascii="Times New Roman"/>
          <w:b w:val="false"/>
          <w:i w:val="false"/>
          <w:color w:val="000000"/>
          <w:sz w:val="28"/>
        </w:rPr>
        <w:t>
      5. Стандарт устанавливает, что испытательные лаборатории были в соответствии требованиям к выполняемым в них исследованиям и что поддерживается соответствующее разделение между различными видами деятельности, чтобы обеспечить надлежащее и беспрепятственное выполнение каждого исследования. Для исследований in vitro обычно требуется ограниченное рабочее пространство и не требуется специальных помещений, исключающих проведение других исследований, предпринимаются меры с тем, чтобы обеспечить надлежащее разделение исследований in vitro, проводимых одновременно в одной и той же физической среде.</w:t>
      </w:r>
    </w:p>
    <w:bookmarkEnd w:id="626"/>
    <w:bookmarkStart w:name="z636" w:id="627"/>
    <w:p>
      <w:pPr>
        <w:spacing w:after="0"/>
        <w:ind w:left="0"/>
        <w:jc w:val="both"/>
      </w:pPr>
      <w:r>
        <w:rPr>
          <w:rFonts w:ascii="Times New Roman"/>
          <w:b w:val="false"/>
          <w:i w:val="false"/>
          <w:color w:val="000000"/>
          <w:sz w:val="28"/>
        </w:rPr>
        <w:t>
      6. Оснащение тест-систем:</w:t>
      </w:r>
    </w:p>
    <w:bookmarkEnd w:id="627"/>
    <w:bookmarkStart w:name="z637" w:id="628"/>
    <w:p>
      <w:pPr>
        <w:spacing w:after="0"/>
        <w:ind w:left="0"/>
        <w:jc w:val="both"/>
      </w:pPr>
      <w:r>
        <w:rPr>
          <w:rFonts w:ascii="Times New Roman"/>
          <w:b w:val="false"/>
          <w:i w:val="false"/>
          <w:color w:val="000000"/>
          <w:sz w:val="28"/>
        </w:rPr>
        <w:t>
      1) для обеспечения изоляции тест-систем следует иметь в наличии достаточное количество помещений или зон, обеспечивающих сведение к минимуму возможности загрязнения тест-систем;</w:t>
      </w:r>
    </w:p>
    <w:bookmarkEnd w:id="628"/>
    <w:bookmarkStart w:name="z638" w:id="629"/>
    <w:p>
      <w:pPr>
        <w:spacing w:after="0"/>
        <w:ind w:left="0"/>
        <w:jc w:val="both"/>
      </w:pPr>
      <w:r>
        <w:rPr>
          <w:rFonts w:ascii="Times New Roman"/>
          <w:b w:val="false"/>
          <w:i w:val="false"/>
          <w:color w:val="000000"/>
          <w:sz w:val="28"/>
        </w:rPr>
        <w:t>
      2) инкубировать клетки или ткани, относящиеся к различным исследованиям, в одном и том же инкубаторе, при условии, что существует разделение в достаточной степени (имеются соответствующие идентификаторы, метки или раздельное размещение для отличия исследований), а также то, что ни один исследуемый элемент не является достаточно летучим, чтобы внести загрязнение в другие исследования при совместном инкубировании;</w:t>
      </w:r>
    </w:p>
    <w:bookmarkEnd w:id="629"/>
    <w:bookmarkStart w:name="z639" w:id="630"/>
    <w:p>
      <w:pPr>
        <w:spacing w:after="0"/>
        <w:ind w:left="0"/>
        <w:jc w:val="both"/>
      </w:pPr>
      <w:r>
        <w:rPr>
          <w:rFonts w:ascii="Times New Roman"/>
          <w:b w:val="false"/>
          <w:i w:val="false"/>
          <w:color w:val="000000"/>
          <w:sz w:val="28"/>
        </w:rPr>
        <w:t>
      3) разделение критических фаз исследований возможно не только в пространственном, но и временном отношении. Манипуляция с клеточными или тканевыми культурами, например, процедуры субкультивирования, добавление исследуемого элемента, обычно выполняется в кабинетах с вертикальным ламинарным воздухопотоком, чтобы обеспечить стерильность и защитить испытательные системы, а также персонал исследования и окружающую среду. При таких обстоятельствах соответствующее разделение для предотвращения перекрестного загрязнения между исследованиями обеспечивается путем последовательных манипуляций с испытательными тест-системами, используемыми в отдельных исследованиях, с помощью тщательной очистки и обеззараживания, стерилизации рабочих поверхностей кабинета и соответствующего лабораторного оборудования, используемого в различных видах деятельности, если это нужно;</w:t>
      </w:r>
    </w:p>
    <w:bookmarkEnd w:id="630"/>
    <w:bookmarkStart w:name="z640" w:id="631"/>
    <w:p>
      <w:pPr>
        <w:spacing w:after="0"/>
        <w:ind w:left="0"/>
        <w:jc w:val="both"/>
      </w:pPr>
      <w:r>
        <w:rPr>
          <w:rFonts w:ascii="Times New Roman"/>
          <w:b w:val="false"/>
          <w:i w:val="false"/>
          <w:color w:val="000000"/>
          <w:sz w:val="28"/>
        </w:rPr>
        <w:t>
      4) наличие отведенных комнат или зон со специальным оборудованием, обеспечивающих долгосрочное хранение тест-систем. Оборудование, в том числе контейнеры для хранения, обеспечивают соответствующие условия для сохранения целостности тест-систем в течение длительного времени.</w:t>
      </w:r>
    </w:p>
    <w:bookmarkEnd w:id="631"/>
    <w:bookmarkStart w:name="z641" w:id="632"/>
    <w:p>
      <w:pPr>
        <w:spacing w:after="0"/>
        <w:ind w:left="0"/>
        <w:jc w:val="both"/>
      </w:pPr>
      <w:r>
        <w:rPr>
          <w:rFonts w:ascii="Times New Roman"/>
          <w:b w:val="false"/>
          <w:i w:val="false"/>
          <w:color w:val="000000"/>
          <w:sz w:val="28"/>
        </w:rPr>
        <w:t>
      7. Стерильность является важным фактором в исследованиях in vitro. Помещения или зоны, используемые для подготовки и смешивания исследуемых и эталонных веществ со связующими веществами, оснащаются таким образом, чтобы обеспечить работу в асептических условиях и защиту испытательной системы и исследования путем сведения к минимуму возможности их загрязнения в ходе подготовки тестируемых и стандартных объектов (образцов).</w:t>
      </w:r>
    </w:p>
    <w:bookmarkEnd w:id="632"/>
    <w:bookmarkStart w:name="z642" w:id="633"/>
    <w:p>
      <w:pPr>
        <w:spacing w:after="0"/>
        <w:ind w:left="0"/>
        <w:jc w:val="both"/>
      </w:pPr>
      <w:r>
        <w:rPr>
          <w:rFonts w:ascii="Times New Roman"/>
          <w:b w:val="false"/>
          <w:i w:val="false"/>
          <w:color w:val="000000"/>
          <w:sz w:val="28"/>
        </w:rPr>
        <w:t>
      8. Для целостности и надежности отдельных исследований in vitro обеспечиваются надлежащие условия для определенного оборудования (проведение регулярного технического обслуживания, контроль и калибрование микровесов, микропипеток, кабинетов с вертикальным ламинарным воздухопотоком или инкубаторов). Для специального оборудования определяется критические параметры, требующие постоянного контроля или настройки предельных величин, наряду с установкой сигнальных устройств.</w:t>
      </w:r>
    </w:p>
    <w:bookmarkEnd w:id="633"/>
    <w:bookmarkStart w:name="z643" w:id="634"/>
    <w:p>
      <w:pPr>
        <w:spacing w:after="0"/>
        <w:ind w:left="0"/>
        <w:jc w:val="both"/>
      </w:pPr>
      <w:r>
        <w:rPr>
          <w:rFonts w:ascii="Times New Roman"/>
          <w:b w:val="false"/>
          <w:i w:val="false"/>
          <w:color w:val="000000"/>
          <w:sz w:val="28"/>
        </w:rPr>
        <w:t>
      9. Требования Стандарта к реагентам в отношении маркировки и сроков годности в равной степени применяются и к реагентам, используемым для исследований in vitro.</w:t>
      </w:r>
    </w:p>
    <w:bookmarkEnd w:id="634"/>
    <w:bookmarkStart w:name="z644" w:id="635"/>
    <w:p>
      <w:pPr>
        <w:spacing w:after="0"/>
        <w:ind w:left="0"/>
        <w:jc w:val="both"/>
      </w:pPr>
      <w:r>
        <w:rPr>
          <w:rFonts w:ascii="Times New Roman"/>
          <w:b w:val="false"/>
          <w:i w:val="false"/>
          <w:color w:val="000000"/>
          <w:sz w:val="28"/>
        </w:rPr>
        <w:t>
      10. Испытательные системы in vitro - это, в основном, биологические системы, хотя некоторые из самых последних разработок, альтернативных обычным исследованиям in vivo (например, комплект генов для токсикогеномики), имеют некоторые признаки физико-химических тест-систем, а другие, например, токсикометабономика, основываются, большей частью, на аналитической методологии. Испытательные комплекты, включая патентованные испытательные комплекты, также считаются испытательными системами.</w:t>
      </w:r>
    </w:p>
    <w:bookmarkEnd w:id="635"/>
    <w:bookmarkStart w:name="z645" w:id="636"/>
    <w:p>
      <w:pPr>
        <w:spacing w:after="0"/>
        <w:ind w:left="0"/>
        <w:jc w:val="both"/>
      </w:pPr>
      <w:r>
        <w:rPr>
          <w:rFonts w:ascii="Times New Roman"/>
          <w:b w:val="false"/>
          <w:i w:val="false"/>
          <w:color w:val="000000"/>
          <w:sz w:val="28"/>
        </w:rPr>
        <w:t>
      11. Как и для любых других биологических тест-систем, определяется, поддерживается и ведется мониторинг соответствующих условий, чтобы обеспечить качество и целостность испытательной системы во время хранения и в ходе самого исследования. К этому относится документально оформленное определение, поддерживание и мониторинг жизнеспособности и реактивности испытательной системы, включая регистрацию количества пересевов клеток и показатели времени удвоения популяции. также регистрировать условия окружающей среды (уровень жидкого азота в системе замораживания жидким азотом для хранения, температура, влажность и концентрация СО2 в инкубаторах), а также любую манипуляцию с испытательной системой, требующуюся для поддержания ее качества и целостности (например, обработка антибиотиками или противогрибковыми средствами, субкультивирование, избирательное культивирование для сокращения частоты спонтанных случаев). Поскольку сохранение надлежащих условий окружающей среды во время хранения испытательной системы в значительно большей степени повлияет на качество данных, чем для других биологических систем, эти регистрационные данные особенно важны для поддержания качества и надежности данных.</w:t>
      </w:r>
    </w:p>
    <w:bookmarkEnd w:id="636"/>
    <w:bookmarkStart w:name="z646" w:id="637"/>
    <w:p>
      <w:pPr>
        <w:spacing w:after="0"/>
        <w:ind w:left="0"/>
        <w:jc w:val="both"/>
      </w:pPr>
      <w:r>
        <w:rPr>
          <w:rFonts w:ascii="Times New Roman"/>
          <w:b w:val="false"/>
          <w:i w:val="false"/>
          <w:color w:val="000000"/>
          <w:sz w:val="28"/>
        </w:rPr>
        <w:t>
      12. В регистрационных данных исследования проанализируает и сохраняет документацию, полученную от поставщика тест-систем in vitro (например, происхождение, возраст, число пассажей, время удвоения клеток и прочие соответствующие характеристики, помогающие идентифицировать тест-систему). Для оценки жизнеспособности, пригодности (например, функционального и (или) морфологического статуса клеток и тканей, испытания на наличие известного или предполагаемого микробного или вирусного загрязнения) и чувствительности испытательной системы используется предварительно определенные критерии. Результаты таких оценок оформляются документально и содержатся в регистрационных записях исследования. Если такая оценка невозможна, как, при использовании культур первичных клеток или "восстановленных органов", между поставщиком и пользователем существуют механизмы оценки и документального оформления пригодности испытательной системы. Данные мониторинга и регистрации эффективности тест-системы относительно объектов отрицательного и положительного контроля служит достаточным доказательством чувствительности конкретной тест-системы. Какие-либо проблемы с испытательной системой, которые влияют на качество, достоверность и надежность исследования, оформляются документально и обсуждаются в заключительном отчете. Обращать внимание продавца на проблемы с испытательными системами, поставленными продавцом, и добиваться корректирующих мер.</w:t>
      </w:r>
    </w:p>
    <w:bookmarkEnd w:id="637"/>
    <w:bookmarkStart w:name="z647" w:id="638"/>
    <w:p>
      <w:pPr>
        <w:spacing w:after="0"/>
        <w:ind w:left="0"/>
        <w:jc w:val="both"/>
      </w:pPr>
      <w:r>
        <w:rPr>
          <w:rFonts w:ascii="Times New Roman"/>
          <w:b w:val="false"/>
          <w:i w:val="false"/>
          <w:color w:val="000000"/>
          <w:sz w:val="28"/>
        </w:rPr>
        <w:t>
      13. Записи о тест-системах:</w:t>
      </w:r>
    </w:p>
    <w:bookmarkEnd w:id="638"/>
    <w:bookmarkStart w:name="z648" w:id="639"/>
    <w:p>
      <w:pPr>
        <w:spacing w:after="0"/>
        <w:ind w:left="0"/>
        <w:jc w:val="both"/>
      </w:pPr>
      <w:r>
        <w:rPr>
          <w:rFonts w:ascii="Times New Roman"/>
          <w:b w:val="false"/>
          <w:i w:val="false"/>
          <w:color w:val="000000"/>
          <w:sz w:val="28"/>
        </w:rPr>
        <w:t>
      1) Стандарт требует хранение записей об источнике, дате поступления и состояния тест-систем при поступлении; для клеток и тканей такие записи включают не только непосредственный источник (коммерческого поставщика), но и источник происхождения, где были выделены клетки или ткани (первичные клетки или ткани с донорскими характеристиками; адаптированные клеточные линии из известных источников). Другие сведения, помимо прочего, включают:</w:t>
      </w:r>
    </w:p>
    <w:bookmarkEnd w:id="639"/>
    <w:bookmarkStart w:name="z649" w:id="640"/>
    <w:p>
      <w:pPr>
        <w:spacing w:after="0"/>
        <w:ind w:left="0"/>
        <w:jc w:val="both"/>
      </w:pPr>
      <w:r>
        <w:rPr>
          <w:rFonts w:ascii="Times New Roman"/>
          <w:b w:val="false"/>
          <w:i w:val="false"/>
          <w:color w:val="000000"/>
          <w:sz w:val="28"/>
        </w:rPr>
        <w:t>
      метод, посредством которого изначально были получены клетки или ткани (получены из эксплантов тканей, биопсии нормальных или раковых тканей, перенос генов путем плазмидной трансфекции или вирусной трансдукции);</w:t>
      </w:r>
    </w:p>
    <w:bookmarkEnd w:id="640"/>
    <w:bookmarkStart w:name="z650" w:id="641"/>
    <w:p>
      <w:pPr>
        <w:spacing w:after="0"/>
        <w:ind w:left="0"/>
        <w:jc w:val="both"/>
      </w:pPr>
      <w:r>
        <w:rPr>
          <w:rFonts w:ascii="Times New Roman"/>
          <w:b w:val="false"/>
          <w:i w:val="false"/>
          <w:color w:val="000000"/>
          <w:sz w:val="28"/>
        </w:rPr>
        <w:t>
      хронологию хранения;</w:t>
      </w:r>
    </w:p>
    <w:bookmarkEnd w:id="641"/>
    <w:bookmarkStart w:name="z651" w:id="642"/>
    <w:p>
      <w:pPr>
        <w:spacing w:after="0"/>
        <w:ind w:left="0"/>
        <w:jc w:val="both"/>
      </w:pPr>
      <w:r>
        <w:rPr>
          <w:rFonts w:ascii="Times New Roman"/>
          <w:b w:val="false"/>
          <w:i w:val="false"/>
          <w:color w:val="000000"/>
          <w:sz w:val="28"/>
        </w:rPr>
        <w:t>
      количество пассажей клеточных линий;</w:t>
      </w:r>
    </w:p>
    <w:bookmarkEnd w:id="642"/>
    <w:bookmarkStart w:name="z652" w:id="643"/>
    <w:p>
      <w:pPr>
        <w:spacing w:after="0"/>
        <w:ind w:left="0"/>
        <w:jc w:val="both"/>
      </w:pPr>
      <w:r>
        <w:rPr>
          <w:rFonts w:ascii="Times New Roman"/>
          <w:b w:val="false"/>
          <w:i w:val="false"/>
          <w:color w:val="000000"/>
          <w:sz w:val="28"/>
        </w:rPr>
        <w:t>
      условия культивирования и интервалы субкультивирования;</w:t>
      </w:r>
    </w:p>
    <w:bookmarkEnd w:id="643"/>
    <w:bookmarkStart w:name="z653" w:id="644"/>
    <w:p>
      <w:pPr>
        <w:spacing w:after="0"/>
        <w:ind w:left="0"/>
        <w:jc w:val="both"/>
      </w:pPr>
      <w:r>
        <w:rPr>
          <w:rFonts w:ascii="Times New Roman"/>
          <w:b w:val="false"/>
          <w:i w:val="false"/>
          <w:color w:val="000000"/>
          <w:sz w:val="28"/>
        </w:rPr>
        <w:t xml:space="preserve">
      условия замораживания, размораживания. </w:t>
      </w:r>
    </w:p>
    <w:bookmarkEnd w:id="644"/>
    <w:bookmarkStart w:name="z654" w:id="645"/>
    <w:p>
      <w:pPr>
        <w:spacing w:after="0"/>
        <w:ind w:left="0"/>
        <w:jc w:val="both"/>
      </w:pPr>
      <w:r>
        <w:rPr>
          <w:rFonts w:ascii="Times New Roman"/>
          <w:b w:val="false"/>
          <w:i w:val="false"/>
          <w:color w:val="000000"/>
          <w:sz w:val="28"/>
        </w:rPr>
        <w:t>
      Для трансгенных тест-систем устанавливается природа трансгена и вести соответствующее управление экспрессией трансгенов;</w:t>
      </w:r>
    </w:p>
    <w:bookmarkEnd w:id="645"/>
    <w:bookmarkStart w:name="z655" w:id="646"/>
    <w:p>
      <w:pPr>
        <w:spacing w:after="0"/>
        <w:ind w:left="0"/>
        <w:jc w:val="both"/>
      </w:pPr>
      <w:r>
        <w:rPr>
          <w:rFonts w:ascii="Times New Roman"/>
          <w:b w:val="false"/>
          <w:i w:val="false"/>
          <w:color w:val="000000"/>
          <w:sz w:val="28"/>
        </w:rPr>
        <w:t>
      2) уделять особое внимание надлежащей маркировке тест-систем во время хранения и использования, что включает меры по обеспечению износостойкости маркировки. Всегда принимать меры по обеспечению правильной идентификации тест-систем, особенно если размер контейнеров и условия хранения (криососуды в жидком азоте, несколько тест-систем, хранящиеся в одном контейнере) являются критическими факторами для маркировки;</w:t>
      </w:r>
    </w:p>
    <w:bookmarkEnd w:id="646"/>
    <w:bookmarkStart w:name="z656" w:id="647"/>
    <w:p>
      <w:pPr>
        <w:spacing w:after="0"/>
        <w:ind w:left="0"/>
        <w:jc w:val="both"/>
      </w:pPr>
      <w:r>
        <w:rPr>
          <w:rFonts w:ascii="Times New Roman"/>
          <w:b w:val="false"/>
          <w:i w:val="false"/>
          <w:color w:val="000000"/>
          <w:sz w:val="28"/>
        </w:rPr>
        <w:t>
      3) требования Стандарта для тест-систем и реагентов в отношении маркировки и сроков хранения в равной мере применяются и к наборам для проведения испытаний, используемых в качестве тест-систем in vitro. Все наборы для испытаний, используемые в качестве тест-систем или иным образом, с аналитическими целями, имеет срок годности. Продление данного срока годности осуществляется только на основе документально оформленной оценки (или анализа). Наборы для проведения испытаний, используемых в качестве тест-систем, подвергаются оценке, которая оформляется документально, и быть доказательством того, что даже после истечения срока годности реакция не отклоняется от исторических показателей контроля. Например, из ранее зарегистрированных наблюдаемых реакций соответствующей партии наборов для проведения испытаний по отношению к объектам положительного, отрицательного контроля и (или) контроля реактива (носителя, разбавителя). Документально оформленное решение руководителя исследования о продлении срока годности имеет доказательство для данного процесса оценки;</w:t>
      </w:r>
    </w:p>
    <w:bookmarkEnd w:id="647"/>
    <w:bookmarkStart w:name="z657" w:id="648"/>
    <w:p>
      <w:pPr>
        <w:spacing w:after="0"/>
        <w:ind w:left="0"/>
        <w:jc w:val="both"/>
      </w:pPr>
      <w:r>
        <w:rPr>
          <w:rFonts w:ascii="Times New Roman"/>
          <w:b w:val="false"/>
          <w:i w:val="false"/>
          <w:color w:val="000000"/>
          <w:sz w:val="28"/>
        </w:rPr>
        <w:t>
      4) чтобы избежать возможной путаницы, номенклатура тест-систем и маркировка тест-систем точно определяется, а на всех записях, полученные при отдельных исследованиях, указывается официально принятое обозначение тест-систем.</w:t>
      </w:r>
    </w:p>
    <w:bookmarkEnd w:id="648"/>
    <w:bookmarkStart w:name="z658" w:id="649"/>
    <w:p>
      <w:pPr>
        <w:spacing w:after="0"/>
        <w:ind w:left="0"/>
        <w:jc w:val="both"/>
      </w:pPr>
      <w:r>
        <w:rPr>
          <w:rFonts w:ascii="Times New Roman"/>
          <w:b w:val="false"/>
          <w:i w:val="false"/>
          <w:color w:val="000000"/>
          <w:sz w:val="28"/>
        </w:rPr>
        <w:t>
      14. В целом, не существует специальных требований к получению, обработке, отбору проб, хранению и определению характеристик тестируемых и стандартных образцов, используемых в исследованиях in vitro, где применяются испытательные системы, кроме перечисленных в Стандартах. Однако требуются асептические условия при их обработке, чтобы избежать микробного заражения тест-систем.</w:t>
      </w:r>
    </w:p>
    <w:bookmarkEnd w:id="649"/>
    <w:bookmarkStart w:name="z659" w:id="650"/>
    <w:p>
      <w:pPr>
        <w:spacing w:after="0"/>
        <w:ind w:left="0"/>
        <w:jc w:val="both"/>
      </w:pPr>
      <w:r>
        <w:rPr>
          <w:rFonts w:ascii="Times New Roman"/>
          <w:b w:val="false"/>
          <w:i w:val="false"/>
          <w:color w:val="000000"/>
          <w:sz w:val="28"/>
        </w:rPr>
        <w:t xml:space="preserve">
      15. Определение концентрации и однородности, нужно для положительного, отрицательного контроля и (или) контроля реактивов (носителя, разбавителя), поскольку наличие этих показателей достаточное доказательство корректной, ожидаемой ответной реакции тест-системы на них. </w:t>
      </w:r>
    </w:p>
    <w:bookmarkEnd w:id="650"/>
    <w:bookmarkStart w:name="z660" w:id="651"/>
    <w:p>
      <w:pPr>
        <w:spacing w:after="0"/>
        <w:ind w:left="0"/>
        <w:jc w:val="both"/>
      </w:pPr>
      <w:r>
        <w:rPr>
          <w:rFonts w:ascii="Times New Roman"/>
          <w:b w:val="false"/>
          <w:i w:val="false"/>
          <w:color w:val="000000"/>
          <w:sz w:val="28"/>
        </w:rPr>
        <w:t>
      16. Срок годности контрольных объектов (образцов) также продлевается на основании документальной оценки или анализа. Такая оценка составляется из документального подтверждения того, что реакция соответствующих тест-систем на объекты положительного, отрицательного контроля и (или) контроля реактива не отклоняется от хранящихся в испытательной лаборатории исторических показателей контроля, которые, в свою очередь, сопоставимы с опубликованными эталонными показателями.</w:t>
      </w:r>
    </w:p>
    <w:bookmarkEnd w:id="651"/>
    <w:bookmarkStart w:name="z661" w:id="652"/>
    <w:p>
      <w:pPr>
        <w:spacing w:after="0"/>
        <w:ind w:left="0"/>
        <w:jc w:val="both"/>
      </w:pPr>
      <w:r>
        <w:rPr>
          <w:rFonts w:ascii="Times New Roman"/>
          <w:b w:val="false"/>
          <w:i w:val="false"/>
          <w:color w:val="000000"/>
          <w:sz w:val="28"/>
        </w:rPr>
        <w:t>
      17. В дополнение к примерам, приведенным в пункте 45 параграфа 7 главы 3 настоящего Стандарта, имеются виды деятельности и процессы, специфические для исследования in vitro, которые описывает в Стандартных операционных процедурах. Такие СОП дополнительно включают в себя следующие примеры деятельности испытательного центра, связанные с проведением испытаний in vitro, но не ограничиваться ими.</w:t>
      </w:r>
    </w:p>
    <w:bookmarkEnd w:id="652"/>
    <w:bookmarkStart w:name="z662" w:id="653"/>
    <w:p>
      <w:pPr>
        <w:spacing w:after="0"/>
        <w:ind w:left="0"/>
        <w:jc w:val="both"/>
      </w:pPr>
      <w:r>
        <w:rPr>
          <w:rFonts w:ascii="Times New Roman"/>
          <w:b w:val="false"/>
          <w:i w:val="false"/>
          <w:color w:val="000000"/>
          <w:sz w:val="28"/>
        </w:rPr>
        <w:t>
      18. Мониторинг окружающей среды на наличие патогенных микроорганизмов в воздухе и на поверхностях, очистка и дезинфекция, действия, предпринимаемые в случае инфекции или загрязнения в испытательной лаборатории или зоне проведения испытания.</w:t>
      </w:r>
    </w:p>
    <w:bookmarkEnd w:id="653"/>
    <w:bookmarkStart w:name="z663" w:id="654"/>
    <w:p>
      <w:pPr>
        <w:spacing w:after="0"/>
        <w:ind w:left="0"/>
        <w:jc w:val="both"/>
      </w:pPr>
      <w:r>
        <w:rPr>
          <w:rFonts w:ascii="Times New Roman"/>
          <w:b w:val="false"/>
          <w:i w:val="false"/>
          <w:color w:val="000000"/>
          <w:sz w:val="28"/>
        </w:rPr>
        <w:t>
      19. Использование, техническое обслуживание, контроль производительности, уборка и обеззараживание оборудования и инструментов, используемых в работе с культурами клеток и тканей (ламинарных шкафов и инкубаторов; мониторинг уровня жидкого азота в контейнерах для хранения тест-систем; калибровка и мониторинг температуры, влажности и уровней СО2 в инкубаторах).</w:t>
      </w:r>
    </w:p>
    <w:bookmarkEnd w:id="654"/>
    <w:bookmarkStart w:name="z664" w:id="655"/>
    <w:p>
      <w:pPr>
        <w:spacing w:after="0"/>
        <w:ind w:left="0"/>
        <w:jc w:val="both"/>
      </w:pPr>
      <w:r>
        <w:rPr>
          <w:rFonts w:ascii="Times New Roman"/>
          <w:b w:val="false"/>
          <w:i w:val="false"/>
          <w:color w:val="000000"/>
          <w:sz w:val="28"/>
        </w:rPr>
        <w:t>
      20. Материалы, реагенты и растворы: оценка пригодности, продление сроков годности, оценка и поддержание стерильности, скрининг распространенных патогенных контаминантов; описание процедур выбора и использования растворителя (разбавителя, носителя); процедуры верификации совместимости растворителя (носителя) и тест-системы.</w:t>
      </w:r>
    </w:p>
    <w:bookmarkEnd w:id="655"/>
    <w:bookmarkStart w:name="z665" w:id="656"/>
    <w:p>
      <w:pPr>
        <w:spacing w:after="0"/>
        <w:ind w:left="0"/>
        <w:jc w:val="both"/>
      </w:pPr>
      <w:r>
        <w:rPr>
          <w:rFonts w:ascii="Times New Roman"/>
          <w:b w:val="false"/>
          <w:i w:val="false"/>
          <w:color w:val="000000"/>
          <w:sz w:val="28"/>
        </w:rPr>
        <w:t>
      21. Тест-системы:</w:t>
      </w:r>
    </w:p>
    <w:bookmarkEnd w:id="656"/>
    <w:bookmarkStart w:name="z666" w:id="657"/>
    <w:p>
      <w:pPr>
        <w:spacing w:after="0"/>
        <w:ind w:left="0"/>
        <w:jc w:val="both"/>
      </w:pPr>
      <w:r>
        <w:rPr>
          <w:rFonts w:ascii="Times New Roman"/>
          <w:b w:val="false"/>
          <w:i w:val="false"/>
          <w:color w:val="000000"/>
          <w:sz w:val="28"/>
        </w:rPr>
        <w:t xml:space="preserve">
      1) условия для хранения и процедуры для замораживания и размораживания клеток и тканей, исследование на распространенные патогены; </w:t>
      </w:r>
    </w:p>
    <w:bookmarkEnd w:id="657"/>
    <w:bookmarkStart w:name="z667" w:id="658"/>
    <w:p>
      <w:pPr>
        <w:spacing w:after="0"/>
        <w:ind w:left="0"/>
        <w:jc w:val="both"/>
      </w:pPr>
      <w:r>
        <w:rPr>
          <w:rFonts w:ascii="Times New Roman"/>
          <w:b w:val="false"/>
          <w:i w:val="false"/>
          <w:color w:val="000000"/>
          <w:sz w:val="28"/>
        </w:rPr>
        <w:t xml:space="preserve">
      2) визуальный осмотр на наличие загрязняющих веществ; </w:t>
      </w:r>
    </w:p>
    <w:bookmarkEnd w:id="658"/>
    <w:bookmarkStart w:name="z668" w:id="659"/>
    <w:p>
      <w:pPr>
        <w:spacing w:after="0"/>
        <w:ind w:left="0"/>
        <w:jc w:val="both"/>
      </w:pPr>
      <w:r>
        <w:rPr>
          <w:rFonts w:ascii="Times New Roman"/>
          <w:b w:val="false"/>
          <w:i w:val="false"/>
          <w:color w:val="000000"/>
          <w:sz w:val="28"/>
        </w:rPr>
        <w:t>
      3) процедуры проверки (с использованием критериев приемлемости) для обеспечения свойств и чувствительности тест-системы после прибытия и во время использования, как непосредственно после прибытия, так и в ходе использования;</w:t>
      </w:r>
    </w:p>
    <w:bookmarkEnd w:id="659"/>
    <w:bookmarkStart w:name="z669" w:id="660"/>
    <w:p>
      <w:pPr>
        <w:spacing w:after="0"/>
        <w:ind w:left="0"/>
        <w:jc w:val="both"/>
      </w:pPr>
      <w:r>
        <w:rPr>
          <w:rFonts w:ascii="Times New Roman"/>
          <w:b w:val="false"/>
          <w:i w:val="false"/>
          <w:color w:val="000000"/>
          <w:sz w:val="28"/>
        </w:rPr>
        <w:t>
      4) морфологическая оценка, контроль фенотипа или стабильности кариотипа, контроль стабильности трансгена; режим инициирования культуры, условия культивирования с указанием интервалов субкультивирования; обработка биологически опасных материалов и тест-систем, процедуры утилизации тест-систем.</w:t>
      </w:r>
    </w:p>
    <w:bookmarkEnd w:id="660"/>
    <w:bookmarkStart w:name="z670" w:id="661"/>
    <w:p>
      <w:pPr>
        <w:spacing w:after="0"/>
        <w:ind w:left="0"/>
        <w:jc w:val="both"/>
      </w:pPr>
      <w:r>
        <w:rPr>
          <w:rFonts w:ascii="Times New Roman"/>
          <w:b w:val="false"/>
          <w:i w:val="false"/>
          <w:color w:val="000000"/>
          <w:sz w:val="28"/>
        </w:rPr>
        <w:t>
      22. Проведение исследования: асептические техники, критерии приемлемости достоверности исследования, критерии для повторного проведения анализа.</w:t>
      </w:r>
    </w:p>
    <w:bookmarkEnd w:id="661"/>
    <w:bookmarkStart w:name="z671" w:id="662"/>
    <w:p>
      <w:pPr>
        <w:spacing w:after="0"/>
        <w:ind w:left="0"/>
        <w:jc w:val="both"/>
      </w:pPr>
      <w:r>
        <w:rPr>
          <w:rFonts w:ascii="Times New Roman"/>
          <w:b w:val="false"/>
          <w:i w:val="false"/>
          <w:color w:val="000000"/>
          <w:sz w:val="28"/>
        </w:rPr>
        <w:t>
      23. Обеспечение качества:</w:t>
      </w:r>
    </w:p>
    <w:bookmarkEnd w:id="662"/>
    <w:bookmarkStart w:name="z672" w:id="663"/>
    <w:p>
      <w:pPr>
        <w:spacing w:after="0"/>
        <w:ind w:left="0"/>
        <w:jc w:val="both"/>
      </w:pPr>
      <w:r>
        <w:rPr>
          <w:rFonts w:ascii="Times New Roman"/>
          <w:b w:val="false"/>
          <w:i w:val="false"/>
          <w:color w:val="000000"/>
          <w:sz w:val="28"/>
        </w:rPr>
        <w:t>
      1) определение критических фаз, частота инспекций;</w:t>
      </w:r>
    </w:p>
    <w:bookmarkEnd w:id="663"/>
    <w:bookmarkStart w:name="z673" w:id="664"/>
    <w:p>
      <w:pPr>
        <w:spacing w:after="0"/>
        <w:ind w:left="0"/>
        <w:jc w:val="both"/>
      </w:pPr>
      <w:r>
        <w:rPr>
          <w:rFonts w:ascii="Times New Roman"/>
          <w:b w:val="false"/>
          <w:i w:val="false"/>
          <w:color w:val="000000"/>
          <w:sz w:val="28"/>
        </w:rPr>
        <w:t>
      2) проведение исследования и отчеты о результатах исследования.</w:t>
      </w:r>
    </w:p>
    <w:bookmarkEnd w:id="664"/>
    <w:bookmarkStart w:name="z674" w:id="665"/>
    <w:p>
      <w:pPr>
        <w:spacing w:after="0"/>
        <w:ind w:left="0"/>
        <w:jc w:val="both"/>
      </w:pPr>
      <w:r>
        <w:rPr>
          <w:rFonts w:ascii="Times New Roman"/>
          <w:b w:val="false"/>
          <w:i w:val="false"/>
          <w:color w:val="000000"/>
          <w:sz w:val="28"/>
        </w:rPr>
        <w:t>
      24. Требования Стандарта к эффективности исследований in vitro идентичны требованиям, предъявляемым к традиционным исследованиям безопасности.</w:t>
      </w:r>
    </w:p>
    <w:bookmarkEnd w:id="665"/>
    <w:bookmarkStart w:name="z675" w:id="666"/>
    <w:p>
      <w:pPr>
        <w:spacing w:after="0"/>
        <w:ind w:left="0"/>
        <w:jc w:val="both"/>
      </w:pPr>
      <w:r>
        <w:rPr>
          <w:rFonts w:ascii="Times New Roman"/>
          <w:b w:val="false"/>
          <w:i w:val="false"/>
          <w:color w:val="000000"/>
          <w:sz w:val="28"/>
        </w:rPr>
        <w:t>
      25. Существует несколько вопросов, характерных для исследования in vitro, которые отражается в протоколе, плане, программе исследования, а также в заключительном отчете об исследовании. Эти вопросы носят, в основном, научный, технический характер, как (научное) требование о том, что любой внутренний контроль (соответствующего объекта положительного, отрицательного контроля, контроля реактива и необработанного объекта), осуществляемый в целях контроля погрешностей и оценки эффективности тест-системы, выполняется одновременно с исследуемым веществом (лекарственным средством) во всех исследованиях in vitro.</w:t>
      </w:r>
    </w:p>
    <w:bookmarkEnd w:id="666"/>
    <w:bookmarkStart w:name="z676" w:id="667"/>
    <w:p>
      <w:pPr>
        <w:spacing w:after="0"/>
        <w:ind w:left="0"/>
        <w:jc w:val="both"/>
      </w:pPr>
      <w:r>
        <w:rPr>
          <w:rFonts w:ascii="Times New Roman"/>
          <w:b w:val="false"/>
          <w:i w:val="false"/>
          <w:color w:val="000000"/>
          <w:sz w:val="28"/>
        </w:rPr>
        <w:t>
      26. Общие требования Стандарта к хранению применяются и к исследованиям in vitro. Сохранять образцы тест-систем, которые можно хранить в течение длительного времени, особенно тест-систем, наличие которых ограничено (например, специальные субклоны клеточных линий, трансгенные клетки и т.д.), чтобы можно было подтвердить идентичность испытательной системы и (или) возможность воспроизвести исследование.</w:t>
      </w:r>
    </w:p>
    <w:bookmarkEnd w:id="667"/>
    <w:bookmarkStart w:name="z677" w:id="668"/>
    <w:p>
      <w:pPr>
        <w:spacing w:after="0"/>
        <w:ind w:left="0"/>
        <w:jc w:val="both"/>
      </w:pPr>
      <w:r>
        <w:rPr>
          <w:rFonts w:ascii="Times New Roman"/>
          <w:b w:val="false"/>
          <w:i w:val="false"/>
          <w:color w:val="000000"/>
          <w:sz w:val="28"/>
        </w:rPr>
        <w:t>
      27. Следует принимать во внимание возможность сохранения проб исследуемого вещества (лекарственного средства) тех исследований in vitro, которые относятся к категории краткосрочных, особенно в случаях, когда исследования in vitro составляют основу исследований безопасности.</w:t>
      </w:r>
    </w:p>
    <w:bookmarkEnd w:id="668"/>
    <w:bookmarkStart w:name="z678" w:id="669"/>
    <w:p>
      <w:pPr>
        <w:spacing w:after="0"/>
        <w:ind w:left="0"/>
        <w:jc w:val="both"/>
      </w:pPr>
      <w:r>
        <w:rPr>
          <w:rFonts w:ascii="Times New Roman"/>
          <w:b w:val="false"/>
          <w:i w:val="false"/>
          <w:color w:val="000000"/>
          <w:sz w:val="28"/>
        </w:rPr>
        <w:t>
      28. Также хранить записи об исторических положительных, отрицательных, неиспользуемых результатах и (или) результатах средств контроля растворителя, используемых для установления допустимого диапазона реакции тест-системы.</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680" w:id="670"/>
    <w:p>
      <w:pPr>
        <w:spacing w:after="0"/>
        <w:ind w:left="0"/>
        <w:jc w:val="left"/>
      </w:pPr>
      <w:r>
        <w:rPr>
          <w:rFonts w:ascii="Times New Roman"/>
          <w:b/>
          <w:i w:val="false"/>
          <w:color w:val="000000"/>
        </w:rPr>
        <w:t xml:space="preserve"> Роль и функции руководителя исследования при проведении исследований согласно Стандарту</w:t>
      </w:r>
    </w:p>
    <w:bookmarkEnd w:id="670"/>
    <w:bookmarkStart w:name="z681" w:id="671"/>
    <w:p>
      <w:pPr>
        <w:spacing w:after="0"/>
        <w:ind w:left="0"/>
        <w:jc w:val="both"/>
      </w:pPr>
      <w:r>
        <w:rPr>
          <w:rFonts w:ascii="Times New Roman"/>
          <w:b w:val="false"/>
          <w:i w:val="false"/>
          <w:color w:val="000000"/>
          <w:sz w:val="28"/>
        </w:rPr>
        <w:t xml:space="preserve">
      1. При исследовании руководитель исследования представляет собой единственное контролирующее лицо уполномоченный за полное научное руководство. В этом состоит главная роль руководителя исследования, и все служебные функции и обязательства, как обозначено в Стандарте, проистекают из нее. При исследовании в любой момент времени действует только один руководитель. </w:t>
      </w:r>
    </w:p>
    <w:bookmarkEnd w:id="671"/>
    <w:bookmarkStart w:name="z682" w:id="672"/>
    <w:p>
      <w:pPr>
        <w:spacing w:after="0"/>
        <w:ind w:left="0"/>
        <w:jc w:val="both"/>
      </w:pPr>
      <w:r>
        <w:rPr>
          <w:rFonts w:ascii="Times New Roman"/>
          <w:b w:val="false"/>
          <w:i w:val="false"/>
          <w:color w:val="000000"/>
          <w:sz w:val="28"/>
        </w:rPr>
        <w:t>
      2. Должность руководителя исследования служит гарантией того, что контролируются научная, административная и исполнительная стороны исследования. Руководитель исследования достигает этого путем согласования усилий управляющего аппарата, научного, технического персонала и программы обеспечения качества.</w:t>
      </w:r>
    </w:p>
    <w:bookmarkEnd w:id="672"/>
    <w:bookmarkStart w:name="z683" w:id="673"/>
    <w:p>
      <w:pPr>
        <w:spacing w:after="0"/>
        <w:ind w:left="0"/>
        <w:jc w:val="both"/>
      </w:pPr>
      <w:r>
        <w:rPr>
          <w:rFonts w:ascii="Times New Roman"/>
          <w:b w:val="false"/>
          <w:i w:val="false"/>
          <w:color w:val="000000"/>
          <w:sz w:val="28"/>
        </w:rPr>
        <w:t>
      3. При многоцентровых исследованиях, когда проводятся работы на более чем одной испытательной площадке, и руководитель исследования не имеет возможности осуществления непосредственного надзора, исследовательские операции контролируются подготовленным соответствующим образом, квалифицированным и опытным штатным сотрудником, именуемым главный исследователь. Действуя от имени руководителя исследования, он отвечает за проведение конкретных установленных фаз эксперимента в соответствии с применимыми принципами Стандарта.</w:t>
      </w:r>
    </w:p>
    <w:bookmarkEnd w:id="673"/>
    <w:bookmarkStart w:name="z684" w:id="674"/>
    <w:p>
      <w:pPr>
        <w:spacing w:after="0"/>
        <w:ind w:left="0"/>
        <w:jc w:val="both"/>
      </w:pPr>
      <w:r>
        <w:rPr>
          <w:rFonts w:ascii="Times New Roman"/>
          <w:b w:val="false"/>
          <w:i w:val="false"/>
          <w:color w:val="000000"/>
          <w:sz w:val="28"/>
        </w:rPr>
        <w:t>
      4. Должность руководителя исследования обычно занимает работник, курирующий научные аспекты исследований, который отвечает за дизайн и утверждение протокола, плана, программы исследования, а также за наблюдение за сбором данных, анализом и отчетностью. На него возлагается обязанность делать итоговые общие выводы по результатам эксперимента. Как ведущий научный сотрудник руководитель исследования сотрудничает с другими исследователями и (или) ведущим исследователем, оставаясь в курсе полученных в ходе эксперимента данных, а также принимая и изучая соответствующие их индивидуальные доклады, чтобы включить в итоговый отчет исследования.</w:t>
      </w:r>
    </w:p>
    <w:bookmarkEnd w:id="674"/>
    <w:bookmarkStart w:name="z685" w:id="675"/>
    <w:p>
      <w:pPr>
        <w:spacing w:after="0"/>
        <w:ind w:left="0"/>
        <w:jc w:val="both"/>
      </w:pPr>
      <w:r>
        <w:rPr>
          <w:rFonts w:ascii="Times New Roman"/>
          <w:b w:val="false"/>
          <w:i w:val="false"/>
          <w:color w:val="000000"/>
          <w:sz w:val="28"/>
        </w:rPr>
        <w:t>
      5. В административном порядке для правильного проведения эксперимента руководитель исследования требует и устанавливает соотношение ресурсов, предоставляемых руководствам, таких как персонал, оборудование и материальную базу, с тем, чтобы позаботиться о соответствующем их качестве и доступности согласно графику.</w:t>
      </w:r>
    </w:p>
    <w:bookmarkEnd w:id="675"/>
    <w:bookmarkStart w:name="z686" w:id="676"/>
    <w:p>
      <w:pPr>
        <w:spacing w:after="0"/>
        <w:ind w:left="0"/>
        <w:jc w:val="both"/>
      </w:pPr>
      <w:r>
        <w:rPr>
          <w:rFonts w:ascii="Times New Roman"/>
          <w:b w:val="false"/>
          <w:i w:val="false"/>
          <w:color w:val="000000"/>
          <w:sz w:val="28"/>
        </w:rPr>
        <w:t>
      6. Соблюдение обязательных условий также входит в функции руководителя исследования. В этой роли он отвечает за обеспечение того, что исследование осуществляется в соответствии с Стандартом, для подтверждения чего требуется наличие подписи на итоговом отчете исследования.</w:t>
      </w:r>
    </w:p>
    <w:bookmarkEnd w:id="676"/>
    <w:bookmarkStart w:name="z687" w:id="677"/>
    <w:p>
      <w:pPr>
        <w:spacing w:after="0"/>
        <w:ind w:left="0"/>
        <w:jc w:val="both"/>
      </w:pPr>
      <w:r>
        <w:rPr>
          <w:rFonts w:ascii="Times New Roman"/>
          <w:b w:val="false"/>
          <w:i w:val="false"/>
          <w:color w:val="000000"/>
          <w:sz w:val="28"/>
        </w:rPr>
        <w:t xml:space="preserve">
      7. Руководство испытательной лаборатории отвечает за обеспечение функционирования лаборатории в соответствии с Стандартом, что включает эффективную организацию во всех областях деятельности и назначение достаточного числа квалифицированных и опытных сотрудников, в том числе руководителей исследования, а при необходимости проведения исследования на нескольких площадках - ведущего(их) исследователя(ей). </w:t>
      </w:r>
    </w:p>
    <w:bookmarkEnd w:id="677"/>
    <w:bookmarkStart w:name="z688" w:id="678"/>
    <w:p>
      <w:pPr>
        <w:spacing w:after="0"/>
        <w:ind w:left="0"/>
        <w:jc w:val="both"/>
      </w:pPr>
      <w:r>
        <w:rPr>
          <w:rFonts w:ascii="Times New Roman"/>
          <w:b w:val="false"/>
          <w:i w:val="false"/>
          <w:color w:val="000000"/>
          <w:sz w:val="28"/>
        </w:rPr>
        <w:t>
      8. Назначение руководителей исследования:</w:t>
      </w:r>
    </w:p>
    <w:bookmarkEnd w:id="678"/>
    <w:bookmarkStart w:name="z689" w:id="679"/>
    <w:p>
      <w:pPr>
        <w:spacing w:after="0"/>
        <w:ind w:left="0"/>
        <w:jc w:val="both"/>
      </w:pPr>
      <w:r>
        <w:rPr>
          <w:rFonts w:ascii="Times New Roman"/>
          <w:b w:val="false"/>
          <w:i w:val="false"/>
          <w:color w:val="000000"/>
          <w:sz w:val="28"/>
        </w:rPr>
        <w:t>
      1) руководство испытательной лаборатории утверждает документ, определяющий процедуры выбора и назначения руководителей исследования, их заместителей и ведущих(их) исследователя(ей), если это требуется программами контроля соблюдения принципов Стандарта;</w:t>
      </w:r>
    </w:p>
    <w:bookmarkEnd w:id="679"/>
    <w:bookmarkStart w:name="z690" w:id="680"/>
    <w:p>
      <w:pPr>
        <w:spacing w:after="0"/>
        <w:ind w:left="0"/>
        <w:jc w:val="both"/>
      </w:pPr>
      <w:r>
        <w:rPr>
          <w:rFonts w:ascii="Times New Roman"/>
          <w:b w:val="false"/>
          <w:i w:val="false"/>
          <w:color w:val="000000"/>
          <w:sz w:val="28"/>
        </w:rPr>
        <w:t>
      2) назначая для исследования руководителя, руководству испытательной лаборатории ознакомиться с текущей или ожидаемой рабочей нагрузкой данного сотрудника. Чтобы оценить объем работы, выполняемый каждым человеком в стенах испытательной лаборатории, можно использовать основной график работ, куда включена информация о видах и сроках проведения экспериментов, закрепленных за каждым руководителем исследования. Это также полезный управленческий инструмент при распределении исследований;</w:t>
      </w:r>
    </w:p>
    <w:bookmarkEnd w:id="680"/>
    <w:bookmarkStart w:name="z691" w:id="681"/>
    <w:p>
      <w:pPr>
        <w:spacing w:after="0"/>
        <w:ind w:left="0"/>
        <w:jc w:val="both"/>
      </w:pPr>
      <w:r>
        <w:rPr>
          <w:rFonts w:ascii="Times New Roman"/>
          <w:b w:val="false"/>
          <w:i w:val="false"/>
          <w:color w:val="000000"/>
          <w:sz w:val="28"/>
        </w:rPr>
        <w:t xml:space="preserve">
      3) замена руководителя исследования и (или) ведущего исследователя производиться согласно установленным процедурам и оформляется документально. </w:t>
      </w:r>
    </w:p>
    <w:bookmarkEnd w:id="681"/>
    <w:bookmarkStart w:name="z692" w:id="682"/>
    <w:p>
      <w:pPr>
        <w:spacing w:after="0"/>
        <w:ind w:left="0"/>
        <w:jc w:val="both"/>
      </w:pPr>
      <w:r>
        <w:rPr>
          <w:rFonts w:ascii="Times New Roman"/>
          <w:b w:val="false"/>
          <w:i w:val="false"/>
          <w:color w:val="000000"/>
          <w:sz w:val="28"/>
        </w:rPr>
        <w:t>
      9. Обучение и профессиональная подготовка руководителей исследования:</w:t>
      </w:r>
    </w:p>
    <w:bookmarkEnd w:id="682"/>
    <w:bookmarkStart w:name="z693" w:id="683"/>
    <w:p>
      <w:pPr>
        <w:spacing w:after="0"/>
        <w:ind w:left="0"/>
        <w:jc w:val="both"/>
      </w:pPr>
      <w:r>
        <w:rPr>
          <w:rFonts w:ascii="Times New Roman"/>
          <w:b w:val="false"/>
          <w:i w:val="false"/>
          <w:color w:val="000000"/>
          <w:sz w:val="28"/>
        </w:rPr>
        <w:t>
      1) руководство обеспечивает документальное подтверждение обучения и профессиональной подготовки руководителя исследования по всем направлениям деятельности. Обучающая программа обеспечивает, чтобы руководители исследования обладали полным и четким пониманием Стандарта и соответствующей осведомленностью о порядке деятельности испытательной лаборатории. Сюда можно отнести знание и практическое владение другими инструкциями и распоряжениями, имеющими отношение к испытательной лаборатории и конкретному типу исследования. Профессиональная подготовка включает опыт работы под непосредственным надзором компетентных должностных лиц. Периоды наблюдения или стажировка в рамках каждого направления, задействованного в эксперименте, обеспечивают полезное основополагающее понимание соответствующих практических аспектов и научных принципов, а также помогать в установлении способов связи. Посещение внутриведомственных и независимых семинаров и курсов, участие в профессиональных обществах и доступ к подходящей литературе позволяет руководителям исследования поддерживать текущую осведомленность о разработках в их научной области. Профессиональное развитие проводятся непрерывно, и подвергается периодическому пересмотру. Любое обучение и подготовку следует документально подтверждать и сохранять записи в течение времени, установленного соответствующими органами власти;</w:t>
      </w:r>
    </w:p>
    <w:bookmarkEnd w:id="683"/>
    <w:bookmarkStart w:name="z694" w:id="684"/>
    <w:p>
      <w:pPr>
        <w:spacing w:after="0"/>
        <w:ind w:left="0"/>
        <w:jc w:val="both"/>
      </w:pPr>
      <w:r>
        <w:rPr>
          <w:rFonts w:ascii="Times New Roman"/>
          <w:b w:val="false"/>
          <w:i w:val="false"/>
          <w:color w:val="000000"/>
          <w:sz w:val="28"/>
        </w:rPr>
        <w:t>
      2) официальные отчеты о таких программах отражают последовательность практического обучения и давать ясное указание на тип исследования, в управлении которым сотрудник считается компетентным. Время от времени требуется дополнительная подготовка или переподготовка, после внедрения новой технологии, операций или нормативных требований.</w:t>
      </w:r>
    </w:p>
    <w:bookmarkEnd w:id="684"/>
    <w:bookmarkStart w:name="z695" w:id="685"/>
    <w:p>
      <w:pPr>
        <w:spacing w:after="0"/>
        <w:ind w:left="0"/>
        <w:jc w:val="both"/>
      </w:pPr>
      <w:r>
        <w:rPr>
          <w:rFonts w:ascii="Times New Roman"/>
          <w:b w:val="false"/>
          <w:i w:val="false"/>
          <w:color w:val="000000"/>
          <w:sz w:val="28"/>
        </w:rPr>
        <w:t>
      10. Руководителем исследования является лицо, которое отвечает за научное проведение исследования и который подтверждает соответствие исследования Стандарту.</w:t>
      </w:r>
    </w:p>
    <w:bookmarkEnd w:id="685"/>
    <w:bookmarkStart w:name="z696" w:id="686"/>
    <w:p>
      <w:pPr>
        <w:spacing w:after="0"/>
        <w:ind w:left="0"/>
        <w:jc w:val="both"/>
      </w:pPr>
      <w:r>
        <w:rPr>
          <w:rFonts w:ascii="Times New Roman"/>
          <w:b w:val="false"/>
          <w:i w:val="false"/>
          <w:color w:val="000000"/>
          <w:sz w:val="28"/>
        </w:rPr>
        <w:t>
      11. Начало исследования:</w:t>
      </w:r>
    </w:p>
    <w:bookmarkEnd w:id="686"/>
    <w:bookmarkStart w:name="z697" w:id="687"/>
    <w:p>
      <w:pPr>
        <w:spacing w:after="0"/>
        <w:ind w:left="0"/>
        <w:jc w:val="both"/>
      </w:pPr>
      <w:r>
        <w:rPr>
          <w:rFonts w:ascii="Times New Roman"/>
          <w:b w:val="false"/>
          <w:i w:val="false"/>
          <w:color w:val="000000"/>
          <w:sz w:val="28"/>
        </w:rPr>
        <w:t>
      1) руководитель исследования своей подписью одобряет протокол, план, программу исследования, который подготавливается до момента начала исследования. В данном документе следует четко установить задачи и весь ход эксперимента, а также способ их достижения. Любые дополнения к протоколу, плану, программе исследования утверждаются, согласно указанному выше. В протоколе, плане, программе многоцентрового исследования следует определить и описать роль ведущего исследователя и каждого испытательной лаборатории, а также испытательных площадок в осуществлении эксперимента;</w:t>
      </w:r>
    </w:p>
    <w:bookmarkEnd w:id="687"/>
    <w:bookmarkStart w:name="z698" w:id="688"/>
    <w:p>
      <w:pPr>
        <w:spacing w:after="0"/>
        <w:ind w:left="0"/>
        <w:jc w:val="both"/>
      </w:pPr>
      <w:r>
        <w:rPr>
          <w:rFonts w:ascii="Times New Roman"/>
          <w:b w:val="false"/>
          <w:i w:val="false"/>
          <w:color w:val="000000"/>
          <w:sz w:val="28"/>
        </w:rPr>
        <w:t>
      2) руководителю следует отвечать за исследование, подписывая протокол, план, программу исследования на дату, в момент чего тот становится официальным рабочим документом для данного исследования (дата начала исследования). В соответствующем случае руководитель исследования также гарантирует, что протокол, план, программа эксперимента подписывается спонсором и руководством;</w:t>
      </w:r>
    </w:p>
    <w:bookmarkEnd w:id="688"/>
    <w:bookmarkStart w:name="z699" w:id="689"/>
    <w:p>
      <w:pPr>
        <w:spacing w:after="0"/>
        <w:ind w:left="0"/>
        <w:jc w:val="both"/>
      </w:pPr>
      <w:r>
        <w:rPr>
          <w:rFonts w:ascii="Times New Roman"/>
          <w:b w:val="false"/>
          <w:i w:val="false"/>
          <w:color w:val="000000"/>
          <w:sz w:val="28"/>
        </w:rPr>
        <w:t>
      3) перед датой начала исследования руководителю исследования следует предоставить персоналу по ОК доступ к протоколу, плану, программе исследования для проверки наличия в нем полной информации, нужной для соблюдения Стандарта;</w:t>
      </w:r>
    </w:p>
    <w:bookmarkEnd w:id="689"/>
    <w:bookmarkStart w:name="z700" w:id="690"/>
    <w:p>
      <w:pPr>
        <w:spacing w:after="0"/>
        <w:ind w:left="0"/>
        <w:jc w:val="both"/>
      </w:pPr>
      <w:r>
        <w:rPr>
          <w:rFonts w:ascii="Times New Roman"/>
          <w:b w:val="false"/>
          <w:i w:val="false"/>
          <w:color w:val="000000"/>
          <w:sz w:val="28"/>
        </w:rPr>
        <w:t>
      4) до фактической даты начала эксперимента руководитель исследования обеспечивает весь персонал, занятый в эксперименте, копиями протокола, плана, программы исследования, в том числе сотрудников ОК;</w:t>
      </w:r>
    </w:p>
    <w:bookmarkEnd w:id="690"/>
    <w:bookmarkStart w:name="z701" w:id="691"/>
    <w:p>
      <w:pPr>
        <w:spacing w:after="0"/>
        <w:ind w:left="0"/>
        <w:jc w:val="both"/>
      </w:pPr>
      <w:r>
        <w:rPr>
          <w:rFonts w:ascii="Times New Roman"/>
          <w:b w:val="false"/>
          <w:i w:val="false"/>
          <w:color w:val="000000"/>
          <w:sz w:val="28"/>
        </w:rPr>
        <w:t>
      5) перед тем, как начнутся какие-либо работы по исследованию, руководитель исследования следует удостовериться в том, что управление привлекло соответствующие ресурсы для реализации исследования, а также что в наличии имеются подходящие материалы для тестирования и испытательные системы.</w:t>
      </w:r>
    </w:p>
    <w:bookmarkEnd w:id="691"/>
    <w:bookmarkStart w:name="z702" w:id="692"/>
    <w:p>
      <w:pPr>
        <w:spacing w:after="0"/>
        <w:ind w:left="0"/>
        <w:jc w:val="both"/>
      </w:pPr>
      <w:r>
        <w:rPr>
          <w:rFonts w:ascii="Times New Roman"/>
          <w:b w:val="false"/>
          <w:i w:val="false"/>
          <w:color w:val="000000"/>
          <w:sz w:val="28"/>
        </w:rPr>
        <w:t>
      12. Ход исследования:</w:t>
      </w:r>
    </w:p>
    <w:bookmarkEnd w:id="692"/>
    <w:bookmarkStart w:name="z703" w:id="693"/>
    <w:p>
      <w:pPr>
        <w:spacing w:after="0"/>
        <w:ind w:left="0"/>
        <w:jc w:val="both"/>
      </w:pPr>
      <w:r>
        <w:rPr>
          <w:rFonts w:ascii="Times New Roman"/>
          <w:b w:val="false"/>
          <w:i w:val="false"/>
          <w:color w:val="000000"/>
          <w:sz w:val="28"/>
        </w:rPr>
        <w:t>
      1) руководитель исследования отвечает за комплексное управление исследованием. Он гарантирует то, что выполняются все установленные в протоколе, плане, программе исследования процедуры, включая поправки, и все полученные в течение исследования данные полностью задокументированы. В документальном подтверждении нуждаются специфические технические обязанности, которые делегируются компетентному персоналу;</w:t>
      </w:r>
    </w:p>
    <w:bookmarkEnd w:id="693"/>
    <w:bookmarkStart w:name="z704" w:id="694"/>
    <w:p>
      <w:pPr>
        <w:spacing w:after="0"/>
        <w:ind w:left="0"/>
        <w:jc w:val="both"/>
      </w:pPr>
      <w:r>
        <w:rPr>
          <w:rFonts w:ascii="Times New Roman"/>
          <w:b w:val="false"/>
          <w:i w:val="false"/>
          <w:color w:val="000000"/>
          <w:sz w:val="28"/>
        </w:rPr>
        <w:t>
      2) участие руководителя исследования в реализации исследования включает пересмотр исследовательских операций и информации для обеспечения выполнения установленных в протоколе, плане, программе исследования процедур и их согласованности со стандартными операционными процедурами. Сюда следует отнести данные, полученные с помощью компьютера. Чтобы это продемонстрировать, в отчетах исследования документально фиксируются виды и регулярность обзорных проверок;</w:t>
      </w:r>
    </w:p>
    <w:bookmarkEnd w:id="694"/>
    <w:bookmarkStart w:name="z705" w:id="695"/>
    <w:p>
      <w:pPr>
        <w:spacing w:after="0"/>
        <w:ind w:left="0"/>
        <w:jc w:val="both"/>
      </w:pPr>
      <w:r>
        <w:rPr>
          <w:rFonts w:ascii="Times New Roman"/>
          <w:b w:val="false"/>
          <w:i w:val="false"/>
          <w:color w:val="000000"/>
          <w:sz w:val="28"/>
        </w:rPr>
        <w:t>
      3) поскольку все решения, которые влияют на целостность эксперимента, нуждаются, прежде всего, в одобрении руководителя исследования, то важно, чтобы он оставался в курсе динамики эксперимента. Это имеет особое значение после временного неучастия в исследовании и достигается только посредством сохранения эффективного общения со всеми научными, техническими и руководящими сотрудниками, а при многоцентровом исследовании - с ведущим исследователем. При необходимости порядок взаимодействия обеспечивает возможность быстро сообщить об отклонениях от протокола, плана, программы исследования, а также гарантирует документальное подтверждение возникающих проблем;</w:t>
      </w:r>
    </w:p>
    <w:bookmarkEnd w:id="695"/>
    <w:bookmarkStart w:name="z706" w:id="696"/>
    <w:p>
      <w:pPr>
        <w:spacing w:after="0"/>
        <w:ind w:left="0"/>
        <w:jc w:val="both"/>
      </w:pPr>
      <w:r>
        <w:rPr>
          <w:rFonts w:ascii="Times New Roman"/>
          <w:b w:val="false"/>
          <w:i w:val="false"/>
          <w:color w:val="000000"/>
          <w:sz w:val="28"/>
        </w:rPr>
        <w:t>
      4) если данные записываются на бумаге, руководителю исследования следует позаботиться о том, чтобы полученные сведения полностью и точно документировались и создавались в соответствии с Стандартом. В отношении результатов, представленных в электронной форме в компьютеризированной системе, обязательства руководителя исследования остаются теми же, как и в отношении канцелярских систем. Кроме того, руководителю исследования следует убедиться в соответствии компьютеризированных систем предполагаемой области применения и их пригодности для использования в эксперименте.</w:t>
      </w:r>
    </w:p>
    <w:bookmarkEnd w:id="696"/>
    <w:bookmarkStart w:name="z707" w:id="697"/>
    <w:p>
      <w:pPr>
        <w:spacing w:after="0"/>
        <w:ind w:left="0"/>
        <w:jc w:val="both"/>
      </w:pPr>
      <w:r>
        <w:rPr>
          <w:rFonts w:ascii="Times New Roman"/>
          <w:b w:val="false"/>
          <w:i w:val="false"/>
          <w:color w:val="000000"/>
          <w:sz w:val="28"/>
        </w:rPr>
        <w:t>
      13. Итоговый отчет:</w:t>
      </w:r>
    </w:p>
    <w:bookmarkEnd w:id="697"/>
    <w:bookmarkStart w:name="z708" w:id="698"/>
    <w:p>
      <w:pPr>
        <w:spacing w:after="0"/>
        <w:ind w:left="0"/>
        <w:jc w:val="both"/>
      </w:pPr>
      <w:r>
        <w:rPr>
          <w:rFonts w:ascii="Times New Roman"/>
          <w:b w:val="false"/>
          <w:i w:val="false"/>
          <w:color w:val="000000"/>
          <w:sz w:val="28"/>
        </w:rPr>
        <w:t>
      1) итоговый отчет исследования составляется в форме детализированного научного документа, устанавливающего цель исследования, описывающего использованные методы и материалы, обобщающего и представляющего анализ полученных данных, а также излагающего сделанные выводы;</w:t>
      </w:r>
    </w:p>
    <w:bookmarkEnd w:id="698"/>
    <w:bookmarkStart w:name="z709" w:id="699"/>
    <w:p>
      <w:pPr>
        <w:spacing w:after="0"/>
        <w:ind w:left="0"/>
        <w:jc w:val="both"/>
      </w:pPr>
      <w:r>
        <w:rPr>
          <w:rFonts w:ascii="Times New Roman"/>
          <w:b w:val="false"/>
          <w:i w:val="false"/>
          <w:color w:val="000000"/>
          <w:sz w:val="28"/>
        </w:rPr>
        <w:t>
      2) лишь убедившись в том, что итоговый отчет дает полное, достоверное и точное представление об исследовании и его результатах, руководителю исследования следует подписать и датировать отчет, с учетом верности сведений. Следует указать степень соответствия Стандарту. Ему следует также самому удостовериться, что имеется доклад ОК и были зафиксированы любые расхождения с протоколом, планом, программой исследования.</w:t>
      </w:r>
    </w:p>
    <w:bookmarkEnd w:id="699"/>
    <w:bookmarkStart w:name="z710" w:id="700"/>
    <w:p>
      <w:pPr>
        <w:spacing w:after="0"/>
        <w:ind w:left="0"/>
        <w:jc w:val="both"/>
      </w:pPr>
      <w:r>
        <w:rPr>
          <w:rFonts w:ascii="Times New Roman"/>
          <w:b w:val="false"/>
          <w:i w:val="false"/>
          <w:color w:val="000000"/>
          <w:sz w:val="28"/>
        </w:rPr>
        <w:t>
      14. По окончании исследования (включая штатное завершение) руководитель исследования отвечает за своевременной архивации протокола, плана, программы исследования, итогового отчета, необработанных данных и связанного материала. В окончательный рапорт следует включить заявление, свидетельствующее о том, что все образцы исследуемого и референтного объектов, пробы, необработанные данные, протокол, план, программу исследования, итоговый отчет и другая соответствующая документация будут храниться. После передачи сведений в архивы, за них отвечает руководство.</w:t>
      </w:r>
    </w:p>
    <w:bookmarkEnd w:id="700"/>
    <w:bookmarkStart w:name="z711" w:id="701"/>
    <w:p>
      <w:pPr>
        <w:spacing w:after="0"/>
        <w:ind w:left="0"/>
        <w:jc w:val="both"/>
      </w:pPr>
      <w:r>
        <w:rPr>
          <w:rFonts w:ascii="Times New Roman"/>
          <w:b w:val="false"/>
          <w:i w:val="false"/>
          <w:color w:val="000000"/>
          <w:sz w:val="28"/>
        </w:rPr>
        <w:t>
      15. Если все части исследования отданы на субподряд, руководитель исследования (и персонал ОК) будет осведомлен о степени соответствия данной лаборатории Стандарту. Когда организация, связанная договором, отвечает требованиям Стандарта, руководителю исследования надлежит в итоговом отчете указать это. Изменения к протоколу, плану, программе исследования и отклонения от него</w:t>
      </w:r>
    </w:p>
    <w:bookmarkEnd w:id="701"/>
    <w:bookmarkStart w:name="z712" w:id="702"/>
    <w:p>
      <w:pPr>
        <w:spacing w:after="0"/>
        <w:ind w:left="0"/>
        <w:jc w:val="both"/>
      </w:pPr>
      <w:r>
        <w:rPr>
          <w:rFonts w:ascii="Times New Roman"/>
          <w:b w:val="false"/>
          <w:i w:val="false"/>
          <w:color w:val="000000"/>
          <w:sz w:val="28"/>
        </w:rPr>
        <w:t>
      16. Для подтверждения преднамеренного изменения дизайна исследования после даты его начала и до наступления события следует оформлять поправки к протоколу, плану, программе исследования. Можно также в результате неожиданного происшествия в ходе исследования, которое требует значительных мер, сделать дополнение. Дополнения, свидетельствующие о причине изменения, последовательно нумеруются, датируются, подписываются и направляются руководителем исследования всем получателям исходного протокола, плана, программы исследования.</w:t>
      </w:r>
    </w:p>
    <w:bookmarkEnd w:id="702"/>
    <w:bookmarkStart w:name="z713" w:id="703"/>
    <w:p>
      <w:pPr>
        <w:spacing w:after="0"/>
        <w:ind w:left="0"/>
        <w:jc w:val="both"/>
      </w:pPr>
      <w:r>
        <w:rPr>
          <w:rFonts w:ascii="Times New Roman"/>
          <w:b w:val="false"/>
          <w:i w:val="false"/>
          <w:color w:val="000000"/>
          <w:sz w:val="28"/>
        </w:rPr>
        <w:t>
      17. В то время как поправка представляет собой запланированное изменение в протоколе, плане, программе исследования, отклонение является непредусмотренным изменением, происходящим во время осуществления эксперимента. В документации по исследованию следует фиксировать сведения об исследовании, в том числе расхождение с его протоколом, планом, программой. Данные записи могут инициироваться другими сотрудниками, занятыми в эксперименте, в таком случае все записи своевременно одобряться, описываться, обосновываться и датироваться руководителем исследования и (или) ведущим исследователем, а также храниться вместе с необработанными данными исследования. Руководитель исследования утверждает любые предпринимаемые корректирующие действия. Ему следует рассмотреть целесообразность консультации с другими научными сотрудниками для того, чтобы определить влияние любой подобной информации на исследование, и сообщить (и обсудить при необходимости) об этих отклонениях в итоговом отчете.</w:t>
      </w:r>
    </w:p>
    <w:bookmarkEnd w:id="703"/>
    <w:bookmarkStart w:name="z714" w:id="704"/>
    <w:p>
      <w:pPr>
        <w:spacing w:after="0"/>
        <w:ind w:left="0"/>
        <w:jc w:val="both"/>
      </w:pPr>
      <w:r>
        <w:rPr>
          <w:rFonts w:ascii="Times New Roman"/>
          <w:b w:val="false"/>
          <w:i w:val="false"/>
          <w:color w:val="000000"/>
          <w:sz w:val="28"/>
        </w:rPr>
        <w:t>
      18. Квалификационные требования к руководителю исследования определяются обязательными условиями для каждого конкретного исследования. В функции руководства испытательной лаборатории входит установление этих критериев. Более того, руководство испытательной лаборатории отвечает за выбор, контроль и поддержку руководителя исследования, чтобы гарантировать проведение экспериментов в соответствии с Стандартом. Минимальные требования к квалификации, установленные руководством испытательной лаборатории для должности руководителя исследования, отражается в персональных документах кадрового учета. В дополнение к серьезной технической подготовке (образованию) координирующая роль руководителя исследования требует, чтобы сильными сторонами данного лица были навыки в области коммуникации, решения проблем и управления.</w:t>
      </w:r>
    </w:p>
    <w:bookmarkEnd w:id="704"/>
    <w:bookmarkStart w:name="z715" w:id="705"/>
    <w:p>
      <w:pPr>
        <w:spacing w:after="0"/>
        <w:ind w:left="0"/>
        <w:jc w:val="both"/>
      </w:pPr>
      <w:r>
        <w:rPr>
          <w:rFonts w:ascii="Times New Roman"/>
          <w:b w:val="false"/>
          <w:i w:val="false"/>
          <w:color w:val="000000"/>
          <w:sz w:val="28"/>
        </w:rPr>
        <w:t xml:space="preserve">
      19. Руководитель исследования отвечает за управление исследованием. Определение "уполномоченный за общее проведение исследований и заключительный отчет" растолковывается в широком смысле для таких исследований, в которых руководитель исследования географически удален от фактической экспериментальной работы. При наличии нескольких уровней управления, исследовательского персонала и персонала службы обеспечения качества очень важно, чтобы существовали четкие разграничения полномочий и коммуникационных связей, а также возложенных на них задач с тем, чтобы руководитель исследования мог эффективно выполнять свои функции по Стандарту. Это оформляется в письменной форме. При наличии исследований, проводящихся на нескольких испытательных площадках, руководство испытательной лаборатории обеспечивает четкие коммуникационные связи между руководителем исследования, ведущим(и) исследователем(ями), программой(ами) обеспечения качества и исследовательским персоналом. </w:t>
      </w:r>
    </w:p>
    <w:bookmarkEnd w:id="705"/>
    <w:bookmarkStart w:name="z716" w:id="706"/>
    <w:p>
      <w:pPr>
        <w:spacing w:after="0"/>
        <w:ind w:left="0"/>
        <w:jc w:val="both"/>
      </w:pPr>
      <w:r>
        <w:rPr>
          <w:rFonts w:ascii="Times New Roman"/>
          <w:b w:val="false"/>
          <w:i w:val="false"/>
          <w:color w:val="000000"/>
          <w:sz w:val="28"/>
        </w:rPr>
        <w:t xml:space="preserve">
      20. В исследованиях, в которых уполномоченность делегирована ведущему исследователю, руководитель исследования будет опираться на данных сотрудников, чтобы гарантировать, что соответствующий этап исследования проводят в соответствии с планом исследования, соответствующим СОП и Стандарту. Ведущий исследователь связывается с руководителем исследования в случае происшествия, которое оказывает отрицательное воздействие на задачи, определенные в протоколе, плане, программе исследования. при возникновении событий, которые влияют на указанные в плане исследования объекты. Весь обмен информацией подтверждается документально. </w:t>
      </w:r>
    </w:p>
    <w:bookmarkEnd w:id="706"/>
    <w:bookmarkStart w:name="z717" w:id="707"/>
    <w:p>
      <w:pPr>
        <w:spacing w:after="0"/>
        <w:ind w:left="0"/>
        <w:jc w:val="both"/>
      </w:pPr>
      <w:r>
        <w:rPr>
          <w:rFonts w:ascii="Times New Roman"/>
          <w:b w:val="false"/>
          <w:i w:val="false"/>
          <w:color w:val="000000"/>
          <w:sz w:val="28"/>
        </w:rPr>
        <w:t>
      21. На всех этапах эксперимента обязательно осуществляется взаимодействие между руководителем исследования и ОК.</w:t>
      </w:r>
    </w:p>
    <w:bookmarkEnd w:id="707"/>
    <w:bookmarkStart w:name="z718" w:id="708"/>
    <w:p>
      <w:pPr>
        <w:spacing w:after="0"/>
        <w:ind w:left="0"/>
        <w:jc w:val="both"/>
      </w:pPr>
      <w:r>
        <w:rPr>
          <w:rFonts w:ascii="Times New Roman"/>
          <w:b w:val="false"/>
          <w:i w:val="false"/>
          <w:color w:val="000000"/>
          <w:sz w:val="28"/>
        </w:rPr>
        <w:t>
      22. Такое взаимодействие включает:</w:t>
      </w:r>
    </w:p>
    <w:bookmarkEnd w:id="708"/>
    <w:bookmarkStart w:name="z719" w:id="709"/>
    <w:p>
      <w:pPr>
        <w:spacing w:after="0"/>
        <w:ind w:left="0"/>
        <w:jc w:val="both"/>
      </w:pPr>
      <w:r>
        <w:rPr>
          <w:rFonts w:ascii="Times New Roman"/>
          <w:b w:val="false"/>
          <w:i w:val="false"/>
          <w:color w:val="000000"/>
          <w:sz w:val="28"/>
        </w:rPr>
        <w:t>
      1) активное привлечение службы обеспечения качества, например, к своевременному рассмотрению протокола, плана, программы исследования, рассмотрению новых и пересмотренных СОП, посещению персоналом службы обеспечения качества совещаний в начале проведения исследования и решению возможных проблем, касающихся Стандарта;</w:t>
      </w:r>
    </w:p>
    <w:bookmarkEnd w:id="709"/>
    <w:bookmarkStart w:name="z720" w:id="710"/>
    <w:p>
      <w:pPr>
        <w:spacing w:after="0"/>
        <w:ind w:left="0"/>
        <w:jc w:val="both"/>
      </w:pPr>
      <w:r>
        <w:rPr>
          <w:rFonts w:ascii="Times New Roman"/>
          <w:b w:val="false"/>
          <w:i w:val="false"/>
          <w:color w:val="000000"/>
          <w:sz w:val="28"/>
        </w:rPr>
        <w:t>
      2) быстрый ответ на отчеты об инспекции и аудите с указанием корректирующих действий и, при необходимости, поддержание связи с персоналом службы обеспечения качества, научным и техническим персоналом с целью содействия в подаче ответов на полученные в ходе инспекции, аудита данные (результаты).</w:t>
      </w:r>
    </w:p>
    <w:bookmarkEnd w:id="710"/>
    <w:bookmarkStart w:name="z721" w:id="711"/>
    <w:p>
      <w:pPr>
        <w:spacing w:after="0"/>
        <w:ind w:left="0"/>
        <w:jc w:val="both"/>
      </w:pPr>
      <w:r>
        <w:rPr>
          <w:rFonts w:ascii="Times New Roman"/>
          <w:b w:val="false"/>
          <w:i w:val="false"/>
          <w:color w:val="000000"/>
          <w:sz w:val="28"/>
        </w:rPr>
        <w:t>
      23. Руководитель исследования отвечает за общий ход исследования в соответствии с Стандартом. Руководителю исследования следует удостовериться в полном соответствии данным принципам каждого этапа исследования, в точном следовании протоколу, плану, программе исследования, а также в том, что все наблюдения полностью документируются. Теоретически данная уполномоченность полностью реализовываются только тогда, когда руководитель исследования постоянно присутствует во время проведения исследования. Это не всегда осуществимо на практике, так как неизбежно будут возникать периоды его отсутствия, во время которых появляется необходимость в его замене. Поскольку обстоятельства, при которых руководитель исследования заменяется, не определены в Стандарте, они рассматриваются на уровне выполняемых испытательной лабораторией СОП. Данные СОП имеют отношение к нужным для замены руководителя исследования процедурам и документации.</w:t>
      </w:r>
    </w:p>
    <w:bookmarkEnd w:id="711"/>
    <w:bookmarkStart w:name="z722" w:id="712"/>
    <w:p>
      <w:pPr>
        <w:spacing w:after="0"/>
        <w:ind w:left="0"/>
        <w:jc w:val="both"/>
      </w:pPr>
      <w:r>
        <w:rPr>
          <w:rFonts w:ascii="Times New Roman"/>
          <w:b w:val="false"/>
          <w:i w:val="false"/>
          <w:color w:val="000000"/>
          <w:sz w:val="28"/>
        </w:rPr>
        <w:t>
      24. Решение о замене или временном делегировании уполномоченности принимает руководство испытательной лаборатории. Все подобные решения следует документировать в письменной форме. Существуют два условия, при которых рассматриваются варианты замен; оба из них имеют значение только для долгосрочных исследований, так как можно предположить, что в течение краткосрочного исследования руководитель исследования присутствует постоянно. Необходимость замены руководителя исследования, являющегося одним из ключевых сотрудников, очевидна в случае окончания срока его работы. В этом случае одной из сторон уполномоченного лица, пришедшего на замену руководителя исследования (при содействии персонала службы обеспечения качества), следует в кратчайшие сроки убедиться в соответствии исследований, проведенных на сегодняшний день, принципам Стандарта. Процедура и причины замены руководителя исследования оформляется документально и подтверждается руководством испытательной лаборатории. Также рекомендуется документирование результатов промежуточного рассмотрения соответствия принципам Стандарта в случае обнаружения недостатков или отклонений.</w:t>
      </w:r>
    </w:p>
    <w:bookmarkEnd w:id="712"/>
    <w:bookmarkStart w:name="z723" w:id="713"/>
    <w:p>
      <w:pPr>
        <w:spacing w:after="0"/>
        <w:ind w:left="0"/>
        <w:jc w:val="both"/>
      </w:pPr>
      <w:r>
        <w:rPr>
          <w:rFonts w:ascii="Times New Roman"/>
          <w:b w:val="false"/>
          <w:i w:val="false"/>
          <w:color w:val="000000"/>
          <w:sz w:val="28"/>
        </w:rPr>
        <w:t>
      25. Ко второму кругу обстоятельств, приводящих к временному отсутствию руководителя исследования, относятся праздники, научные совещания, болезнь или несчастный случай. Краткосрочное отсутствие не требует формальной замены руководителя исследования, если при возникновении проблем или непредвиденных ситуаций с ним можно связаться. Если в период отсутствия руководителя исследования ожидается проведение значимых этапов исследования, они могут быть либо перенесены на более удобное время (с внесением, в случае необходимости, изменений в план исследования) или рассматривается замена руководителя исследования либо путем формального выдвижения сотрудника в качестве замены руководителя исследования, либо временной передачи функций квалифицированному сотруднику для выполнения данного конкретного этапа исследования. Если отсутствие руководителя исследования более продолжительно, то предпочтение отдается замене, а не передаче функций.</w:t>
      </w:r>
    </w:p>
    <w:bookmarkEnd w:id="713"/>
    <w:bookmarkStart w:name="z724" w:id="714"/>
    <w:p>
      <w:pPr>
        <w:spacing w:after="0"/>
        <w:ind w:left="0"/>
        <w:jc w:val="both"/>
      </w:pPr>
      <w:r>
        <w:rPr>
          <w:rFonts w:ascii="Times New Roman"/>
          <w:b w:val="false"/>
          <w:i w:val="false"/>
          <w:color w:val="000000"/>
          <w:sz w:val="28"/>
        </w:rPr>
        <w:t>
      26. Вернувшийся руководитель исследования независимо от того, был ли он заменен или нет во время его отсутствия, в кратчайшие сроки устанавливает, имели ли место отклонения от Стандарта. Отклонения от Стандарта, возникшие в отсутствие руководителя исследования, документирует возвратившийся руководитель исследования.</w:t>
      </w:r>
    </w:p>
    <w:bookmarkEnd w:id="714"/>
    <w:bookmarkStart w:name="z725" w:id="715"/>
    <w:p>
      <w:pPr>
        <w:spacing w:after="0"/>
        <w:ind w:left="0"/>
        <w:jc w:val="both"/>
      </w:pPr>
      <w:r>
        <w:rPr>
          <w:rFonts w:ascii="Times New Roman"/>
          <w:b w:val="false"/>
          <w:i w:val="false"/>
          <w:color w:val="000000"/>
          <w:sz w:val="28"/>
        </w:rPr>
        <w:t>
      27. Подпись руководителя исследования, внесенная в заключительный отчет и имеющая юридическую силу, подтверждает уполномоченность руководителя исследования в отношении выполнения исследования в соответствии с Стандартом и достоверного представления первичных данных в заключительном отчете.</w:t>
      </w:r>
    </w:p>
    <w:bookmarkEnd w:id="715"/>
    <w:bookmarkStart w:name="z726" w:id="716"/>
    <w:p>
      <w:pPr>
        <w:spacing w:after="0"/>
        <w:ind w:left="0"/>
        <w:jc w:val="both"/>
      </w:pPr>
      <w:r>
        <w:rPr>
          <w:rFonts w:ascii="Times New Roman"/>
          <w:b w:val="false"/>
          <w:i w:val="false"/>
          <w:color w:val="000000"/>
          <w:sz w:val="28"/>
        </w:rPr>
        <w:t>
      В то же время следует учитывать, что руководитель исследования юридический отвечает по законодательству и судопроизводству, а не Стандартом.</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728" w:id="717"/>
    <w:p>
      <w:pPr>
        <w:spacing w:after="0"/>
        <w:ind w:left="0"/>
        <w:jc w:val="left"/>
      </w:pPr>
      <w:r>
        <w:rPr>
          <w:rFonts w:ascii="Times New Roman"/>
          <w:b/>
          <w:i w:val="false"/>
          <w:color w:val="000000"/>
        </w:rPr>
        <w:t xml:space="preserve"> Роль и функции спонсора в применении Стандарта</w:t>
      </w:r>
    </w:p>
    <w:bookmarkEnd w:id="717"/>
    <w:bookmarkStart w:name="z729" w:id="718"/>
    <w:p>
      <w:pPr>
        <w:spacing w:after="0"/>
        <w:ind w:left="0"/>
        <w:jc w:val="both"/>
      </w:pPr>
      <w:r>
        <w:rPr>
          <w:rFonts w:ascii="Times New Roman"/>
          <w:b w:val="false"/>
          <w:i w:val="false"/>
          <w:color w:val="000000"/>
          <w:sz w:val="28"/>
        </w:rPr>
        <w:t>
      1. У спонсора исследования помимо, прямых есть и косвенные задачи. Это обусловлено тем фактом, что спонсор часто является стороной, начинающей одно или несколько исследований, и напрямую предоставляет результаты исследований в уполномоченные органы. Поэтому спонсор принимает активное участие в подтверждении соответствия принципам Стандарта всех доклинических (неклинических) исследований безопасности здоровью человека и окружающей среды. Спонсоры не полагаются только на заверения испытательных лабораторий, нанятых для проведения таких исследований.</w:t>
      </w:r>
    </w:p>
    <w:bookmarkEnd w:id="718"/>
    <w:bookmarkStart w:name="z730" w:id="719"/>
    <w:p>
      <w:pPr>
        <w:spacing w:after="0"/>
        <w:ind w:left="0"/>
        <w:jc w:val="both"/>
      </w:pPr>
      <w:r>
        <w:rPr>
          <w:rFonts w:ascii="Times New Roman"/>
          <w:b w:val="false"/>
          <w:i w:val="false"/>
          <w:color w:val="000000"/>
          <w:sz w:val="28"/>
        </w:rPr>
        <w:t>
      2. Спонсор:</w:t>
      </w:r>
    </w:p>
    <w:bookmarkEnd w:id="719"/>
    <w:bookmarkStart w:name="z731" w:id="720"/>
    <w:p>
      <w:pPr>
        <w:spacing w:after="0"/>
        <w:ind w:left="0"/>
        <w:jc w:val="both"/>
      </w:pPr>
      <w:r>
        <w:rPr>
          <w:rFonts w:ascii="Times New Roman"/>
          <w:b w:val="false"/>
          <w:i w:val="false"/>
          <w:color w:val="000000"/>
          <w:sz w:val="28"/>
        </w:rPr>
        <w:t>
      1) лицо, которое начинает и обеспечивает финансирование и другую помощь при проведении доклинических (неклинических) исследований безопасности здоровья человека и окружающей среды (физическое лицо, компания, корпорация, ассоциация, научное или академическое учреждение, государственный орган или его структурное подразделение, а также любой другой орган, образованный на законном основании);</w:t>
      </w:r>
    </w:p>
    <w:bookmarkEnd w:id="720"/>
    <w:bookmarkStart w:name="z732" w:id="721"/>
    <w:p>
      <w:pPr>
        <w:spacing w:after="0"/>
        <w:ind w:left="0"/>
        <w:jc w:val="both"/>
      </w:pPr>
      <w:r>
        <w:rPr>
          <w:rFonts w:ascii="Times New Roman"/>
          <w:b w:val="false"/>
          <w:i w:val="false"/>
          <w:color w:val="000000"/>
          <w:sz w:val="28"/>
        </w:rPr>
        <w:t>
      2) лицо, которое представляет результаты доклинических (неклинических) исследований безопасности здоровья человека и окружающей среды в уполномоченный орган для регистрации продукта или в других целях, когда требуется соблюдение Стандарта.</w:t>
      </w:r>
    </w:p>
    <w:bookmarkEnd w:id="721"/>
    <w:bookmarkStart w:name="z733" w:id="722"/>
    <w:p>
      <w:pPr>
        <w:spacing w:after="0"/>
        <w:ind w:left="0"/>
        <w:jc w:val="both"/>
      </w:pPr>
      <w:r>
        <w:rPr>
          <w:rFonts w:ascii="Times New Roman"/>
          <w:b w:val="false"/>
          <w:i w:val="false"/>
          <w:color w:val="000000"/>
          <w:sz w:val="28"/>
        </w:rPr>
        <w:t>
      3. Спонсору следует знать о требованиях принципов Стандарта, в частности о тех, которые имеют отношение к руководству испытательной лаборатории и руководителю исследования, ведущему исследователю.</w:t>
      </w:r>
    </w:p>
    <w:bookmarkEnd w:id="722"/>
    <w:bookmarkStart w:name="z734" w:id="723"/>
    <w:p>
      <w:pPr>
        <w:spacing w:after="0"/>
        <w:ind w:left="0"/>
        <w:jc w:val="both"/>
      </w:pPr>
      <w:r>
        <w:rPr>
          <w:rFonts w:ascii="Times New Roman"/>
          <w:b w:val="false"/>
          <w:i w:val="false"/>
          <w:color w:val="000000"/>
          <w:sz w:val="28"/>
        </w:rPr>
        <w:t>
      4. Если какие-то части исследования передаются спонсором на выполнение субподрядчикам, спонсор знает о том, что за исследование в целом отвечает руководитель исследования, включая достоверность исходных данных и отчет.</w:t>
      </w:r>
    </w:p>
    <w:bookmarkEnd w:id="723"/>
    <w:bookmarkStart w:name="z735" w:id="724"/>
    <w:p>
      <w:pPr>
        <w:spacing w:after="0"/>
        <w:ind w:left="0"/>
        <w:jc w:val="both"/>
      </w:pPr>
      <w:r>
        <w:rPr>
          <w:rFonts w:ascii="Times New Roman"/>
          <w:b w:val="false"/>
          <w:i w:val="false"/>
          <w:color w:val="000000"/>
          <w:sz w:val="28"/>
        </w:rPr>
        <w:t>
      5. При заказе доклинических (неклинических) исследований безопасности здоровья человека и окружающей среды спонсору следует быть уверенным, что испытательная лаборатория подходит для проведения определенного вида исследования согласно Стандарту. Спонсор требует от испытательной лаборатории, что исследование проводились согласно Стандарту.</w:t>
      </w:r>
    </w:p>
    <w:bookmarkEnd w:id="724"/>
    <w:bookmarkStart w:name="z736" w:id="725"/>
    <w:p>
      <w:pPr>
        <w:spacing w:after="0"/>
        <w:ind w:left="0"/>
        <w:jc w:val="both"/>
      </w:pPr>
      <w:r>
        <w:rPr>
          <w:rFonts w:ascii="Times New Roman"/>
          <w:b w:val="false"/>
          <w:i w:val="false"/>
          <w:color w:val="000000"/>
          <w:sz w:val="28"/>
        </w:rPr>
        <w:t>
      6. Существуют разные способы оценки способности испытательной лаборатории провести исследование согласно Стандарту. Целесообразно изучить работу испытательной лаборатории до проведения исследования, а также в ходе исследования, например, структуру, продолжительность и сложность исследования, чтобы убедиться, что технические средства, оборудование, СОП и персонал соответствуют Стандарту. Если испытательная лаборатория участвует в программе контроля соблюдения Стандарта, к работе можно привлечь уполномоченный орган для определения статуса соответствия испытательной лаборатории Стандарту.</w:t>
      </w:r>
    </w:p>
    <w:bookmarkEnd w:id="725"/>
    <w:bookmarkStart w:name="z737" w:id="726"/>
    <w:p>
      <w:pPr>
        <w:spacing w:after="0"/>
        <w:ind w:left="0"/>
        <w:jc w:val="both"/>
      </w:pPr>
      <w:r>
        <w:rPr>
          <w:rFonts w:ascii="Times New Roman"/>
          <w:b w:val="false"/>
          <w:i w:val="false"/>
          <w:color w:val="000000"/>
          <w:sz w:val="28"/>
        </w:rPr>
        <w:t>
      7. Если в уполномоченный орган предоставляются несколько исследований в одном пакете, за достоверность всего пакета неизмененных заключительных отчетов отвечает спонсор. Следует, чтобы спонсор установил соответствующую связь между его представителями и всеми сторонами, участвующими в проведении исследования, например, руководителем исследования, отделом обеспечения качества и руководством испытательной лаборатории.</w:t>
      </w:r>
    </w:p>
    <w:bookmarkEnd w:id="726"/>
    <w:bookmarkStart w:name="z738" w:id="727"/>
    <w:p>
      <w:pPr>
        <w:spacing w:after="0"/>
        <w:ind w:left="0"/>
        <w:jc w:val="both"/>
      </w:pPr>
      <w:r>
        <w:rPr>
          <w:rFonts w:ascii="Times New Roman"/>
          <w:b w:val="false"/>
          <w:i w:val="false"/>
          <w:color w:val="000000"/>
          <w:sz w:val="28"/>
        </w:rPr>
        <w:t>
      8. Уполномоченный орган требует утверждения протокола, плана, программы исследования спонсорами в силу правовых особенностей, с учетом достоверности данных исследований.</w:t>
      </w:r>
    </w:p>
    <w:bookmarkEnd w:id="727"/>
    <w:bookmarkStart w:name="z739" w:id="728"/>
    <w:p>
      <w:pPr>
        <w:spacing w:after="0"/>
        <w:ind w:left="0"/>
        <w:jc w:val="both"/>
      </w:pPr>
      <w:r>
        <w:rPr>
          <w:rFonts w:ascii="Times New Roman"/>
          <w:b w:val="false"/>
          <w:i w:val="false"/>
          <w:color w:val="000000"/>
          <w:sz w:val="28"/>
        </w:rPr>
        <w:t>
      9. Если архив испытательной лаборатории, в связи с прекращением ее деятельности, передан в архивы спонсора, то он обеспечивает возможность надлежащего хранения и извлечения протоколов, планов, программ исследований, исходных данных, образцов, проб испытуемых и стандартных образцов и заключительных отчетов согласно Стандарту.</w:t>
      </w:r>
    </w:p>
    <w:bookmarkEnd w:id="728"/>
    <w:bookmarkStart w:name="z740" w:id="729"/>
    <w:p>
      <w:pPr>
        <w:spacing w:after="0"/>
        <w:ind w:left="0"/>
        <w:jc w:val="both"/>
      </w:pPr>
      <w:r>
        <w:rPr>
          <w:rFonts w:ascii="Times New Roman"/>
          <w:b w:val="false"/>
          <w:i w:val="false"/>
          <w:color w:val="000000"/>
          <w:sz w:val="28"/>
        </w:rPr>
        <w:t>
      10. Спонсор сообщает испытательной лаборатории о известных потенциальных опасностях исследуемого вещества (лекарственного вещества) для здоровья человека или окружающей среды, а также о защитных мерах, которые будут предприняты персоналом испытательной лаборатории.</w:t>
      </w:r>
    </w:p>
    <w:bookmarkEnd w:id="729"/>
    <w:bookmarkStart w:name="z741" w:id="730"/>
    <w:p>
      <w:pPr>
        <w:spacing w:after="0"/>
        <w:ind w:left="0"/>
        <w:jc w:val="both"/>
      </w:pPr>
      <w:r>
        <w:rPr>
          <w:rFonts w:ascii="Times New Roman"/>
          <w:b w:val="false"/>
          <w:i w:val="false"/>
          <w:color w:val="000000"/>
          <w:sz w:val="28"/>
        </w:rPr>
        <w:t>
      11. Стандарт включает требования к описанию свойств исследуемого вещества (лекарственного средства). Следует точно указывать название исследуемого вещества (лекарственного средства) и его свойства. Определение свойств исследуемого вещества (лекарственного средства) выполняет испытательная лаборатория, работающий по контракту, или спонсор. Если требуется, чтобы свойства определил спонсор, этот факт отражается в заключительном отчете. Спонсорам не следует забывать о том, что результатом определения свойств не в соответствии с Стандартом приведет к отклонениям исследования.</w:t>
      </w:r>
    </w:p>
    <w:bookmarkEnd w:id="730"/>
    <w:bookmarkStart w:name="z742" w:id="731"/>
    <w:p>
      <w:pPr>
        <w:spacing w:after="0"/>
        <w:ind w:left="0"/>
        <w:jc w:val="both"/>
      </w:pPr>
      <w:r>
        <w:rPr>
          <w:rFonts w:ascii="Times New Roman"/>
          <w:b w:val="false"/>
          <w:i w:val="false"/>
          <w:color w:val="000000"/>
          <w:sz w:val="28"/>
        </w:rPr>
        <w:t>
      12. Если информация о свойствах исследуемого вещества (лекарственного средства) не представлена спонсором испытательной лаборатории, работающей по контракту, этот факт также отражается в заключительном отчете.</w:t>
      </w:r>
    </w:p>
    <w:bookmarkEnd w:id="731"/>
    <w:bookmarkStart w:name="z743" w:id="732"/>
    <w:p>
      <w:pPr>
        <w:spacing w:after="0"/>
        <w:ind w:left="0"/>
        <w:jc w:val="both"/>
      </w:pPr>
      <w:r>
        <w:rPr>
          <w:rFonts w:ascii="Times New Roman"/>
          <w:b w:val="false"/>
          <w:i w:val="false"/>
          <w:color w:val="000000"/>
          <w:sz w:val="28"/>
        </w:rPr>
        <w:t>
      13. Уполномоченными за научную достоверность исследования является руководитель исследования, а не спонсор, задачей которого является принятие решения исходя из результатов исследований, предоставлять или не предоставлять исследуемое вещество (лекарственное средство) на регистрацию в уполномоченный орган.</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747" w:id="733"/>
    <w:p>
      <w:pPr>
        <w:spacing w:after="0"/>
        <w:ind w:left="0"/>
        <w:jc w:val="left"/>
      </w:pPr>
      <w:r>
        <w:rPr>
          <w:rFonts w:ascii="Times New Roman"/>
          <w:b/>
          <w:i w:val="false"/>
          <w:color w:val="000000"/>
        </w:rPr>
        <w:t xml:space="preserve"> Порядок проведения доклинических (неклинических) исследований лекарственных средств</w:t>
      </w:r>
    </w:p>
    <w:bookmarkEnd w:id="733"/>
    <w:bookmarkStart w:name="z748" w:id="734"/>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вне организма человека оценок и доказательств безопасности, качества и эффективности лекарственных средств.</w:t>
      </w:r>
    </w:p>
    <w:bookmarkEnd w:id="734"/>
    <w:bookmarkStart w:name="z749" w:id="735"/>
    <w:p>
      <w:pPr>
        <w:spacing w:after="0"/>
        <w:ind w:left="0"/>
        <w:jc w:val="both"/>
      </w:pPr>
      <w:r>
        <w:rPr>
          <w:rFonts w:ascii="Times New Roman"/>
          <w:b w:val="false"/>
          <w:i w:val="false"/>
          <w:color w:val="000000"/>
          <w:sz w:val="28"/>
        </w:rPr>
        <w:t>
      Доклиническое (неклиническое) изучение безопасности лекарственных средств проводится с соблюдением требований Стандарта, обеспечивает качество и воспроизводимость полученных данных.</w:t>
      </w:r>
    </w:p>
    <w:bookmarkEnd w:id="735"/>
    <w:bookmarkStart w:name="z750" w:id="736"/>
    <w:p>
      <w:pPr>
        <w:spacing w:after="0"/>
        <w:ind w:left="0"/>
        <w:jc w:val="both"/>
      </w:pPr>
      <w:r>
        <w:rPr>
          <w:rFonts w:ascii="Times New Roman"/>
          <w:b w:val="false"/>
          <w:i w:val="false"/>
          <w:color w:val="000000"/>
          <w:sz w:val="28"/>
        </w:rPr>
        <w:t xml:space="preserve">
      Доклиническое (неклиническое) изучение лекарственных средств проводится по следующим направлениям: </w:t>
      </w:r>
    </w:p>
    <w:bookmarkEnd w:id="736"/>
    <w:bookmarkStart w:name="z751" w:id="737"/>
    <w:p>
      <w:pPr>
        <w:spacing w:after="0"/>
        <w:ind w:left="0"/>
        <w:jc w:val="both"/>
      </w:pPr>
      <w:r>
        <w:rPr>
          <w:rFonts w:ascii="Times New Roman"/>
          <w:b w:val="false"/>
          <w:i w:val="false"/>
          <w:color w:val="000000"/>
          <w:sz w:val="28"/>
        </w:rPr>
        <w:t xml:space="preserve">
      1) изучение фармакологии лекарственного средства (первичная и вторичная фармакодинамика и фармакология безопасности, фармакология лекарственного взаимодействия); </w:t>
      </w:r>
    </w:p>
    <w:bookmarkEnd w:id="737"/>
    <w:bookmarkStart w:name="z752" w:id="738"/>
    <w:p>
      <w:pPr>
        <w:spacing w:after="0"/>
        <w:ind w:left="0"/>
        <w:jc w:val="both"/>
      </w:pPr>
      <w:r>
        <w:rPr>
          <w:rFonts w:ascii="Times New Roman"/>
          <w:b w:val="false"/>
          <w:i w:val="false"/>
          <w:color w:val="000000"/>
          <w:sz w:val="28"/>
        </w:rPr>
        <w:t xml:space="preserve">
      2) изучение фармакокинетики лекарственного средства (абсорбция, распределение, метаболизм, выведение, фармакокинетическое лекарственное взаимодействие, иные исследования фармакокинетики); </w:t>
      </w:r>
    </w:p>
    <w:bookmarkEnd w:id="738"/>
    <w:bookmarkStart w:name="z753" w:id="739"/>
    <w:p>
      <w:pPr>
        <w:spacing w:after="0"/>
        <w:ind w:left="0"/>
        <w:jc w:val="both"/>
      </w:pPr>
      <w:r>
        <w:rPr>
          <w:rFonts w:ascii="Times New Roman"/>
          <w:b w:val="false"/>
          <w:i w:val="false"/>
          <w:color w:val="000000"/>
          <w:sz w:val="28"/>
        </w:rPr>
        <w:t xml:space="preserve">
      3) токсикологические исследования (токсичность при однократном и повторном введениях лекарственного средства, генотоксичность, канцерогенность, репродуктивная токсичность, эмбриотоксичность, местная переносимость, иные исследования токсичности). </w:t>
      </w:r>
    </w:p>
    <w:bookmarkEnd w:id="739"/>
    <w:bookmarkStart w:name="z754" w:id="740"/>
    <w:p>
      <w:pPr>
        <w:spacing w:after="0"/>
        <w:ind w:left="0"/>
        <w:jc w:val="both"/>
      </w:pPr>
      <w:r>
        <w:rPr>
          <w:rFonts w:ascii="Times New Roman"/>
          <w:b w:val="false"/>
          <w:i w:val="false"/>
          <w:color w:val="000000"/>
          <w:sz w:val="28"/>
        </w:rPr>
        <w:t>
      Для организации и проведения доклинического (неклинического) исследования лекарственного средства разработчики лекарственных средств могут привлекать научно-исследовательские организации, образовательные организации высшего образования, иные организации, имеющие нужную материально-техническую базу и квалифицированных специалистов в соответствующей области исследования.</w:t>
      </w:r>
    </w:p>
    <w:bookmarkEnd w:id="740"/>
    <w:bookmarkStart w:name="z755" w:id="741"/>
    <w:p>
      <w:pPr>
        <w:spacing w:after="0"/>
        <w:ind w:left="0"/>
        <w:jc w:val="both"/>
      </w:pPr>
      <w:r>
        <w:rPr>
          <w:rFonts w:ascii="Times New Roman"/>
          <w:b w:val="false"/>
          <w:i w:val="false"/>
          <w:color w:val="000000"/>
          <w:sz w:val="28"/>
        </w:rPr>
        <w:t xml:space="preserve">
      Нужный объем и методология проведения доклинических (неклинических) исследований лекарственных средств определяется свойствами лекарственного средства и способом его производства. </w:t>
      </w:r>
    </w:p>
    <w:bookmarkEnd w:id="741"/>
    <w:bookmarkStart w:name="z756" w:id="742"/>
    <w:p>
      <w:pPr>
        <w:spacing w:after="0"/>
        <w:ind w:left="0"/>
        <w:jc w:val="both"/>
      </w:pPr>
      <w:r>
        <w:rPr>
          <w:rFonts w:ascii="Times New Roman"/>
          <w:b w:val="false"/>
          <w:i w:val="false"/>
          <w:color w:val="000000"/>
          <w:sz w:val="28"/>
        </w:rPr>
        <w:t>
      2. Оценка общетоксического действия является обязательной для:</w:t>
      </w:r>
    </w:p>
    <w:bookmarkEnd w:id="742"/>
    <w:bookmarkStart w:name="z757" w:id="743"/>
    <w:p>
      <w:pPr>
        <w:spacing w:after="0"/>
        <w:ind w:left="0"/>
        <w:jc w:val="both"/>
      </w:pPr>
      <w:r>
        <w:rPr>
          <w:rFonts w:ascii="Times New Roman"/>
          <w:b w:val="false"/>
          <w:i w:val="false"/>
          <w:color w:val="000000"/>
          <w:sz w:val="28"/>
        </w:rPr>
        <w:t>
      1) как для субстанции, так и готовых лекарственных форм новых оригинальных веществ;</w:t>
      </w:r>
    </w:p>
    <w:bookmarkEnd w:id="743"/>
    <w:bookmarkStart w:name="z758" w:id="744"/>
    <w:p>
      <w:pPr>
        <w:spacing w:after="0"/>
        <w:ind w:left="0"/>
        <w:jc w:val="both"/>
      </w:pPr>
      <w:r>
        <w:rPr>
          <w:rFonts w:ascii="Times New Roman"/>
          <w:b w:val="false"/>
          <w:i w:val="false"/>
          <w:color w:val="000000"/>
          <w:sz w:val="28"/>
        </w:rPr>
        <w:t>
      2) новой лекарственной формы, если она содержит новые активные ингредиенты или вспомогательные вещества, не разрешенные для применения в медицинской практике;</w:t>
      </w:r>
    </w:p>
    <w:bookmarkEnd w:id="744"/>
    <w:bookmarkStart w:name="z759" w:id="745"/>
    <w:p>
      <w:pPr>
        <w:spacing w:after="0"/>
        <w:ind w:left="0"/>
        <w:jc w:val="both"/>
      </w:pPr>
      <w:r>
        <w:rPr>
          <w:rFonts w:ascii="Times New Roman"/>
          <w:b w:val="false"/>
          <w:i w:val="false"/>
          <w:color w:val="000000"/>
          <w:sz w:val="28"/>
        </w:rPr>
        <w:t>
      3) лекарственной формы известных лекарственных средств при измененной технологии ее производства;</w:t>
      </w:r>
    </w:p>
    <w:bookmarkEnd w:id="745"/>
    <w:bookmarkStart w:name="z760" w:id="746"/>
    <w:p>
      <w:pPr>
        <w:spacing w:after="0"/>
        <w:ind w:left="0"/>
        <w:jc w:val="both"/>
      </w:pPr>
      <w:r>
        <w:rPr>
          <w:rFonts w:ascii="Times New Roman"/>
          <w:b w:val="false"/>
          <w:i w:val="false"/>
          <w:color w:val="000000"/>
          <w:sz w:val="28"/>
        </w:rPr>
        <w:t>
      4) лекарственной формы известных лекарственных средств, рекомендованных для нового пути введения;</w:t>
      </w:r>
    </w:p>
    <w:bookmarkEnd w:id="746"/>
    <w:bookmarkStart w:name="z761" w:id="747"/>
    <w:p>
      <w:pPr>
        <w:spacing w:after="0"/>
        <w:ind w:left="0"/>
        <w:jc w:val="both"/>
      </w:pPr>
      <w:r>
        <w:rPr>
          <w:rFonts w:ascii="Times New Roman"/>
          <w:b w:val="false"/>
          <w:i w:val="false"/>
          <w:color w:val="000000"/>
          <w:sz w:val="28"/>
        </w:rPr>
        <w:t>
      5) новых комбинаций разрешенных лекарственных средств, если установлено изменение фармакокинетических параметров компонентов.</w:t>
      </w:r>
    </w:p>
    <w:bookmarkEnd w:id="747"/>
    <w:bookmarkStart w:name="z762" w:id="748"/>
    <w:p>
      <w:pPr>
        <w:spacing w:after="0"/>
        <w:ind w:left="0"/>
        <w:jc w:val="both"/>
      </w:pPr>
      <w:r>
        <w:rPr>
          <w:rFonts w:ascii="Times New Roman"/>
          <w:b w:val="false"/>
          <w:i w:val="false"/>
          <w:color w:val="000000"/>
          <w:sz w:val="28"/>
        </w:rPr>
        <w:t>
      3. Все новые лекарственные средства изучаются на грызунах (рандомбредных или линейных) и негрызунах. Длительность токсикологического эксперимента определяется продолжительностью его клинического применения (согласно таблице). </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средства у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введения средства животным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токсичность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токсичность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r>
    </w:tbl>
    <w:bookmarkStart w:name="z763" w:id="749"/>
    <w:p>
      <w:pPr>
        <w:spacing w:after="0"/>
        <w:ind w:left="0"/>
        <w:jc w:val="both"/>
      </w:pPr>
      <w:r>
        <w:rPr>
          <w:rFonts w:ascii="Times New Roman"/>
          <w:b w:val="false"/>
          <w:i w:val="false"/>
          <w:color w:val="000000"/>
          <w:sz w:val="28"/>
        </w:rPr>
        <w:t>
      4. Исследования на грызунах. Изучение острой токсичности:</w:t>
      </w:r>
    </w:p>
    <w:bookmarkEnd w:id="749"/>
    <w:bookmarkStart w:name="z764" w:id="750"/>
    <w:p>
      <w:pPr>
        <w:spacing w:after="0"/>
        <w:ind w:left="0"/>
        <w:jc w:val="both"/>
      </w:pPr>
      <w:r>
        <w:rPr>
          <w:rFonts w:ascii="Times New Roman"/>
          <w:b w:val="false"/>
          <w:i w:val="false"/>
          <w:color w:val="000000"/>
          <w:sz w:val="28"/>
        </w:rPr>
        <w:t>
      1) животные: два вида (мыши, крысы) половозрелые, обоего пола;</w:t>
      </w:r>
    </w:p>
    <w:bookmarkEnd w:id="750"/>
    <w:bookmarkStart w:name="z765" w:id="751"/>
    <w:p>
      <w:pPr>
        <w:spacing w:after="0"/>
        <w:ind w:left="0"/>
        <w:jc w:val="both"/>
      </w:pPr>
      <w:r>
        <w:rPr>
          <w:rFonts w:ascii="Times New Roman"/>
          <w:b w:val="false"/>
          <w:i w:val="false"/>
          <w:color w:val="000000"/>
          <w:sz w:val="28"/>
        </w:rPr>
        <w:t>
      2) число животных в группе не менее 5 животных;</w:t>
      </w:r>
    </w:p>
    <w:bookmarkEnd w:id="751"/>
    <w:bookmarkStart w:name="z766" w:id="752"/>
    <w:p>
      <w:pPr>
        <w:spacing w:after="0"/>
        <w:ind w:left="0"/>
        <w:jc w:val="both"/>
      </w:pPr>
      <w:r>
        <w:rPr>
          <w:rFonts w:ascii="Times New Roman"/>
          <w:b w:val="false"/>
          <w:i w:val="false"/>
          <w:color w:val="000000"/>
          <w:sz w:val="28"/>
        </w:rPr>
        <w:t>
      3) путь введения: пероральный и парентеральный, включая рекомендованный для клинического применения;</w:t>
      </w:r>
    </w:p>
    <w:bookmarkEnd w:id="752"/>
    <w:bookmarkStart w:name="z767" w:id="753"/>
    <w:p>
      <w:pPr>
        <w:spacing w:after="0"/>
        <w:ind w:left="0"/>
        <w:jc w:val="both"/>
      </w:pPr>
      <w:r>
        <w:rPr>
          <w:rFonts w:ascii="Times New Roman"/>
          <w:b w:val="false"/>
          <w:i w:val="false"/>
          <w:color w:val="000000"/>
          <w:sz w:val="28"/>
        </w:rPr>
        <w:t xml:space="preserve">
      4) дозы: 4-5 доз, достаточных для расчета DL50; если вещество обладает малой токсичностью, то следует ввести максимально возможную дозу при изучении острой токсичности с учетом технических возможностей; </w:t>
      </w:r>
    </w:p>
    <w:bookmarkEnd w:id="753"/>
    <w:bookmarkStart w:name="z768" w:id="754"/>
    <w:p>
      <w:pPr>
        <w:spacing w:after="0"/>
        <w:ind w:left="0"/>
        <w:jc w:val="both"/>
      </w:pPr>
      <w:r>
        <w:rPr>
          <w:rFonts w:ascii="Times New Roman"/>
          <w:b w:val="false"/>
          <w:i w:val="false"/>
          <w:color w:val="000000"/>
          <w:sz w:val="28"/>
        </w:rPr>
        <w:t>
      5) при изучении острой токсичности, используется 5 групп животных;</w:t>
      </w:r>
    </w:p>
    <w:bookmarkEnd w:id="754"/>
    <w:bookmarkStart w:name="z769" w:id="755"/>
    <w:p>
      <w:pPr>
        <w:spacing w:after="0"/>
        <w:ind w:left="0"/>
        <w:jc w:val="both"/>
      </w:pPr>
      <w:r>
        <w:rPr>
          <w:rFonts w:ascii="Times New Roman"/>
          <w:b w:val="false"/>
          <w:i w:val="false"/>
          <w:color w:val="000000"/>
          <w:sz w:val="28"/>
        </w:rPr>
        <w:t>
      6) среднесмертельная доза DL50 рассчитывается методом пробит-анализа;</w:t>
      </w:r>
    </w:p>
    <w:bookmarkEnd w:id="755"/>
    <w:bookmarkStart w:name="z770" w:id="756"/>
    <w:p>
      <w:pPr>
        <w:spacing w:after="0"/>
        <w:ind w:left="0"/>
        <w:jc w:val="both"/>
      </w:pPr>
      <w:r>
        <w:rPr>
          <w:rFonts w:ascii="Times New Roman"/>
          <w:b w:val="false"/>
          <w:i w:val="false"/>
          <w:color w:val="000000"/>
          <w:sz w:val="28"/>
        </w:rPr>
        <w:t>
      7) частота введения: однократно;</w:t>
      </w:r>
    </w:p>
    <w:bookmarkEnd w:id="756"/>
    <w:bookmarkStart w:name="z771" w:id="757"/>
    <w:p>
      <w:pPr>
        <w:spacing w:after="0"/>
        <w:ind w:left="0"/>
        <w:jc w:val="both"/>
      </w:pPr>
      <w:r>
        <w:rPr>
          <w:rFonts w:ascii="Times New Roman"/>
          <w:b w:val="false"/>
          <w:i w:val="false"/>
          <w:color w:val="000000"/>
          <w:sz w:val="28"/>
        </w:rPr>
        <w:t>
      8) период наблюдения: 14 дней;</w:t>
      </w:r>
    </w:p>
    <w:bookmarkEnd w:id="757"/>
    <w:bookmarkStart w:name="z772" w:id="758"/>
    <w:p>
      <w:pPr>
        <w:spacing w:after="0"/>
        <w:ind w:left="0"/>
        <w:jc w:val="both"/>
      </w:pPr>
      <w:r>
        <w:rPr>
          <w:rFonts w:ascii="Times New Roman"/>
          <w:b w:val="false"/>
          <w:i w:val="false"/>
          <w:color w:val="000000"/>
          <w:sz w:val="28"/>
        </w:rPr>
        <w:t>
      9) экспериментальная программа: ежедневное наблюдение общего состояния, взвешивание животных 3 раза в течение периода наблюдения, вскрытие павших животных и всех выживших в конце эксперимента, макроскопическое описание, определение относительной массы органов и изучение гистологической структуры органов с выраженными макроскопическими изменениями.</w:t>
      </w:r>
    </w:p>
    <w:bookmarkEnd w:id="758"/>
    <w:bookmarkStart w:name="z773" w:id="759"/>
    <w:p>
      <w:pPr>
        <w:spacing w:after="0"/>
        <w:ind w:left="0"/>
        <w:jc w:val="both"/>
      </w:pPr>
      <w:r>
        <w:rPr>
          <w:rFonts w:ascii="Times New Roman"/>
          <w:b w:val="false"/>
          <w:i w:val="false"/>
          <w:color w:val="000000"/>
          <w:sz w:val="28"/>
        </w:rPr>
        <w:t>
      5. Изучение подострой (субхронической) токсичности:</w:t>
      </w:r>
    </w:p>
    <w:bookmarkEnd w:id="759"/>
    <w:bookmarkStart w:name="z774" w:id="760"/>
    <w:p>
      <w:pPr>
        <w:spacing w:after="0"/>
        <w:ind w:left="0"/>
        <w:jc w:val="both"/>
      </w:pPr>
      <w:r>
        <w:rPr>
          <w:rFonts w:ascii="Times New Roman"/>
          <w:b w:val="false"/>
          <w:i w:val="false"/>
          <w:color w:val="000000"/>
          <w:sz w:val="28"/>
        </w:rPr>
        <w:t>
      1) животные: один вид взрослых животных обоего пола;</w:t>
      </w:r>
    </w:p>
    <w:bookmarkEnd w:id="760"/>
    <w:bookmarkStart w:name="z775" w:id="761"/>
    <w:p>
      <w:pPr>
        <w:spacing w:after="0"/>
        <w:ind w:left="0"/>
        <w:jc w:val="both"/>
      </w:pPr>
      <w:r>
        <w:rPr>
          <w:rFonts w:ascii="Times New Roman"/>
          <w:b w:val="false"/>
          <w:i w:val="false"/>
          <w:color w:val="000000"/>
          <w:sz w:val="28"/>
        </w:rPr>
        <w:t>
      2) число животных в группе не менее, чем по 10 особей обоего пола;</w:t>
      </w:r>
    </w:p>
    <w:bookmarkEnd w:id="761"/>
    <w:bookmarkStart w:name="z776" w:id="762"/>
    <w:p>
      <w:pPr>
        <w:spacing w:after="0"/>
        <w:ind w:left="0"/>
        <w:jc w:val="both"/>
      </w:pPr>
      <w:r>
        <w:rPr>
          <w:rFonts w:ascii="Times New Roman"/>
          <w:b w:val="false"/>
          <w:i w:val="false"/>
          <w:color w:val="000000"/>
          <w:sz w:val="28"/>
        </w:rPr>
        <w:t>
      3) путь введения: рекомендованный для клинического применения;</w:t>
      </w:r>
    </w:p>
    <w:bookmarkEnd w:id="762"/>
    <w:bookmarkStart w:name="z777" w:id="763"/>
    <w:p>
      <w:pPr>
        <w:spacing w:after="0"/>
        <w:ind w:left="0"/>
        <w:jc w:val="both"/>
      </w:pPr>
      <w:r>
        <w:rPr>
          <w:rFonts w:ascii="Times New Roman"/>
          <w:b w:val="false"/>
          <w:i w:val="false"/>
          <w:color w:val="000000"/>
          <w:sz w:val="28"/>
        </w:rPr>
        <w:t>
      4) дозы: три дозы с обязательным формированием контрольных групп самок и самцов; меньшая из исследуемых доз - терапевтическая, максимальная вызывает интоксикацию и частичную гибель животных, средняя выбирается между ними;</w:t>
      </w:r>
    </w:p>
    <w:bookmarkEnd w:id="763"/>
    <w:bookmarkStart w:name="z778" w:id="764"/>
    <w:p>
      <w:pPr>
        <w:spacing w:after="0"/>
        <w:ind w:left="0"/>
        <w:jc w:val="both"/>
      </w:pPr>
      <w:r>
        <w:rPr>
          <w:rFonts w:ascii="Times New Roman"/>
          <w:b w:val="false"/>
          <w:i w:val="false"/>
          <w:color w:val="000000"/>
          <w:sz w:val="28"/>
        </w:rPr>
        <w:t>
      2) экспериментальная программа: ежедневная регистрация общего состояния, взвешивание 1 раз в неделю, потребление пищи каждым животным или группой, по крайней мере, 1 раз в неделю в течение эксперимента. До введения препарата и в течение эксперимента проводятся гематологические, биохимические, офтальмологические, физиологические исследования, проводится анализ мочи, а при необходимости дополнительные исследования.</w:t>
      </w:r>
    </w:p>
    <w:bookmarkEnd w:id="764"/>
    <w:bookmarkStart w:name="z779" w:id="765"/>
    <w:p>
      <w:pPr>
        <w:spacing w:after="0"/>
        <w:ind w:left="0"/>
        <w:jc w:val="both"/>
      </w:pPr>
      <w:r>
        <w:rPr>
          <w:rFonts w:ascii="Times New Roman"/>
          <w:b w:val="false"/>
          <w:i w:val="false"/>
          <w:color w:val="000000"/>
          <w:sz w:val="28"/>
        </w:rPr>
        <w:t>
      Погибшие в течение эксперимента и умирающие животные подлежат вскрытию, макроскопическому описанию, органы взвешиваются и подвергаются гистологическому исследованию. В конце опыта все выжившие животные в каждой группе подвергаются вскрытию, макроскопическому описанию, органы взвешиваются.</w:t>
      </w:r>
    </w:p>
    <w:bookmarkEnd w:id="765"/>
    <w:bookmarkStart w:name="z780" w:id="766"/>
    <w:p>
      <w:pPr>
        <w:spacing w:after="0"/>
        <w:ind w:left="0"/>
        <w:jc w:val="both"/>
      </w:pPr>
      <w:r>
        <w:rPr>
          <w:rFonts w:ascii="Times New Roman"/>
          <w:b w:val="false"/>
          <w:i w:val="false"/>
          <w:color w:val="000000"/>
          <w:sz w:val="28"/>
        </w:rPr>
        <w:t>
      Гематологические и биохимические исследования проводятся при завершении эксперимента и у умерших животных. Гистологическому исследованию подвергаются, все контрольные животные и те, которые подвергались воздействию наибольшей изученной дозы препарата. Органы и ткани животных остальных групп подвергаются гистологическому изучению по итогам исследования воздействия максимальной дозы и на основании макроскопических изменений органов.</w:t>
      </w:r>
    </w:p>
    <w:bookmarkEnd w:id="766"/>
    <w:bookmarkStart w:name="z781" w:id="767"/>
    <w:p>
      <w:pPr>
        <w:spacing w:after="0"/>
        <w:ind w:left="0"/>
        <w:jc w:val="both"/>
      </w:pPr>
      <w:r>
        <w:rPr>
          <w:rFonts w:ascii="Times New Roman"/>
          <w:b w:val="false"/>
          <w:i w:val="false"/>
          <w:color w:val="000000"/>
          <w:sz w:val="28"/>
        </w:rPr>
        <w:t>
      6. Изучение хронической токсичности:</w:t>
      </w:r>
    </w:p>
    <w:bookmarkEnd w:id="767"/>
    <w:bookmarkStart w:name="z782" w:id="768"/>
    <w:p>
      <w:pPr>
        <w:spacing w:after="0"/>
        <w:ind w:left="0"/>
        <w:jc w:val="both"/>
      </w:pPr>
      <w:r>
        <w:rPr>
          <w:rFonts w:ascii="Times New Roman"/>
          <w:b w:val="false"/>
          <w:i w:val="false"/>
          <w:color w:val="000000"/>
          <w:sz w:val="28"/>
        </w:rPr>
        <w:t>
      1) животные: один вид здоровых взрослых животных обоего пола;</w:t>
      </w:r>
    </w:p>
    <w:bookmarkEnd w:id="768"/>
    <w:bookmarkStart w:name="z783" w:id="769"/>
    <w:p>
      <w:pPr>
        <w:spacing w:after="0"/>
        <w:ind w:left="0"/>
        <w:jc w:val="both"/>
      </w:pPr>
      <w:r>
        <w:rPr>
          <w:rFonts w:ascii="Times New Roman"/>
          <w:b w:val="false"/>
          <w:i w:val="false"/>
          <w:color w:val="000000"/>
          <w:sz w:val="28"/>
        </w:rPr>
        <w:t>
      2) число животных в каждой группе составляет не менее чем по 20 особей обоего пола;</w:t>
      </w:r>
    </w:p>
    <w:bookmarkEnd w:id="769"/>
    <w:bookmarkStart w:name="z784" w:id="770"/>
    <w:p>
      <w:pPr>
        <w:spacing w:after="0"/>
        <w:ind w:left="0"/>
        <w:jc w:val="both"/>
      </w:pPr>
      <w:r>
        <w:rPr>
          <w:rFonts w:ascii="Times New Roman"/>
          <w:b w:val="false"/>
          <w:i w:val="false"/>
          <w:color w:val="000000"/>
          <w:sz w:val="28"/>
        </w:rPr>
        <w:t>
      3) путь введения: по возможности соответствует рекомендованному для клинического применения;</w:t>
      </w:r>
    </w:p>
    <w:bookmarkEnd w:id="770"/>
    <w:bookmarkStart w:name="z785" w:id="771"/>
    <w:p>
      <w:pPr>
        <w:spacing w:after="0"/>
        <w:ind w:left="0"/>
        <w:jc w:val="both"/>
      </w:pPr>
      <w:r>
        <w:rPr>
          <w:rFonts w:ascii="Times New Roman"/>
          <w:b w:val="false"/>
          <w:i w:val="false"/>
          <w:color w:val="000000"/>
          <w:sz w:val="28"/>
        </w:rPr>
        <w:t>
      4) дозы: лекарственное средство изучается в трех дозах с осязательным выделением контрольной группы животных.</w:t>
      </w:r>
    </w:p>
    <w:bookmarkEnd w:id="771"/>
    <w:bookmarkStart w:name="z786" w:id="772"/>
    <w:p>
      <w:pPr>
        <w:spacing w:after="0"/>
        <w:ind w:left="0"/>
        <w:jc w:val="both"/>
      </w:pPr>
      <w:r>
        <w:rPr>
          <w:rFonts w:ascii="Times New Roman"/>
          <w:b w:val="false"/>
          <w:i w:val="false"/>
          <w:color w:val="000000"/>
          <w:sz w:val="28"/>
        </w:rPr>
        <w:t>
      Если введение вещества требует растворителей или каких-либо добавок, то, наряду с интактным контролем нужен контроль, получающий соответствующий растворитель.</w:t>
      </w:r>
    </w:p>
    <w:bookmarkEnd w:id="772"/>
    <w:bookmarkStart w:name="z787" w:id="773"/>
    <w:p>
      <w:pPr>
        <w:spacing w:after="0"/>
        <w:ind w:left="0"/>
        <w:jc w:val="both"/>
      </w:pPr>
      <w:r>
        <w:rPr>
          <w:rFonts w:ascii="Times New Roman"/>
          <w:b w:val="false"/>
          <w:i w:val="false"/>
          <w:color w:val="000000"/>
          <w:sz w:val="28"/>
        </w:rPr>
        <w:t>
      Выбор изучаемых доз в хроническом эксперименте базируется на результатах фармакологических исследований, острой и подострой токсичности. Наименьшая из изучаемых доз - эффективная доза для используемого в эксперименте вида животного.</w:t>
      </w:r>
    </w:p>
    <w:bookmarkEnd w:id="773"/>
    <w:bookmarkStart w:name="z788" w:id="774"/>
    <w:p>
      <w:pPr>
        <w:spacing w:after="0"/>
        <w:ind w:left="0"/>
        <w:jc w:val="both"/>
      </w:pPr>
      <w:r>
        <w:rPr>
          <w:rFonts w:ascii="Times New Roman"/>
          <w:b w:val="false"/>
          <w:i w:val="false"/>
          <w:color w:val="000000"/>
          <w:sz w:val="28"/>
        </w:rPr>
        <w:t>
      Максимальная доза вызывает проявления интоксикации, но не гибель подопытных животных. Средняя доза занимает промежуточное положение между ними;</w:t>
      </w:r>
    </w:p>
    <w:bookmarkEnd w:id="774"/>
    <w:bookmarkStart w:name="z789" w:id="775"/>
    <w:p>
      <w:pPr>
        <w:spacing w:after="0"/>
        <w:ind w:left="0"/>
        <w:jc w:val="both"/>
      </w:pPr>
      <w:r>
        <w:rPr>
          <w:rFonts w:ascii="Times New Roman"/>
          <w:b w:val="false"/>
          <w:i w:val="false"/>
          <w:color w:val="000000"/>
          <w:sz w:val="28"/>
        </w:rPr>
        <w:t>
      5) длительность введения: от 6 до 12 месяцев с частотой 7 раз в неделю;</w:t>
      </w:r>
    </w:p>
    <w:bookmarkEnd w:id="775"/>
    <w:bookmarkStart w:name="z790" w:id="776"/>
    <w:p>
      <w:pPr>
        <w:spacing w:after="0"/>
        <w:ind w:left="0"/>
        <w:jc w:val="both"/>
      </w:pPr>
      <w:r>
        <w:rPr>
          <w:rFonts w:ascii="Times New Roman"/>
          <w:b w:val="false"/>
          <w:i w:val="false"/>
          <w:color w:val="000000"/>
          <w:sz w:val="28"/>
        </w:rPr>
        <w:t>
      6) экспериментальная программа: общее состояние всех животных регистрируется ежедневно; взвешивание производится 1 раз в неделю в первые 3 месяца эксперимента, затем 1 раз в месяц; потребление пищи каждым животным или группой измеряется 1 раз в месяц; у части животных каждой группы следует провести анализ мочи, офтальмологические, гематологические, биохимические и физиологические исследования каждые 6 месяцев в течение введения препарата.</w:t>
      </w:r>
    </w:p>
    <w:bookmarkEnd w:id="776"/>
    <w:bookmarkStart w:name="z791" w:id="777"/>
    <w:p>
      <w:pPr>
        <w:spacing w:after="0"/>
        <w:ind w:left="0"/>
        <w:jc w:val="both"/>
      </w:pPr>
      <w:r>
        <w:rPr>
          <w:rFonts w:ascii="Times New Roman"/>
          <w:b w:val="false"/>
          <w:i w:val="false"/>
          <w:color w:val="000000"/>
          <w:sz w:val="28"/>
        </w:rPr>
        <w:t>
      Интегральные тесты: выживаемость, прирост массы тела, потребление пищи, общее поведение, осмотр, пальпация, ректальная температура.</w:t>
      </w:r>
    </w:p>
    <w:bookmarkEnd w:id="777"/>
    <w:bookmarkStart w:name="z792" w:id="778"/>
    <w:p>
      <w:pPr>
        <w:spacing w:after="0"/>
        <w:ind w:left="0"/>
        <w:jc w:val="both"/>
      </w:pPr>
      <w:r>
        <w:rPr>
          <w:rFonts w:ascii="Times New Roman"/>
          <w:b w:val="false"/>
          <w:i w:val="false"/>
          <w:color w:val="000000"/>
          <w:sz w:val="28"/>
        </w:rPr>
        <w:t>
      Гематологические исследования: гематокрит, гемоглобин, количество эритроцитов, цветовой показатель, скорость оседания эритроцитов, средний объем эритроцитов, количество лейкоцитов, лейкограмма, тромбоциты, ретикулоциты, миелограмма, коагулограмма.</w:t>
      </w:r>
    </w:p>
    <w:bookmarkEnd w:id="778"/>
    <w:bookmarkStart w:name="z793" w:id="779"/>
    <w:p>
      <w:pPr>
        <w:spacing w:after="0"/>
        <w:ind w:left="0"/>
        <w:jc w:val="both"/>
      </w:pPr>
      <w:r>
        <w:rPr>
          <w:rFonts w:ascii="Times New Roman"/>
          <w:b w:val="false"/>
          <w:i w:val="false"/>
          <w:color w:val="000000"/>
          <w:sz w:val="28"/>
        </w:rPr>
        <w:t>
      Биохимические исследования сыворотки крови: аспартатрансаминаза, аланинтрансаминаза, лактатдегидрогеназа, билирубин, глюкоза, ионы натрия, калия, общий белок, мочевина, креатинин, щелочная фосфатаза, общие липиды, общий холестерин.</w:t>
      </w:r>
    </w:p>
    <w:bookmarkEnd w:id="779"/>
    <w:bookmarkStart w:name="z794" w:id="780"/>
    <w:p>
      <w:pPr>
        <w:spacing w:after="0"/>
        <w:ind w:left="0"/>
        <w:jc w:val="both"/>
      </w:pPr>
      <w:r>
        <w:rPr>
          <w:rFonts w:ascii="Times New Roman"/>
          <w:b w:val="false"/>
          <w:i w:val="false"/>
          <w:color w:val="000000"/>
          <w:sz w:val="28"/>
        </w:rPr>
        <w:t>
      Исследование мочи: спонтанный диурез, рН мочи, белок, билирубин, сахар, кетоновые тела, уробилиноген, мочевина, ионы натрия, калия, анализ осадка мочи.</w:t>
      </w:r>
    </w:p>
    <w:bookmarkEnd w:id="780"/>
    <w:bookmarkStart w:name="z795" w:id="781"/>
    <w:p>
      <w:pPr>
        <w:spacing w:after="0"/>
        <w:ind w:left="0"/>
        <w:jc w:val="both"/>
      </w:pPr>
      <w:r>
        <w:rPr>
          <w:rFonts w:ascii="Times New Roman"/>
          <w:b w:val="false"/>
          <w:i w:val="false"/>
          <w:color w:val="000000"/>
          <w:sz w:val="28"/>
        </w:rPr>
        <w:t>
      Нагрузочные пробы: бромсульфалеиновая проба, длительность "гексеналового сна", оценка секреторной функции почек по экскреции фенолового красного.</w:t>
      </w:r>
    </w:p>
    <w:bookmarkEnd w:id="781"/>
    <w:bookmarkStart w:name="z796" w:id="782"/>
    <w:p>
      <w:pPr>
        <w:spacing w:after="0"/>
        <w:ind w:left="0"/>
        <w:jc w:val="both"/>
      </w:pPr>
      <w:r>
        <w:rPr>
          <w:rFonts w:ascii="Times New Roman"/>
          <w:b w:val="false"/>
          <w:i w:val="false"/>
          <w:color w:val="000000"/>
          <w:sz w:val="28"/>
        </w:rPr>
        <w:t>
      Физиологические исследования: тест "открытого" поля, спонтанная двигательная активность, исследовательский рефлекс, рефлекс активного и пассивного избегания, суммация подпороговых импульсов, электрокардиография, измерение кровяного давления.</w:t>
      </w:r>
    </w:p>
    <w:bookmarkEnd w:id="782"/>
    <w:bookmarkStart w:name="z797" w:id="783"/>
    <w:p>
      <w:pPr>
        <w:spacing w:after="0"/>
        <w:ind w:left="0"/>
        <w:jc w:val="both"/>
      </w:pPr>
      <w:r>
        <w:rPr>
          <w:rFonts w:ascii="Times New Roman"/>
          <w:b w:val="false"/>
          <w:i w:val="false"/>
          <w:color w:val="000000"/>
          <w:sz w:val="28"/>
        </w:rPr>
        <w:t>
      Патоморфологические исследования: гистологическому исследованию подвергаются следующие органы и ткани животных: кожа, молочные железы, лимфатические узлы, подчелюстные железы, грудина, бедро, костный мозг, тимус, трахея, легкие, сердце*, щитовидная железа, пара- щитовидная железа, язык, пищевод, желудок, 12-перстная кишка, тонкий кишечник, толстый кишечник, печень*, поджелудочная железа, селезенка*, почки*, надпочечники*, мочевой пузырь, семенные пузырьки, простата*, яички*, яичники*, матка, влагалище, головной мозг*, гипофиз*, спинной мозг, глазное яблоко и другие органы и ткани с макроскопическими изменениями. При этом органы, отмеченные звездочкой, взвешиваются.</w:t>
      </w:r>
    </w:p>
    <w:bookmarkEnd w:id="783"/>
    <w:bookmarkStart w:name="z798" w:id="784"/>
    <w:p>
      <w:pPr>
        <w:spacing w:after="0"/>
        <w:ind w:left="0"/>
        <w:jc w:val="both"/>
      </w:pPr>
      <w:r>
        <w:rPr>
          <w:rFonts w:ascii="Times New Roman"/>
          <w:b w:val="false"/>
          <w:i w:val="false"/>
          <w:color w:val="000000"/>
          <w:sz w:val="28"/>
        </w:rPr>
        <w:t>
      Погибшие и умирающие животные подвергаются вскрытию, описывается макроскопически, органы взвешиваются и подвергаются гистологическому исследованию.</w:t>
      </w:r>
    </w:p>
    <w:bookmarkEnd w:id="784"/>
    <w:bookmarkStart w:name="z799" w:id="785"/>
    <w:p>
      <w:pPr>
        <w:spacing w:after="0"/>
        <w:ind w:left="0"/>
        <w:jc w:val="both"/>
      </w:pPr>
      <w:r>
        <w:rPr>
          <w:rFonts w:ascii="Times New Roman"/>
          <w:b w:val="false"/>
          <w:i w:val="false"/>
          <w:color w:val="000000"/>
          <w:sz w:val="28"/>
        </w:rPr>
        <w:t>
      После прекращения введения препарата часть животных оставляется для изучения восстановительного периода, если установлены функциональные изменения; остальные выжившие животные подвергаются вскрытию, макроскопическому описанию, органы взвешиваются.</w:t>
      </w:r>
    </w:p>
    <w:bookmarkEnd w:id="785"/>
    <w:bookmarkStart w:name="z800" w:id="786"/>
    <w:p>
      <w:pPr>
        <w:spacing w:after="0"/>
        <w:ind w:left="0"/>
        <w:jc w:val="both"/>
      </w:pPr>
      <w:r>
        <w:rPr>
          <w:rFonts w:ascii="Times New Roman"/>
          <w:b w:val="false"/>
          <w:i w:val="false"/>
          <w:color w:val="000000"/>
          <w:sz w:val="28"/>
        </w:rPr>
        <w:t>
      Гистологическому исследованию подвергаются животные контрольной группы и группы, подвергающейся воздействию максимальной дозы препарата; органы животных других групп подвергаются гистологическому исследованию по мере необходимости, при обнаружении макроскопических изменений в органах, при выявлении органов-мишеней; необходимые гематологические и биохимические исследования проводятся во всех группах при забое.</w:t>
      </w:r>
    </w:p>
    <w:bookmarkEnd w:id="786"/>
    <w:bookmarkStart w:name="z801" w:id="787"/>
    <w:p>
      <w:pPr>
        <w:spacing w:after="0"/>
        <w:ind w:left="0"/>
        <w:jc w:val="both"/>
      </w:pPr>
      <w:r>
        <w:rPr>
          <w:rFonts w:ascii="Times New Roman"/>
          <w:b w:val="false"/>
          <w:i w:val="false"/>
          <w:color w:val="000000"/>
          <w:sz w:val="28"/>
        </w:rPr>
        <w:t>
      7. Исследования на негрызунах (собаки-бигль, обезьяны). Острая токсичность:</w:t>
      </w:r>
    </w:p>
    <w:bookmarkEnd w:id="787"/>
    <w:bookmarkStart w:name="z802" w:id="788"/>
    <w:p>
      <w:pPr>
        <w:spacing w:after="0"/>
        <w:ind w:left="0"/>
        <w:jc w:val="both"/>
      </w:pPr>
      <w:r>
        <w:rPr>
          <w:rFonts w:ascii="Times New Roman"/>
          <w:b w:val="false"/>
          <w:i w:val="false"/>
          <w:color w:val="000000"/>
          <w:sz w:val="28"/>
        </w:rPr>
        <w:t>
      1) животные: один вид животных;</w:t>
      </w:r>
    </w:p>
    <w:bookmarkEnd w:id="788"/>
    <w:bookmarkStart w:name="z803" w:id="789"/>
    <w:p>
      <w:pPr>
        <w:spacing w:after="0"/>
        <w:ind w:left="0"/>
        <w:jc w:val="both"/>
      </w:pPr>
      <w:r>
        <w:rPr>
          <w:rFonts w:ascii="Times New Roman"/>
          <w:b w:val="false"/>
          <w:i w:val="false"/>
          <w:color w:val="000000"/>
          <w:sz w:val="28"/>
        </w:rPr>
        <w:t>
      2) число животных в группе не менее 2-х животных;</w:t>
      </w:r>
    </w:p>
    <w:bookmarkEnd w:id="789"/>
    <w:bookmarkStart w:name="z804" w:id="790"/>
    <w:p>
      <w:pPr>
        <w:spacing w:after="0"/>
        <w:ind w:left="0"/>
        <w:jc w:val="both"/>
      </w:pPr>
      <w:r>
        <w:rPr>
          <w:rFonts w:ascii="Times New Roman"/>
          <w:b w:val="false"/>
          <w:i w:val="false"/>
          <w:color w:val="000000"/>
          <w:sz w:val="28"/>
        </w:rPr>
        <w:t>
      3) путь введения: рекомендованный для клинического применения;</w:t>
      </w:r>
    </w:p>
    <w:bookmarkEnd w:id="790"/>
    <w:bookmarkStart w:name="z805" w:id="791"/>
    <w:p>
      <w:pPr>
        <w:spacing w:after="0"/>
        <w:ind w:left="0"/>
        <w:jc w:val="both"/>
      </w:pPr>
      <w:r>
        <w:rPr>
          <w:rFonts w:ascii="Times New Roman"/>
          <w:b w:val="false"/>
          <w:i w:val="false"/>
          <w:color w:val="000000"/>
          <w:sz w:val="28"/>
        </w:rPr>
        <w:t>
      4) дозы: две дозы для ориентировочного определения летальной дозы;</w:t>
      </w:r>
    </w:p>
    <w:bookmarkEnd w:id="791"/>
    <w:bookmarkStart w:name="z806" w:id="792"/>
    <w:p>
      <w:pPr>
        <w:spacing w:after="0"/>
        <w:ind w:left="0"/>
        <w:jc w:val="both"/>
      </w:pPr>
      <w:r>
        <w:rPr>
          <w:rFonts w:ascii="Times New Roman"/>
          <w:b w:val="false"/>
          <w:i w:val="false"/>
          <w:color w:val="000000"/>
          <w:sz w:val="28"/>
        </w:rPr>
        <w:t>
      5) частота введения: однократно;</w:t>
      </w:r>
    </w:p>
    <w:bookmarkEnd w:id="792"/>
    <w:bookmarkStart w:name="z807" w:id="793"/>
    <w:p>
      <w:pPr>
        <w:spacing w:after="0"/>
        <w:ind w:left="0"/>
        <w:jc w:val="both"/>
      </w:pPr>
      <w:r>
        <w:rPr>
          <w:rFonts w:ascii="Times New Roman"/>
          <w:b w:val="false"/>
          <w:i w:val="false"/>
          <w:color w:val="000000"/>
          <w:sz w:val="28"/>
        </w:rPr>
        <w:t>
      6) длительность наблюдения: 14 дней;</w:t>
      </w:r>
    </w:p>
    <w:bookmarkEnd w:id="793"/>
    <w:bookmarkStart w:name="z808" w:id="794"/>
    <w:p>
      <w:pPr>
        <w:spacing w:after="0"/>
        <w:ind w:left="0"/>
        <w:jc w:val="both"/>
      </w:pPr>
      <w:r>
        <w:rPr>
          <w:rFonts w:ascii="Times New Roman"/>
          <w:b w:val="false"/>
          <w:i w:val="false"/>
          <w:color w:val="000000"/>
          <w:sz w:val="28"/>
        </w:rPr>
        <w:t>
      7) экспериментальная программа: ежедневное наблюдение за общим состоянием, взвешивание не менее 3-х раз за период наблюдения, лабораторные исследования по мере необходимости, в конце периода наблюдения или после гибели все животные каждой группы вскрываются, описываются макроскопически, органы взвешиваются, подвергаются гистологическому исследованию по мере необходимости.</w:t>
      </w:r>
    </w:p>
    <w:bookmarkEnd w:id="794"/>
    <w:bookmarkStart w:name="z809" w:id="795"/>
    <w:p>
      <w:pPr>
        <w:spacing w:after="0"/>
        <w:ind w:left="0"/>
        <w:jc w:val="both"/>
      </w:pPr>
      <w:r>
        <w:rPr>
          <w:rFonts w:ascii="Times New Roman"/>
          <w:b w:val="false"/>
          <w:i w:val="false"/>
          <w:color w:val="000000"/>
          <w:sz w:val="28"/>
        </w:rPr>
        <w:t>
      8. Подострая токсичность:</w:t>
      </w:r>
    </w:p>
    <w:bookmarkEnd w:id="795"/>
    <w:bookmarkStart w:name="z810" w:id="796"/>
    <w:p>
      <w:pPr>
        <w:spacing w:after="0"/>
        <w:ind w:left="0"/>
        <w:jc w:val="both"/>
      </w:pPr>
      <w:r>
        <w:rPr>
          <w:rFonts w:ascii="Times New Roman"/>
          <w:b w:val="false"/>
          <w:i w:val="false"/>
          <w:color w:val="000000"/>
          <w:sz w:val="28"/>
        </w:rPr>
        <w:t>
      1) животные: 1 вид обоего пола;</w:t>
      </w:r>
    </w:p>
    <w:bookmarkEnd w:id="796"/>
    <w:bookmarkStart w:name="z811" w:id="797"/>
    <w:p>
      <w:pPr>
        <w:spacing w:after="0"/>
        <w:ind w:left="0"/>
        <w:jc w:val="both"/>
      </w:pPr>
      <w:r>
        <w:rPr>
          <w:rFonts w:ascii="Times New Roman"/>
          <w:b w:val="false"/>
          <w:i w:val="false"/>
          <w:color w:val="000000"/>
          <w:sz w:val="28"/>
        </w:rPr>
        <w:t>
      2) число животных: не менее 3-х в группе каждого пола;</w:t>
      </w:r>
    </w:p>
    <w:bookmarkEnd w:id="797"/>
    <w:bookmarkStart w:name="z812" w:id="798"/>
    <w:p>
      <w:pPr>
        <w:spacing w:after="0"/>
        <w:ind w:left="0"/>
        <w:jc w:val="both"/>
      </w:pPr>
      <w:r>
        <w:rPr>
          <w:rFonts w:ascii="Times New Roman"/>
          <w:b w:val="false"/>
          <w:i w:val="false"/>
          <w:color w:val="000000"/>
          <w:sz w:val="28"/>
        </w:rPr>
        <w:t>
      3) путь введения: соответствующий рекомендованному для клинического применения;</w:t>
      </w:r>
    </w:p>
    <w:bookmarkEnd w:id="798"/>
    <w:bookmarkStart w:name="z813" w:id="799"/>
    <w:p>
      <w:pPr>
        <w:spacing w:after="0"/>
        <w:ind w:left="0"/>
        <w:jc w:val="both"/>
      </w:pPr>
      <w:r>
        <w:rPr>
          <w:rFonts w:ascii="Times New Roman"/>
          <w:b w:val="false"/>
          <w:i w:val="false"/>
          <w:color w:val="000000"/>
          <w:sz w:val="28"/>
        </w:rPr>
        <w:t>
      4) дозы: три дозы лекарственного средства подергаются изучению на животных обоего пола;</w:t>
      </w:r>
    </w:p>
    <w:bookmarkEnd w:id="799"/>
    <w:bookmarkStart w:name="z814" w:id="800"/>
    <w:p>
      <w:pPr>
        <w:spacing w:after="0"/>
        <w:ind w:left="0"/>
        <w:jc w:val="both"/>
      </w:pPr>
      <w:r>
        <w:rPr>
          <w:rFonts w:ascii="Times New Roman"/>
          <w:b w:val="false"/>
          <w:i w:val="false"/>
          <w:color w:val="000000"/>
          <w:sz w:val="28"/>
        </w:rPr>
        <w:t>
      5) контрольная группа: обязательно формирование интактной группы; при использовании растворителей, добавок или капсул для введения субстанции, нужна дополнительная контрольная группа с введением вышеназванного компонента;</w:t>
      </w:r>
    </w:p>
    <w:bookmarkEnd w:id="800"/>
    <w:bookmarkStart w:name="z815" w:id="801"/>
    <w:p>
      <w:pPr>
        <w:spacing w:after="0"/>
        <w:ind w:left="0"/>
        <w:jc w:val="both"/>
      </w:pPr>
      <w:r>
        <w:rPr>
          <w:rFonts w:ascii="Times New Roman"/>
          <w:b w:val="false"/>
          <w:i w:val="false"/>
          <w:color w:val="000000"/>
          <w:sz w:val="28"/>
        </w:rPr>
        <w:t>
      6) срок введения: 28 или 90 дней при ежедневном введении в течение недели;</w:t>
      </w:r>
    </w:p>
    <w:bookmarkEnd w:id="801"/>
    <w:bookmarkStart w:name="z816" w:id="802"/>
    <w:p>
      <w:pPr>
        <w:spacing w:after="0"/>
        <w:ind w:left="0"/>
        <w:jc w:val="both"/>
      </w:pPr>
      <w:r>
        <w:rPr>
          <w:rFonts w:ascii="Times New Roman"/>
          <w:b w:val="false"/>
          <w:i w:val="false"/>
          <w:color w:val="000000"/>
          <w:sz w:val="28"/>
        </w:rPr>
        <w:t>
      7) экспериментальная программа: ежедневное наблюдение за общим состоянием; взвешивание и контроль потребления пищи 1 раз в неделю; гематологические, биохимические, офтальмологические, физиологические исследования по мере необходимости проводятся у всех животных в каждой группе.</w:t>
      </w:r>
    </w:p>
    <w:bookmarkEnd w:id="802"/>
    <w:bookmarkStart w:name="z817" w:id="803"/>
    <w:p>
      <w:pPr>
        <w:spacing w:after="0"/>
        <w:ind w:left="0"/>
        <w:jc w:val="both"/>
      </w:pPr>
      <w:r>
        <w:rPr>
          <w:rFonts w:ascii="Times New Roman"/>
          <w:b w:val="false"/>
          <w:i w:val="false"/>
          <w:color w:val="000000"/>
          <w:sz w:val="28"/>
        </w:rPr>
        <w:t>
      Погибшие животные подлежат вскрытию, макроскопическому обследованию, органы взвешиваются и исследуются гистологически. Гематологические и биохимические исследования производятся у погибающих животных с последующим их вскрытием, макроскопическим исследованием, взвешиванием и гистологическим изучением органов;</w:t>
      </w:r>
    </w:p>
    <w:bookmarkEnd w:id="803"/>
    <w:bookmarkStart w:name="z818" w:id="804"/>
    <w:p>
      <w:pPr>
        <w:spacing w:after="0"/>
        <w:ind w:left="0"/>
        <w:jc w:val="both"/>
      </w:pPr>
      <w:r>
        <w:rPr>
          <w:rFonts w:ascii="Times New Roman"/>
          <w:b w:val="false"/>
          <w:i w:val="false"/>
          <w:color w:val="000000"/>
          <w:sz w:val="28"/>
        </w:rPr>
        <w:t>
      В конце эксперимента у всех выживших животных проводятся гематологические, биохимические, офтальмологические исследования, анализ мочи, а при необходимости и другие лабораторные исследования. Эксперимент завершает аутопсия, макроскопическое обследование, взвешивание гистологическое изучение органов и тканей.</w:t>
      </w:r>
    </w:p>
    <w:bookmarkEnd w:id="804"/>
    <w:bookmarkStart w:name="z819" w:id="805"/>
    <w:p>
      <w:pPr>
        <w:spacing w:after="0"/>
        <w:ind w:left="0"/>
        <w:jc w:val="both"/>
      </w:pPr>
      <w:r>
        <w:rPr>
          <w:rFonts w:ascii="Times New Roman"/>
          <w:b w:val="false"/>
          <w:i w:val="false"/>
          <w:color w:val="000000"/>
          <w:sz w:val="28"/>
        </w:rPr>
        <w:t>
      9. Хроническая токсичность:</w:t>
      </w:r>
    </w:p>
    <w:bookmarkEnd w:id="805"/>
    <w:bookmarkStart w:name="z820" w:id="806"/>
    <w:p>
      <w:pPr>
        <w:spacing w:after="0"/>
        <w:ind w:left="0"/>
        <w:jc w:val="both"/>
      </w:pPr>
      <w:r>
        <w:rPr>
          <w:rFonts w:ascii="Times New Roman"/>
          <w:b w:val="false"/>
          <w:i w:val="false"/>
          <w:color w:val="000000"/>
          <w:sz w:val="28"/>
        </w:rPr>
        <w:t>
      1) животные: один вид обоего пола;</w:t>
      </w:r>
    </w:p>
    <w:bookmarkEnd w:id="806"/>
    <w:bookmarkStart w:name="z821" w:id="807"/>
    <w:p>
      <w:pPr>
        <w:spacing w:after="0"/>
        <w:ind w:left="0"/>
        <w:jc w:val="both"/>
      </w:pPr>
      <w:r>
        <w:rPr>
          <w:rFonts w:ascii="Times New Roman"/>
          <w:b w:val="false"/>
          <w:i w:val="false"/>
          <w:color w:val="000000"/>
          <w:sz w:val="28"/>
        </w:rPr>
        <w:t>
      2) количество животных: не менее, чем по 4 животных обоего пола;</w:t>
      </w:r>
    </w:p>
    <w:bookmarkEnd w:id="807"/>
    <w:bookmarkStart w:name="z822" w:id="808"/>
    <w:p>
      <w:pPr>
        <w:spacing w:after="0"/>
        <w:ind w:left="0"/>
        <w:jc w:val="both"/>
      </w:pPr>
      <w:r>
        <w:rPr>
          <w:rFonts w:ascii="Times New Roman"/>
          <w:b w:val="false"/>
          <w:i w:val="false"/>
          <w:color w:val="000000"/>
          <w:sz w:val="28"/>
        </w:rPr>
        <w:t>
      3) путь введения: рекомендованный для клинического применения;</w:t>
      </w:r>
    </w:p>
    <w:bookmarkEnd w:id="808"/>
    <w:bookmarkStart w:name="z823" w:id="809"/>
    <w:p>
      <w:pPr>
        <w:spacing w:after="0"/>
        <w:ind w:left="0"/>
        <w:jc w:val="both"/>
      </w:pPr>
      <w:r>
        <w:rPr>
          <w:rFonts w:ascii="Times New Roman"/>
          <w:b w:val="false"/>
          <w:i w:val="false"/>
          <w:color w:val="000000"/>
          <w:sz w:val="28"/>
        </w:rPr>
        <w:t>
      4) дозы: три дозы и контроль для животных обоего пола;</w:t>
      </w:r>
    </w:p>
    <w:bookmarkEnd w:id="809"/>
    <w:bookmarkStart w:name="z824" w:id="810"/>
    <w:p>
      <w:pPr>
        <w:spacing w:after="0"/>
        <w:ind w:left="0"/>
        <w:jc w:val="both"/>
      </w:pPr>
      <w:r>
        <w:rPr>
          <w:rFonts w:ascii="Times New Roman"/>
          <w:b w:val="false"/>
          <w:i w:val="false"/>
          <w:color w:val="000000"/>
          <w:sz w:val="28"/>
        </w:rPr>
        <w:t>
      5) контрольная группа: интактный контроль и контроль с введением соответствующего растворителя, если он используется в эксперименте;</w:t>
      </w:r>
    </w:p>
    <w:bookmarkEnd w:id="810"/>
    <w:bookmarkStart w:name="z825" w:id="811"/>
    <w:p>
      <w:pPr>
        <w:spacing w:after="0"/>
        <w:ind w:left="0"/>
        <w:jc w:val="both"/>
      </w:pPr>
      <w:r>
        <w:rPr>
          <w:rFonts w:ascii="Times New Roman"/>
          <w:b w:val="false"/>
          <w:i w:val="false"/>
          <w:color w:val="000000"/>
          <w:sz w:val="28"/>
        </w:rPr>
        <w:t>
      6) длительность введения: 6 месяцев или 1 год при введении препарата 7 дней в неделю;</w:t>
      </w:r>
    </w:p>
    <w:bookmarkEnd w:id="811"/>
    <w:bookmarkStart w:name="z826" w:id="812"/>
    <w:p>
      <w:pPr>
        <w:spacing w:after="0"/>
        <w:ind w:left="0"/>
        <w:jc w:val="both"/>
      </w:pPr>
      <w:r>
        <w:rPr>
          <w:rFonts w:ascii="Times New Roman"/>
          <w:b w:val="false"/>
          <w:i w:val="false"/>
          <w:color w:val="000000"/>
          <w:sz w:val="28"/>
        </w:rPr>
        <w:t>
      7) экспериментальная программа: ежедневное обследование; взвешивание и определение потребления пищи 1 раз в неделю в первые 3 месяца, а затем 1 раз каждый месяц; гематологические, биохимические, офтальмологические, физиологические исследования, анализ мочи и при необходимости другие лабораторные исследования проводятся у всех животных каждой группы.</w:t>
      </w:r>
    </w:p>
    <w:bookmarkEnd w:id="812"/>
    <w:bookmarkStart w:name="z827" w:id="813"/>
    <w:p>
      <w:pPr>
        <w:spacing w:after="0"/>
        <w:ind w:left="0"/>
        <w:jc w:val="both"/>
      </w:pPr>
      <w:r>
        <w:rPr>
          <w:rFonts w:ascii="Times New Roman"/>
          <w:b w:val="false"/>
          <w:i w:val="false"/>
          <w:color w:val="000000"/>
          <w:sz w:val="28"/>
        </w:rPr>
        <w:t>
      Погибшие животные в течение эксперимента подлежат вскрытию, макроскопическому описанию, органы взвешиваются и подвергаются гистологическому изучению.</w:t>
      </w:r>
    </w:p>
    <w:bookmarkEnd w:id="813"/>
    <w:bookmarkStart w:name="z828" w:id="814"/>
    <w:p>
      <w:pPr>
        <w:spacing w:after="0"/>
        <w:ind w:left="0"/>
        <w:jc w:val="both"/>
      </w:pPr>
      <w:r>
        <w:rPr>
          <w:rFonts w:ascii="Times New Roman"/>
          <w:b w:val="false"/>
          <w:i w:val="false"/>
          <w:color w:val="000000"/>
          <w:sz w:val="28"/>
        </w:rPr>
        <w:t>
      В конце эксперимента у всех выживших животных проводятся гематологические, биохимические, офтальмологические исследования, анализ мочи и другие лабораторные исследования по необходимости; животные вскрываются, обследуются макроскопически, органы взвешиваются и подвергаются гистологическому исследованию.</w:t>
      </w:r>
    </w:p>
    <w:bookmarkEnd w:id="814"/>
    <w:bookmarkStart w:name="z829" w:id="815"/>
    <w:p>
      <w:pPr>
        <w:spacing w:after="0"/>
        <w:ind w:left="0"/>
        <w:jc w:val="both"/>
      </w:pPr>
      <w:r>
        <w:rPr>
          <w:rFonts w:ascii="Times New Roman"/>
          <w:b w:val="false"/>
          <w:i w:val="false"/>
          <w:color w:val="000000"/>
          <w:sz w:val="28"/>
        </w:rPr>
        <w:t>
      10. Основные критерии оценки вредности и опасности токсического действия фармакологических средств:</w:t>
      </w:r>
    </w:p>
    <w:bookmarkEnd w:id="815"/>
    <w:bookmarkStart w:name="z830" w:id="816"/>
    <w:p>
      <w:pPr>
        <w:spacing w:after="0"/>
        <w:ind w:left="0"/>
        <w:jc w:val="both"/>
      </w:pPr>
      <w:r>
        <w:rPr>
          <w:rFonts w:ascii="Times New Roman"/>
          <w:b w:val="false"/>
          <w:i w:val="false"/>
          <w:color w:val="000000"/>
          <w:sz w:val="28"/>
        </w:rPr>
        <w:t>
      1) статистически достоверные изменения функциональных показателей, выходящих за пределы сезонных норм;</w:t>
      </w:r>
    </w:p>
    <w:bookmarkEnd w:id="816"/>
    <w:bookmarkStart w:name="z831" w:id="817"/>
    <w:p>
      <w:pPr>
        <w:spacing w:after="0"/>
        <w:ind w:left="0"/>
        <w:jc w:val="both"/>
      </w:pPr>
      <w:r>
        <w:rPr>
          <w:rFonts w:ascii="Times New Roman"/>
          <w:b w:val="false"/>
          <w:i w:val="false"/>
          <w:color w:val="000000"/>
          <w:sz w:val="28"/>
        </w:rPr>
        <w:t>
      2) крытые функциональные нарушения, выявляемые при функциональных нагрузках;</w:t>
      </w:r>
    </w:p>
    <w:bookmarkEnd w:id="817"/>
    <w:bookmarkStart w:name="z832" w:id="818"/>
    <w:p>
      <w:pPr>
        <w:spacing w:after="0"/>
        <w:ind w:left="0"/>
        <w:jc w:val="both"/>
      </w:pPr>
      <w:r>
        <w:rPr>
          <w:rFonts w:ascii="Times New Roman"/>
          <w:b w:val="false"/>
          <w:i w:val="false"/>
          <w:color w:val="000000"/>
          <w:sz w:val="28"/>
        </w:rPr>
        <w:t>
      3) дозовая зависимость выявленных функциональных и структурных изменений;</w:t>
      </w:r>
    </w:p>
    <w:bookmarkEnd w:id="818"/>
    <w:bookmarkStart w:name="z833" w:id="819"/>
    <w:p>
      <w:pPr>
        <w:spacing w:after="0"/>
        <w:ind w:left="0"/>
        <w:jc w:val="both"/>
      </w:pPr>
      <w:r>
        <w:rPr>
          <w:rFonts w:ascii="Times New Roman"/>
          <w:b w:val="false"/>
          <w:i w:val="false"/>
          <w:color w:val="000000"/>
          <w:sz w:val="28"/>
        </w:rPr>
        <w:t>
      4) стабильность выявленных изменений, сохраняющихся при отмене воздействия изучаемых веществ;</w:t>
      </w:r>
    </w:p>
    <w:bookmarkEnd w:id="819"/>
    <w:bookmarkStart w:name="z834" w:id="820"/>
    <w:p>
      <w:pPr>
        <w:spacing w:after="0"/>
        <w:ind w:left="0"/>
        <w:jc w:val="both"/>
      </w:pPr>
      <w:r>
        <w:rPr>
          <w:rFonts w:ascii="Times New Roman"/>
          <w:b w:val="false"/>
          <w:i w:val="false"/>
          <w:color w:val="000000"/>
          <w:sz w:val="28"/>
        </w:rPr>
        <w:t>
      5) корреляция функциональных и структурных нарушений в органах и тканях;</w:t>
      </w:r>
    </w:p>
    <w:bookmarkEnd w:id="820"/>
    <w:bookmarkStart w:name="z835" w:id="821"/>
    <w:p>
      <w:pPr>
        <w:spacing w:after="0"/>
        <w:ind w:left="0"/>
        <w:jc w:val="both"/>
      </w:pPr>
      <w:r>
        <w:rPr>
          <w:rFonts w:ascii="Times New Roman"/>
          <w:b w:val="false"/>
          <w:i w:val="false"/>
          <w:color w:val="000000"/>
          <w:sz w:val="28"/>
        </w:rPr>
        <w:t>
      6) малая широта терапевтического эффекта и реальная возможность передозировки препарата.</w:t>
      </w:r>
    </w:p>
    <w:bookmarkEnd w:id="821"/>
    <w:bookmarkStart w:name="z836" w:id="822"/>
    <w:p>
      <w:pPr>
        <w:spacing w:after="0"/>
        <w:ind w:left="0"/>
        <w:jc w:val="both"/>
      </w:pPr>
      <w:r>
        <w:rPr>
          <w:rFonts w:ascii="Times New Roman"/>
          <w:b w:val="false"/>
          <w:i w:val="false"/>
          <w:color w:val="000000"/>
          <w:sz w:val="28"/>
        </w:rPr>
        <w:t>
      11. Изучение иммунотоксичности и аллергенности. Обязательному тестированию подлежат:</w:t>
      </w:r>
    </w:p>
    <w:bookmarkEnd w:id="822"/>
    <w:bookmarkStart w:name="z837" w:id="823"/>
    <w:p>
      <w:pPr>
        <w:spacing w:after="0"/>
        <w:ind w:left="0"/>
        <w:jc w:val="both"/>
      </w:pPr>
      <w:r>
        <w:rPr>
          <w:rFonts w:ascii="Times New Roman"/>
          <w:b w:val="false"/>
          <w:i w:val="false"/>
          <w:color w:val="000000"/>
          <w:sz w:val="28"/>
        </w:rPr>
        <w:t>
      1) субстанции и все лекарственные формы;</w:t>
      </w:r>
    </w:p>
    <w:bookmarkEnd w:id="823"/>
    <w:bookmarkStart w:name="z838" w:id="824"/>
    <w:p>
      <w:pPr>
        <w:spacing w:after="0"/>
        <w:ind w:left="0"/>
        <w:jc w:val="both"/>
      </w:pPr>
      <w:r>
        <w:rPr>
          <w:rFonts w:ascii="Times New Roman"/>
          <w:b w:val="false"/>
          <w:i w:val="false"/>
          <w:color w:val="000000"/>
          <w:sz w:val="28"/>
        </w:rPr>
        <w:t>
      2) новые лекарственные формы, содержащие вспомогательные вещества, не разрешенные для применения и медицинской практике и не изученные ранее на этот вид активности, при этом каждое из этих веществ исследуют отдельно;</w:t>
      </w:r>
    </w:p>
    <w:bookmarkEnd w:id="824"/>
    <w:bookmarkStart w:name="z839" w:id="825"/>
    <w:p>
      <w:pPr>
        <w:spacing w:after="0"/>
        <w:ind w:left="0"/>
        <w:jc w:val="both"/>
      </w:pPr>
      <w:r>
        <w:rPr>
          <w:rFonts w:ascii="Times New Roman"/>
          <w:b w:val="false"/>
          <w:i w:val="false"/>
          <w:color w:val="000000"/>
          <w:sz w:val="28"/>
        </w:rPr>
        <w:t>
      3) фиксированные комбинации нескольких фармакологических веществ в одной лекарственной форме - с изучением самой комбинации и каждого ингредиента в отдельности;</w:t>
      </w:r>
    </w:p>
    <w:bookmarkEnd w:id="825"/>
    <w:bookmarkStart w:name="z840" w:id="826"/>
    <w:p>
      <w:pPr>
        <w:spacing w:after="0"/>
        <w:ind w:left="0"/>
        <w:jc w:val="both"/>
      </w:pPr>
      <w:r>
        <w:rPr>
          <w:rFonts w:ascii="Times New Roman"/>
          <w:b w:val="false"/>
          <w:i w:val="false"/>
          <w:color w:val="000000"/>
          <w:sz w:val="28"/>
        </w:rPr>
        <w:t>
      4) лекарственные средства с новым составом лекарственной формы, изменением технологии ее изготовления или состава вспомогательных веществ - с изучением только непосредственно готовой лекарственной формы.</w:t>
      </w:r>
    </w:p>
    <w:bookmarkEnd w:id="826"/>
    <w:bookmarkStart w:name="z841" w:id="827"/>
    <w:p>
      <w:pPr>
        <w:spacing w:after="0"/>
        <w:ind w:left="0"/>
        <w:jc w:val="both"/>
      </w:pPr>
      <w:r>
        <w:rPr>
          <w:rFonts w:ascii="Times New Roman"/>
          <w:b w:val="false"/>
          <w:i w:val="false"/>
          <w:color w:val="000000"/>
          <w:sz w:val="28"/>
        </w:rPr>
        <w:t>
      12. Тестирование на иммунотоксичность и аллергенность не обязательно для лекарственных средств со следующими показателями:</w:t>
      </w:r>
    </w:p>
    <w:bookmarkEnd w:id="827"/>
    <w:bookmarkStart w:name="z842" w:id="828"/>
    <w:p>
      <w:pPr>
        <w:spacing w:after="0"/>
        <w:ind w:left="0"/>
        <w:jc w:val="both"/>
      </w:pPr>
      <w:r>
        <w:rPr>
          <w:rFonts w:ascii="Times New Roman"/>
          <w:b w:val="false"/>
          <w:i w:val="false"/>
          <w:color w:val="000000"/>
          <w:sz w:val="28"/>
        </w:rPr>
        <w:t>
      1) для лечения злокачественных новообразований у взрослых;</w:t>
      </w:r>
    </w:p>
    <w:bookmarkEnd w:id="828"/>
    <w:bookmarkStart w:name="z843" w:id="829"/>
    <w:p>
      <w:pPr>
        <w:spacing w:after="0"/>
        <w:ind w:left="0"/>
        <w:jc w:val="both"/>
      </w:pPr>
      <w:r>
        <w:rPr>
          <w:rFonts w:ascii="Times New Roman"/>
          <w:b w:val="false"/>
          <w:i w:val="false"/>
          <w:color w:val="000000"/>
          <w:sz w:val="28"/>
        </w:rPr>
        <w:t>
      2) для лечения заболеваний, представляющих непосредственную угрозу для жизни;</w:t>
      </w:r>
    </w:p>
    <w:bookmarkEnd w:id="829"/>
    <w:bookmarkStart w:name="z844" w:id="830"/>
    <w:p>
      <w:pPr>
        <w:spacing w:after="0"/>
        <w:ind w:left="0"/>
        <w:jc w:val="both"/>
      </w:pPr>
      <w:r>
        <w:rPr>
          <w:rFonts w:ascii="Times New Roman"/>
          <w:b w:val="false"/>
          <w:i w:val="false"/>
          <w:color w:val="000000"/>
          <w:sz w:val="28"/>
        </w:rPr>
        <w:t>
      3) новых иммуномодулирующих средств, влияние которых на иммунную систему подробно изучено;</w:t>
      </w:r>
    </w:p>
    <w:bookmarkEnd w:id="830"/>
    <w:bookmarkStart w:name="z845" w:id="831"/>
    <w:p>
      <w:pPr>
        <w:spacing w:after="0"/>
        <w:ind w:left="0"/>
        <w:jc w:val="both"/>
      </w:pPr>
      <w:r>
        <w:rPr>
          <w:rFonts w:ascii="Times New Roman"/>
          <w:b w:val="false"/>
          <w:i w:val="false"/>
          <w:color w:val="000000"/>
          <w:sz w:val="28"/>
        </w:rPr>
        <w:t>
      4) диагностикумы in vitro.</w:t>
      </w:r>
    </w:p>
    <w:bookmarkEnd w:id="831"/>
    <w:bookmarkStart w:name="z846" w:id="832"/>
    <w:p>
      <w:pPr>
        <w:spacing w:after="0"/>
        <w:ind w:left="0"/>
        <w:jc w:val="both"/>
      </w:pPr>
      <w:r>
        <w:rPr>
          <w:rFonts w:ascii="Times New Roman"/>
          <w:b w:val="false"/>
          <w:i w:val="false"/>
          <w:color w:val="000000"/>
          <w:sz w:val="28"/>
        </w:rPr>
        <w:t>
      13. Предварительное изучение проводится с целью определения наиболее чувствительной мишени для ксенобиотика и определения его минимально действующей дозы. Наиболее оптимальным является испытание 2-х уровней доз. Минимальная доза - близкая к рекомендуемой для клинических испытаний терапевтическая доза (1TD), максимальная - на порядок выше рекомендуемой для клинических испытаний (10TD), но не выходящая за интервал терапевтической широты действия лекарственного средства.</w:t>
      </w:r>
    </w:p>
    <w:bookmarkEnd w:id="832"/>
    <w:bookmarkStart w:name="z847" w:id="833"/>
    <w:p>
      <w:pPr>
        <w:spacing w:after="0"/>
        <w:ind w:left="0"/>
        <w:jc w:val="both"/>
      </w:pPr>
      <w:r>
        <w:rPr>
          <w:rFonts w:ascii="Times New Roman"/>
          <w:b w:val="false"/>
          <w:i w:val="false"/>
          <w:color w:val="000000"/>
          <w:sz w:val="28"/>
        </w:rPr>
        <w:t>
      В случае, если реальная терапевтическая доза вещества неизвестна, то для сенсибилизации животных можно использовать дозы, последовательно на порядок меньше чем DL50 (1/10; 1/100; 1/1000 от DL50) при соответствующем способе введения.</w:t>
      </w:r>
    </w:p>
    <w:bookmarkEnd w:id="833"/>
    <w:bookmarkStart w:name="z848" w:id="834"/>
    <w:p>
      <w:pPr>
        <w:spacing w:after="0"/>
        <w:ind w:left="0"/>
        <w:jc w:val="both"/>
      </w:pPr>
      <w:r>
        <w:rPr>
          <w:rFonts w:ascii="Times New Roman"/>
          <w:b w:val="false"/>
          <w:i w:val="false"/>
          <w:color w:val="000000"/>
          <w:sz w:val="28"/>
        </w:rPr>
        <w:t>
      14. Животные. Изучение проводится на линейных животных обоего пола. При выборе животных следует учитывать особенности генного контроля. Поскольку у высоко- и низкоотвечающих линий под влиянием ксенобиотиков наблюдается различная модуляция иммуногенеза, в эксперимент следует включать обе оппозитивные группы животных.</w:t>
      </w:r>
    </w:p>
    <w:bookmarkEnd w:id="834"/>
    <w:bookmarkStart w:name="z849" w:id="835"/>
    <w:p>
      <w:pPr>
        <w:spacing w:after="0"/>
        <w:ind w:left="0"/>
        <w:jc w:val="both"/>
      </w:pPr>
      <w:r>
        <w:rPr>
          <w:rFonts w:ascii="Times New Roman"/>
          <w:b w:val="false"/>
          <w:i w:val="false"/>
          <w:color w:val="000000"/>
          <w:sz w:val="28"/>
        </w:rPr>
        <w:t>
      Желательно проводить исследования на животных 6-8 недельного возраста.</w:t>
      </w:r>
    </w:p>
    <w:bookmarkEnd w:id="835"/>
    <w:bookmarkStart w:name="z850" w:id="836"/>
    <w:p>
      <w:pPr>
        <w:spacing w:after="0"/>
        <w:ind w:left="0"/>
        <w:jc w:val="both"/>
      </w:pPr>
      <w:r>
        <w:rPr>
          <w:rFonts w:ascii="Times New Roman"/>
          <w:b w:val="false"/>
          <w:i w:val="false"/>
          <w:color w:val="000000"/>
          <w:sz w:val="28"/>
        </w:rPr>
        <w:t>
      15. В иммунологическом эксперименте обычно используются линейные животные:</w:t>
      </w:r>
    </w:p>
    <w:bookmarkEnd w:id="836"/>
    <w:bookmarkStart w:name="z851" w:id="837"/>
    <w:p>
      <w:pPr>
        <w:spacing w:after="0"/>
        <w:ind w:left="0"/>
        <w:jc w:val="both"/>
      </w:pPr>
      <w:r>
        <w:rPr>
          <w:rFonts w:ascii="Times New Roman"/>
          <w:b w:val="false"/>
          <w:i w:val="false"/>
          <w:color w:val="000000"/>
          <w:sz w:val="28"/>
        </w:rPr>
        <w:t xml:space="preserve">
      1) мыши: </w:t>
      </w:r>
    </w:p>
    <w:bookmarkEnd w:id="837"/>
    <w:bookmarkStart w:name="z852" w:id="838"/>
    <w:p>
      <w:pPr>
        <w:spacing w:after="0"/>
        <w:ind w:left="0"/>
        <w:jc w:val="both"/>
      </w:pPr>
      <w:r>
        <w:rPr>
          <w:rFonts w:ascii="Times New Roman"/>
          <w:b w:val="false"/>
          <w:i w:val="false"/>
          <w:color w:val="000000"/>
          <w:sz w:val="28"/>
        </w:rPr>
        <w:t>
      С57Б1/И-2В/ - низкореагирующие на эритроциты барана (ЭБ);</w:t>
      </w:r>
    </w:p>
    <w:bookmarkEnd w:id="838"/>
    <w:bookmarkStart w:name="z853" w:id="839"/>
    <w:p>
      <w:pPr>
        <w:spacing w:after="0"/>
        <w:ind w:left="0"/>
        <w:jc w:val="both"/>
      </w:pPr>
      <w:r>
        <w:rPr>
          <w:rFonts w:ascii="Times New Roman"/>
          <w:b w:val="false"/>
          <w:i w:val="false"/>
          <w:color w:val="000000"/>
          <w:sz w:val="28"/>
        </w:rPr>
        <w:t>
      СВА/Н-2К/; BALB/c/H-2d/ - высокореагирующие на ЭБ;</w:t>
      </w:r>
    </w:p>
    <w:bookmarkEnd w:id="839"/>
    <w:bookmarkStart w:name="z854" w:id="840"/>
    <w:p>
      <w:pPr>
        <w:spacing w:after="0"/>
        <w:ind w:left="0"/>
        <w:jc w:val="both"/>
      </w:pPr>
      <w:r>
        <w:rPr>
          <w:rFonts w:ascii="Times New Roman"/>
          <w:b w:val="false"/>
          <w:i w:val="false"/>
          <w:color w:val="000000"/>
          <w:sz w:val="28"/>
        </w:rPr>
        <w:t>
      СВА; DBA/2J/H-2d/; BALB/c - высокая цитотоксическая активность естественных киллеров (ЕК);</w:t>
      </w:r>
    </w:p>
    <w:bookmarkEnd w:id="840"/>
    <w:bookmarkStart w:name="z855" w:id="841"/>
    <w:p>
      <w:pPr>
        <w:spacing w:after="0"/>
        <w:ind w:left="0"/>
        <w:jc w:val="both"/>
      </w:pPr>
      <w:r>
        <w:rPr>
          <w:rFonts w:ascii="Times New Roman"/>
          <w:b w:val="false"/>
          <w:i w:val="false"/>
          <w:color w:val="000000"/>
          <w:sz w:val="28"/>
        </w:rPr>
        <w:t>
      А/S и /H-2d/; AKP/J/Н-2K - слабая цитотоксическая активность ЕК;</w:t>
      </w:r>
    </w:p>
    <w:bookmarkEnd w:id="841"/>
    <w:bookmarkStart w:name="z856" w:id="842"/>
    <w:p>
      <w:pPr>
        <w:spacing w:after="0"/>
        <w:ind w:left="0"/>
        <w:jc w:val="both"/>
      </w:pPr>
      <w:r>
        <w:rPr>
          <w:rFonts w:ascii="Times New Roman"/>
          <w:b w:val="false"/>
          <w:i w:val="false"/>
          <w:color w:val="000000"/>
          <w:sz w:val="28"/>
        </w:rPr>
        <w:t>
      /СВАxC57BL/F| - используют в реакции трансплантат против хозяина;</w:t>
      </w:r>
    </w:p>
    <w:bookmarkEnd w:id="842"/>
    <w:bookmarkStart w:name="z857" w:id="843"/>
    <w:p>
      <w:pPr>
        <w:spacing w:after="0"/>
        <w:ind w:left="0"/>
        <w:jc w:val="both"/>
      </w:pPr>
      <w:r>
        <w:rPr>
          <w:rFonts w:ascii="Times New Roman"/>
          <w:b w:val="false"/>
          <w:i w:val="false"/>
          <w:color w:val="000000"/>
          <w:sz w:val="28"/>
        </w:rPr>
        <w:t>
      BALB/c; C57BL; С3Н/Не/Н-2к - содержат высокий уровень комплемента;</w:t>
      </w:r>
    </w:p>
    <w:bookmarkEnd w:id="843"/>
    <w:bookmarkStart w:name="z858" w:id="844"/>
    <w:p>
      <w:pPr>
        <w:spacing w:after="0"/>
        <w:ind w:left="0"/>
        <w:jc w:val="both"/>
      </w:pPr>
      <w:r>
        <w:rPr>
          <w:rFonts w:ascii="Times New Roman"/>
          <w:b w:val="false"/>
          <w:i w:val="false"/>
          <w:color w:val="000000"/>
          <w:sz w:val="28"/>
        </w:rPr>
        <w:t>
      Рандомбредные крысы ОИ - продуцирующие IgE;</w:t>
      </w:r>
    </w:p>
    <w:bookmarkEnd w:id="844"/>
    <w:bookmarkStart w:name="z859" w:id="845"/>
    <w:p>
      <w:pPr>
        <w:spacing w:after="0"/>
        <w:ind w:left="0"/>
        <w:jc w:val="both"/>
      </w:pPr>
      <w:r>
        <w:rPr>
          <w:rFonts w:ascii="Times New Roman"/>
          <w:b w:val="false"/>
          <w:i w:val="false"/>
          <w:color w:val="000000"/>
          <w:sz w:val="28"/>
        </w:rPr>
        <w:t>
      Морские свинки Hardy.</w:t>
      </w:r>
    </w:p>
    <w:bookmarkEnd w:id="845"/>
    <w:bookmarkStart w:name="z860" w:id="846"/>
    <w:p>
      <w:pPr>
        <w:spacing w:after="0"/>
        <w:ind w:left="0"/>
        <w:jc w:val="both"/>
      </w:pPr>
      <w:r>
        <w:rPr>
          <w:rFonts w:ascii="Times New Roman"/>
          <w:b w:val="false"/>
          <w:i w:val="false"/>
          <w:color w:val="000000"/>
          <w:sz w:val="28"/>
        </w:rPr>
        <w:t>
      Число животных. Группы состоят не менее чем из 10 животных, с учетом получения статистически достоверных экспериментальных данных.</w:t>
      </w:r>
    </w:p>
    <w:bookmarkEnd w:id="846"/>
    <w:bookmarkStart w:name="z861" w:id="847"/>
    <w:p>
      <w:pPr>
        <w:spacing w:after="0"/>
        <w:ind w:left="0"/>
        <w:jc w:val="both"/>
      </w:pPr>
      <w:r>
        <w:rPr>
          <w:rFonts w:ascii="Times New Roman"/>
          <w:b w:val="false"/>
          <w:i w:val="false"/>
          <w:color w:val="000000"/>
          <w:sz w:val="28"/>
        </w:rPr>
        <w:t>
      Путь введения, рекомендованный для клинического применения.</w:t>
      </w:r>
    </w:p>
    <w:bookmarkEnd w:id="847"/>
    <w:bookmarkStart w:name="z862" w:id="848"/>
    <w:p>
      <w:pPr>
        <w:spacing w:after="0"/>
        <w:ind w:left="0"/>
        <w:jc w:val="both"/>
      </w:pPr>
      <w:r>
        <w:rPr>
          <w:rFonts w:ascii="Times New Roman"/>
          <w:b w:val="false"/>
          <w:i w:val="false"/>
          <w:color w:val="000000"/>
          <w:sz w:val="28"/>
        </w:rPr>
        <w:t>
      Уровень доз. Желательно использовать не менее 2-х уровней доз.</w:t>
      </w:r>
    </w:p>
    <w:bookmarkEnd w:id="848"/>
    <w:bookmarkStart w:name="z863" w:id="849"/>
    <w:p>
      <w:pPr>
        <w:spacing w:after="0"/>
        <w:ind w:left="0"/>
        <w:jc w:val="both"/>
      </w:pPr>
      <w:r>
        <w:rPr>
          <w:rFonts w:ascii="Times New Roman"/>
          <w:b w:val="false"/>
          <w:i w:val="false"/>
          <w:color w:val="000000"/>
          <w:sz w:val="28"/>
        </w:rPr>
        <w:t>
      Режим введения. Продолжительность введения вещества подбирается индивидуально, исходить следует из рекомендаций по длительности применения препарата в клинике и сроков, необходимых для получения оптимального иммунного ответа или аллергической реакции в эксперименте.</w:t>
      </w:r>
    </w:p>
    <w:bookmarkEnd w:id="849"/>
    <w:bookmarkStart w:name="z864" w:id="850"/>
    <w:p>
      <w:pPr>
        <w:spacing w:after="0"/>
        <w:ind w:left="0"/>
        <w:jc w:val="both"/>
      </w:pPr>
      <w:r>
        <w:rPr>
          <w:rFonts w:ascii="Times New Roman"/>
          <w:b w:val="false"/>
          <w:i w:val="false"/>
          <w:color w:val="000000"/>
          <w:sz w:val="28"/>
        </w:rPr>
        <w:t>
      Экспериментальные исследования: перед введением тест-препаратов у животных снимаются фоновые показатели, которые подлежат изучению в опыте (фагоцитоз, хемотаксис, содержание IgA, IgG, IgM); если тестируемое вещество обладает выраженной реакционной способностью, в экспериментах на животных определяют его влияние на вес и клеточность центральных и периферических органов иммунитета и формулу крови.</w:t>
      </w:r>
    </w:p>
    <w:bookmarkEnd w:id="850"/>
    <w:bookmarkStart w:name="z865" w:id="851"/>
    <w:p>
      <w:pPr>
        <w:spacing w:after="0"/>
        <w:ind w:left="0"/>
        <w:jc w:val="both"/>
      </w:pPr>
      <w:r>
        <w:rPr>
          <w:rFonts w:ascii="Times New Roman"/>
          <w:b w:val="false"/>
          <w:i w:val="false"/>
          <w:color w:val="000000"/>
          <w:sz w:val="28"/>
        </w:rPr>
        <w:t>
      16. Основное изучение иммунотоксического и аллергенного действия:</w:t>
      </w:r>
    </w:p>
    <w:bookmarkEnd w:id="851"/>
    <w:bookmarkStart w:name="z866" w:id="852"/>
    <w:p>
      <w:pPr>
        <w:spacing w:after="0"/>
        <w:ind w:left="0"/>
        <w:jc w:val="both"/>
      </w:pPr>
      <w:r>
        <w:rPr>
          <w:rFonts w:ascii="Times New Roman"/>
          <w:b w:val="false"/>
          <w:i w:val="false"/>
          <w:color w:val="000000"/>
          <w:sz w:val="28"/>
        </w:rPr>
        <w:t>
      Животные. Используются не менее двух видов животных обоего пола.</w:t>
      </w:r>
    </w:p>
    <w:bookmarkEnd w:id="852"/>
    <w:bookmarkStart w:name="z867" w:id="853"/>
    <w:p>
      <w:pPr>
        <w:spacing w:after="0"/>
        <w:ind w:left="0"/>
        <w:jc w:val="both"/>
      </w:pPr>
      <w:r>
        <w:rPr>
          <w:rFonts w:ascii="Times New Roman"/>
          <w:b w:val="false"/>
          <w:i w:val="false"/>
          <w:color w:val="000000"/>
          <w:sz w:val="28"/>
        </w:rPr>
        <w:t>
      Число животных. Экспериментальные группы состоят не менее чем из 10 животных обоего пола. Если иммунотоксическое и аллергенное действие изучается в динамике, нужно увеличивать количество животных в группе для забоя их в определенные сроки исследования. Каждая группа рандомизируется по весовым показателям.</w:t>
      </w:r>
    </w:p>
    <w:bookmarkEnd w:id="853"/>
    <w:bookmarkStart w:name="z868" w:id="854"/>
    <w:p>
      <w:pPr>
        <w:spacing w:after="0"/>
        <w:ind w:left="0"/>
        <w:jc w:val="both"/>
      </w:pPr>
      <w:r>
        <w:rPr>
          <w:rFonts w:ascii="Times New Roman"/>
          <w:b w:val="false"/>
          <w:i w:val="false"/>
          <w:color w:val="000000"/>
          <w:sz w:val="28"/>
        </w:rPr>
        <w:t>
      Путь введения. Путь введения соответствует пути клинического назначения препарата. В случае, если рекомендуемый путь, введения в клинике нельзя повторить в эксперименте, тогда экспериментатор оставляет за собой право использовать путь введения лекарственного средства, который вызывает наиболее сильный иммунный ответ или аллергенное действие с учетом того, что чувствительность иммунной системы человека к ксенобиотикам на несколько порядков выше, чем у животных. В связи с этим часто вводят тест- препарат вместе с полным или неполным адъювантом Фрейнда.</w:t>
      </w:r>
    </w:p>
    <w:bookmarkEnd w:id="854"/>
    <w:bookmarkStart w:name="z869" w:id="855"/>
    <w:p>
      <w:pPr>
        <w:spacing w:after="0"/>
        <w:ind w:left="0"/>
        <w:jc w:val="both"/>
      </w:pPr>
      <w:r>
        <w:rPr>
          <w:rFonts w:ascii="Times New Roman"/>
          <w:b w:val="false"/>
          <w:i w:val="false"/>
          <w:color w:val="000000"/>
          <w:sz w:val="28"/>
        </w:rPr>
        <w:t>
      Уровень доз. Подопытные животные получают не менее 2-х уровней доз для каждого пола, контрольные животные получают в том же объеме и кратности используемый растворитель.</w:t>
      </w:r>
    </w:p>
    <w:bookmarkEnd w:id="855"/>
    <w:bookmarkStart w:name="z870" w:id="856"/>
    <w:p>
      <w:pPr>
        <w:spacing w:after="0"/>
        <w:ind w:left="0"/>
        <w:jc w:val="both"/>
      </w:pPr>
      <w:r>
        <w:rPr>
          <w:rFonts w:ascii="Times New Roman"/>
          <w:b w:val="false"/>
          <w:i w:val="false"/>
          <w:color w:val="000000"/>
          <w:sz w:val="28"/>
        </w:rPr>
        <w:t>
      Контроль. В исследования включается группа позитивного контроля на иммуноактивность при обязательном интактном контроле.</w:t>
      </w:r>
    </w:p>
    <w:bookmarkEnd w:id="856"/>
    <w:bookmarkStart w:name="z871" w:id="857"/>
    <w:p>
      <w:pPr>
        <w:spacing w:after="0"/>
        <w:ind w:left="0"/>
        <w:jc w:val="both"/>
      </w:pPr>
      <w:r>
        <w:rPr>
          <w:rFonts w:ascii="Times New Roman"/>
          <w:b w:val="false"/>
          <w:i w:val="false"/>
          <w:color w:val="000000"/>
          <w:sz w:val="28"/>
        </w:rPr>
        <w:t>
      Продолжительность введения. Определяется в зависимости от изучаемых иммунологических и аллергологических показателей с учетом получения оптимального иммунного ответа.</w:t>
      </w:r>
    </w:p>
    <w:bookmarkEnd w:id="857"/>
    <w:bookmarkStart w:name="z872" w:id="858"/>
    <w:p>
      <w:pPr>
        <w:spacing w:after="0"/>
        <w:ind w:left="0"/>
        <w:jc w:val="both"/>
      </w:pPr>
      <w:r>
        <w:rPr>
          <w:rFonts w:ascii="Times New Roman"/>
          <w:b w:val="false"/>
          <w:i w:val="false"/>
          <w:color w:val="000000"/>
          <w:sz w:val="28"/>
        </w:rPr>
        <w:t>
      Период наблюдения. Изучение функционального состояния иммунной системы продолжается в течение 1 месяца после окончания эксперимента для выяснения обратимости нарушений, вызванных тестируемым препаратом.</w:t>
      </w:r>
    </w:p>
    <w:bookmarkEnd w:id="858"/>
    <w:bookmarkStart w:name="z873" w:id="859"/>
    <w:p>
      <w:pPr>
        <w:spacing w:after="0"/>
        <w:ind w:left="0"/>
        <w:jc w:val="both"/>
      </w:pPr>
      <w:r>
        <w:rPr>
          <w:rFonts w:ascii="Times New Roman"/>
          <w:b w:val="false"/>
          <w:i w:val="false"/>
          <w:color w:val="000000"/>
          <w:sz w:val="28"/>
        </w:rPr>
        <w:t>
      Методы оценки аллергенного действия тестируемого препарата: оценка анафилактогенной активности в реакции общей анафилаксии (анафилактический шок); активная кожная анафилаксия; реакция гиперчувствительности "замедленного" типа на мышах; реакция иммунных комплексов; метод накожных аппликаций.</w:t>
      </w:r>
    </w:p>
    <w:bookmarkEnd w:id="859"/>
    <w:bookmarkStart w:name="z874" w:id="860"/>
    <w:p>
      <w:pPr>
        <w:spacing w:after="0"/>
        <w:ind w:left="0"/>
        <w:jc w:val="both"/>
      </w:pPr>
      <w:r>
        <w:rPr>
          <w:rFonts w:ascii="Times New Roman"/>
          <w:b w:val="false"/>
          <w:i w:val="false"/>
          <w:color w:val="000000"/>
          <w:sz w:val="28"/>
        </w:rPr>
        <w:t>
      Методы in situ: методы оценки чувствительности гладких мышц трахеобронхиальной цепочки к исследуемым препаратам в эксперименте на морских спинках.</w:t>
      </w:r>
    </w:p>
    <w:bookmarkEnd w:id="860"/>
    <w:bookmarkStart w:name="z875" w:id="861"/>
    <w:p>
      <w:pPr>
        <w:spacing w:after="0"/>
        <w:ind w:left="0"/>
        <w:jc w:val="both"/>
      </w:pPr>
      <w:r>
        <w:rPr>
          <w:rFonts w:ascii="Times New Roman"/>
          <w:b w:val="false"/>
          <w:i w:val="false"/>
          <w:color w:val="000000"/>
          <w:sz w:val="28"/>
        </w:rPr>
        <w:t>
      Тесты in vitro: реакция непрямой дегрануляции тучных клеток; реакция торможения миграции макрофагов; псевдоаллергические реакции (тест Шор).</w:t>
      </w:r>
    </w:p>
    <w:bookmarkEnd w:id="861"/>
    <w:bookmarkStart w:name="z876" w:id="862"/>
    <w:p>
      <w:pPr>
        <w:spacing w:after="0"/>
        <w:ind w:left="0"/>
        <w:jc w:val="both"/>
      </w:pPr>
      <w:r>
        <w:rPr>
          <w:rFonts w:ascii="Times New Roman"/>
          <w:b w:val="false"/>
          <w:i w:val="false"/>
          <w:color w:val="000000"/>
          <w:sz w:val="28"/>
        </w:rPr>
        <w:t>
      Оценку иммунотоксичности лекарственного средства рекомендуется проводить в два этапа.</w:t>
      </w:r>
    </w:p>
    <w:bookmarkEnd w:id="862"/>
    <w:bookmarkStart w:name="z877" w:id="863"/>
    <w:p>
      <w:pPr>
        <w:spacing w:after="0"/>
        <w:ind w:left="0"/>
        <w:jc w:val="both"/>
      </w:pPr>
      <w:r>
        <w:rPr>
          <w:rFonts w:ascii="Times New Roman"/>
          <w:b w:val="false"/>
          <w:i w:val="false"/>
          <w:color w:val="000000"/>
          <w:sz w:val="28"/>
        </w:rPr>
        <w:t xml:space="preserve">
      Первый этап оценки позволяет получить минимум интегральных характеристик, охватывающих практически все функции иммунной системы и включает: </w:t>
      </w:r>
    </w:p>
    <w:bookmarkEnd w:id="863"/>
    <w:bookmarkStart w:name="z878" w:id="864"/>
    <w:p>
      <w:pPr>
        <w:spacing w:after="0"/>
        <w:ind w:left="0"/>
        <w:jc w:val="both"/>
      </w:pPr>
      <w:r>
        <w:rPr>
          <w:rFonts w:ascii="Times New Roman"/>
          <w:b w:val="false"/>
          <w:i w:val="false"/>
          <w:color w:val="000000"/>
          <w:sz w:val="28"/>
        </w:rPr>
        <w:t>
      1) суммарную оценку состояния гуморального иммунитета (реакция гемагглютинации;</w:t>
      </w:r>
    </w:p>
    <w:bookmarkEnd w:id="864"/>
    <w:bookmarkStart w:name="z879" w:id="865"/>
    <w:p>
      <w:pPr>
        <w:spacing w:after="0"/>
        <w:ind w:left="0"/>
        <w:jc w:val="both"/>
      </w:pPr>
      <w:r>
        <w:rPr>
          <w:rFonts w:ascii="Times New Roman"/>
          <w:b w:val="false"/>
          <w:i w:val="false"/>
          <w:color w:val="000000"/>
          <w:sz w:val="28"/>
        </w:rPr>
        <w:t>
      2) определение содержания антителообразующих клеток; иммунизация эритроцитами барана);</w:t>
      </w:r>
    </w:p>
    <w:bookmarkEnd w:id="865"/>
    <w:bookmarkStart w:name="z880" w:id="866"/>
    <w:p>
      <w:pPr>
        <w:spacing w:after="0"/>
        <w:ind w:left="0"/>
        <w:jc w:val="both"/>
      </w:pPr>
      <w:r>
        <w:rPr>
          <w:rFonts w:ascii="Times New Roman"/>
          <w:b w:val="false"/>
          <w:i w:val="false"/>
          <w:color w:val="000000"/>
          <w:sz w:val="28"/>
        </w:rPr>
        <w:t>
      3) суммарную оценку состояния Т-клеточного иммунитета - пролиферации в аллосмешанной культуре лимфоцитов (СКЛ) и генерирование Т-киллеров в смещанной культуре лимфоцитов;</w:t>
      </w:r>
    </w:p>
    <w:bookmarkEnd w:id="866"/>
    <w:bookmarkStart w:name="z881" w:id="867"/>
    <w:p>
      <w:pPr>
        <w:spacing w:after="0"/>
        <w:ind w:left="0"/>
        <w:jc w:val="both"/>
      </w:pPr>
      <w:r>
        <w:rPr>
          <w:rFonts w:ascii="Times New Roman"/>
          <w:b w:val="false"/>
          <w:i w:val="false"/>
          <w:color w:val="000000"/>
          <w:sz w:val="28"/>
        </w:rPr>
        <w:t>
      4) суммарную оценку состояния клеточной естественной резистентности (фагоцитоз, хемотаксис).</w:t>
      </w:r>
    </w:p>
    <w:bookmarkEnd w:id="867"/>
    <w:bookmarkStart w:name="z882" w:id="868"/>
    <w:p>
      <w:pPr>
        <w:spacing w:after="0"/>
        <w:ind w:left="0"/>
        <w:jc w:val="both"/>
      </w:pPr>
      <w:r>
        <w:rPr>
          <w:rFonts w:ascii="Times New Roman"/>
          <w:b w:val="false"/>
          <w:i w:val="false"/>
          <w:color w:val="000000"/>
          <w:sz w:val="28"/>
        </w:rPr>
        <w:t xml:space="preserve">
      Тесты 2-го этапа позволяют оценить содержание и функцию субпопуляций клеток иммунной системы. На этом этапе оценивают функциональную активность: </w:t>
      </w:r>
    </w:p>
    <w:bookmarkEnd w:id="868"/>
    <w:bookmarkStart w:name="z883" w:id="869"/>
    <w:p>
      <w:pPr>
        <w:spacing w:after="0"/>
        <w:ind w:left="0"/>
        <w:jc w:val="both"/>
      </w:pPr>
      <w:r>
        <w:rPr>
          <w:rFonts w:ascii="Times New Roman"/>
          <w:b w:val="false"/>
          <w:i w:val="false"/>
          <w:color w:val="000000"/>
          <w:sz w:val="28"/>
        </w:rPr>
        <w:t>
      1) регуляторных лимфоцитов (определение активности Т-хелперов по продукции интерлейкина-2;</w:t>
      </w:r>
    </w:p>
    <w:bookmarkEnd w:id="869"/>
    <w:bookmarkStart w:name="z884" w:id="870"/>
    <w:p>
      <w:pPr>
        <w:spacing w:after="0"/>
        <w:ind w:left="0"/>
        <w:jc w:val="both"/>
      </w:pPr>
      <w:r>
        <w:rPr>
          <w:rFonts w:ascii="Times New Roman"/>
          <w:b w:val="false"/>
          <w:i w:val="false"/>
          <w:color w:val="000000"/>
          <w:sz w:val="28"/>
        </w:rPr>
        <w:t>
      2) определение активности Т-супрессоров по торможению реакции бласттрансформации лимфоцитов и смешанной культуры лимфоцитов);</w:t>
      </w:r>
    </w:p>
    <w:bookmarkEnd w:id="870"/>
    <w:bookmarkStart w:name="z885" w:id="871"/>
    <w:p>
      <w:pPr>
        <w:spacing w:after="0"/>
        <w:ind w:left="0"/>
        <w:jc w:val="both"/>
      </w:pPr>
      <w:r>
        <w:rPr>
          <w:rFonts w:ascii="Times New Roman"/>
          <w:b w:val="false"/>
          <w:i w:val="false"/>
          <w:color w:val="000000"/>
          <w:sz w:val="28"/>
        </w:rPr>
        <w:t>
      3) эффекторных лимфоцитов (определение активности Т-лимфоцитов - реакция бласттрансформации лимфоцитов с Т-митогенами, определение количества Т-лимфоцитов - цитотоксический тест, определение Т-киллеров и естественных киллеров - узнавание, летальный удар;</w:t>
      </w:r>
    </w:p>
    <w:bookmarkEnd w:id="871"/>
    <w:bookmarkStart w:name="z886" w:id="872"/>
    <w:p>
      <w:pPr>
        <w:spacing w:after="0"/>
        <w:ind w:left="0"/>
        <w:jc w:val="both"/>
      </w:pPr>
      <w:r>
        <w:rPr>
          <w:rFonts w:ascii="Times New Roman"/>
          <w:b w:val="false"/>
          <w:i w:val="false"/>
          <w:color w:val="000000"/>
          <w:sz w:val="28"/>
        </w:rPr>
        <w:t>
      4) определение эффекторов гиперчувствительности "замедленного" типа; определение; активности В-лимфоцитов - пролиферация В-лимфоцитов В-митогенами, определение количества В- лимфоцитов (цитотоксический тест), продукция антител IgA; JgM; IgG по Манчини);</w:t>
      </w:r>
    </w:p>
    <w:bookmarkEnd w:id="872"/>
    <w:bookmarkStart w:name="z887" w:id="873"/>
    <w:p>
      <w:pPr>
        <w:spacing w:after="0"/>
        <w:ind w:left="0"/>
        <w:jc w:val="both"/>
      </w:pPr>
      <w:r>
        <w:rPr>
          <w:rFonts w:ascii="Times New Roman"/>
          <w:b w:val="false"/>
          <w:i w:val="false"/>
          <w:color w:val="000000"/>
          <w:sz w:val="28"/>
        </w:rPr>
        <w:t>
      5) макрофагов (определение подвижности макрофагов - тест ингибиции миграции макрофагов, определение продукции иптерлейкина-1).</w:t>
      </w:r>
    </w:p>
    <w:bookmarkEnd w:id="873"/>
    <w:bookmarkStart w:name="z888" w:id="874"/>
    <w:p>
      <w:pPr>
        <w:spacing w:after="0"/>
        <w:ind w:left="0"/>
        <w:jc w:val="both"/>
      </w:pPr>
      <w:r>
        <w:rPr>
          <w:rFonts w:ascii="Times New Roman"/>
          <w:b w:val="false"/>
          <w:i w:val="false"/>
          <w:color w:val="000000"/>
          <w:sz w:val="28"/>
        </w:rPr>
        <w:t>
      Второй этап испытаний препаратов на иммунотоксическое действие проводят в случае если на первом этапе оценки выявлено иммунотоксическое действие лекарственного средства, но его нельзя заменить неиммунотоксическим аналогом, в таких случаях рекомендуется иммунологический контроль на стадии клинических испытаний и целенаправленная коррекция обнаруженного иммунотоксического эффекта с помощью введения иммуномодуляторов.</w:t>
      </w:r>
    </w:p>
    <w:bookmarkEnd w:id="874"/>
    <w:bookmarkStart w:name="z889" w:id="875"/>
    <w:p>
      <w:pPr>
        <w:spacing w:after="0"/>
        <w:ind w:left="0"/>
        <w:jc w:val="both"/>
      </w:pPr>
      <w:r>
        <w:rPr>
          <w:rFonts w:ascii="Times New Roman"/>
          <w:b w:val="false"/>
          <w:i w:val="false"/>
          <w:color w:val="000000"/>
          <w:sz w:val="28"/>
        </w:rPr>
        <w:t>
      Если количество эффективных лекарственных средств, применяемых при данной патологии очень ограничено.</w:t>
      </w:r>
    </w:p>
    <w:bookmarkEnd w:id="875"/>
    <w:bookmarkStart w:name="z890" w:id="876"/>
    <w:p>
      <w:pPr>
        <w:spacing w:after="0"/>
        <w:ind w:left="0"/>
        <w:jc w:val="both"/>
      </w:pPr>
      <w:r>
        <w:rPr>
          <w:rFonts w:ascii="Times New Roman"/>
          <w:b w:val="false"/>
          <w:i w:val="false"/>
          <w:color w:val="000000"/>
          <w:sz w:val="28"/>
        </w:rPr>
        <w:t>
      17. Тестирование на иммунотоксическое и аллергизирующее действие проводят обычно на 7-14-21 сутки после последнего введения лекарственного средства. Если изучают развитие иммунных и аллергических реакций в динамике или определяют возможность обратимости этих нежелательных эффектов, то эксперименты продолжаются до 2-3-х месяцев.</w:t>
      </w:r>
    </w:p>
    <w:bookmarkEnd w:id="876"/>
    <w:bookmarkStart w:name="z891" w:id="877"/>
    <w:p>
      <w:pPr>
        <w:spacing w:after="0"/>
        <w:ind w:left="0"/>
        <w:jc w:val="both"/>
      </w:pPr>
      <w:r>
        <w:rPr>
          <w:rFonts w:ascii="Times New Roman"/>
          <w:b w:val="false"/>
          <w:i w:val="false"/>
          <w:color w:val="000000"/>
          <w:sz w:val="28"/>
        </w:rPr>
        <w:t>
      Изучение эмбриотоксического действия и влияния на репродуктивную функцию:</w:t>
      </w:r>
    </w:p>
    <w:bookmarkEnd w:id="877"/>
    <w:bookmarkStart w:name="z892" w:id="878"/>
    <w:p>
      <w:pPr>
        <w:spacing w:after="0"/>
        <w:ind w:left="0"/>
        <w:jc w:val="both"/>
      </w:pPr>
      <w:r>
        <w:rPr>
          <w:rFonts w:ascii="Times New Roman"/>
          <w:b w:val="false"/>
          <w:i w:val="false"/>
          <w:color w:val="000000"/>
          <w:sz w:val="28"/>
        </w:rPr>
        <w:t>
      1) исследованию на эмбриотоксические свойства подвергаются все новые фармакологические средства, которые назначаются женщинам в репродуктивном периоде жизни, а также вспомогательные вещества, включенные в лекарственную форму новых или уже применяемых лекарственных средств. Исследования включают как изучение состояния потомства к концу антенатального периода развития (I этап исследования), так и состояние потомства в постнатальном периоде жизни (II этап исследования). Испытания ограничиваются I этапом, если препарат является очень сильным или сильным тератогеном.</w:t>
      </w:r>
    </w:p>
    <w:bookmarkEnd w:id="878"/>
    <w:bookmarkStart w:name="z893" w:id="879"/>
    <w:p>
      <w:pPr>
        <w:spacing w:after="0"/>
        <w:ind w:left="0"/>
        <w:jc w:val="both"/>
      </w:pPr>
      <w:r>
        <w:rPr>
          <w:rFonts w:ascii="Times New Roman"/>
          <w:b w:val="false"/>
          <w:i w:val="false"/>
          <w:color w:val="000000"/>
          <w:sz w:val="28"/>
        </w:rPr>
        <w:t>
      2) изучение эмбриотоксического действия на крысах.</w:t>
      </w:r>
    </w:p>
    <w:bookmarkEnd w:id="879"/>
    <w:bookmarkStart w:name="z894" w:id="880"/>
    <w:p>
      <w:pPr>
        <w:spacing w:after="0"/>
        <w:ind w:left="0"/>
        <w:jc w:val="both"/>
      </w:pPr>
      <w:r>
        <w:rPr>
          <w:rFonts w:ascii="Times New Roman"/>
          <w:b w:val="false"/>
          <w:i w:val="false"/>
          <w:color w:val="000000"/>
          <w:sz w:val="28"/>
        </w:rPr>
        <w:t>
      I этап исследования.</w:t>
      </w:r>
    </w:p>
    <w:bookmarkEnd w:id="880"/>
    <w:bookmarkStart w:name="z895" w:id="881"/>
    <w:p>
      <w:pPr>
        <w:spacing w:after="0"/>
        <w:ind w:left="0"/>
        <w:jc w:val="both"/>
      </w:pPr>
      <w:r>
        <w:rPr>
          <w:rFonts w:ascii="Times New Roman"/>
          <w:b w:val="false"/>
          <w:i w:val="false"/>
          <w:color w:val="000000"/>
          <w:sz w:val="28"/>
        </w:rPr>
        <w:t>
      Животные. Линейные, гибридные или рандомбредные крысы.</w:t>
      </w:r>
    </w:p>
    <w:bookmarkEnd w:id="881"/>
    <w:bookmarkStart w:name="z896" w:id="882"/>
    <w:p>
      <w:pPr>
        <w:spacing w:after="0"/>
        <w:ind w:left="0"/>
        <w:jc w:val="both"/>
      </w:pPr>
      <w:r>
        <w:rPr>
          <w:rFonts w:ascii="Times New Roman"/>
          <w:b w:val="false"/>
          <w:i w:val="false"/>
          <w:color w:val="000000"/>
          <w:sz w:val="28"/>
        </w:rPr>
        <w:t>
      Число животных. В подопытной и контрольной группах составляет не менее 20 беременных животных. Первым днем беременности считается день нахождения сперматозоидов в вагинальном мазке.</w:t>
      </w:r>
    </w:p>
    <w:bookmarkEnd w:id="882"/>
    <w:bookmarkStart w:name="z897" w:id="883"/>
    <w:p>
      <w:pPr>
        <w:spacing w:after="0"/>
        <w:ind w:left="0"/>
        <w:jc w:val="both"/>
      </w:pPr>
      <w:r>
        <w:rPr>
          <w:rFonts w:ascii="Times New Roman"/>
          <w:b w:val="false"/>
          <w:i w:val="false"/>
          <w:color w:val="000000"/>
          <w:sz w:val="28"/>
        </w:rPr>
        <w:t>
      Путь введения. Рекомендованный для клинического применения, при пероральном введении вещество вводят зондом.</w:t>
      </w:r>
    </w:p>
    <w:bookmarkEnd w:id="883"/>
    <w:bookmarkStart w:name="z898" w:id="884"/>
    <w:p>
      <w:pPr>
        <w:spacing w:after="0"/>
        <w:ind w:left="0"/>
        <w:jc w:val="both"/>
      </w:pPr>
      <w:r>
        <w:rPr>
          <w:rFonts w:ascii="Times New Roman"/>
          <w:b w:val="false"/>
          <w:i w:val="false"/>
          <w:color w:val="000000"/>
          <w:sz w:val="28"/>
        </w:rPr>
        <w:t>
      Дозы. Целесообразно испытание трех доз. В качестве высшей используется максимальная доза, при которой не отмечается гибели самок и развития видимых признаков интоксикации при избранном режиме введения препарата. При испытании высшей дозы малотоксичных веществ объем жидкости, вводимый подопытным животным, не превышает максимально-допустимое количество для данного вида животных и конкретного пути введения.</w:t>
      </w:r>
    </w:p>
    <w:bookmarkEnd w:id="884"/>
    <w:bookmarkStart w:name="z899" w:id="885"/>
    <w:p>
      <w:pPr>
        <w:spacing w:after="0"/>
        <w:ind w:left="0"/>
        <w:jc w:val="both"/>
      </w:pPr>
      <w:r>
        <w:rPr>
          <w:rFonts w:ascii="Times New Roman"/>
          <w:b w:val="false"/>
          <w:i w:val="false"/>
          <w:color w:val="000000"/>
          <w:sz w:val="28"/>
        </w:rPr>
        <w:t>
      Контрольная группа. В эксперимент включаются группы негативного, позитивного и интактного контроля. Негативному контролю вводят растворитель или добавки используемые для введения субстанции испытуемого вещества.</w:t>
      </w:r>
    </w:p>
    <w:bookmarkEnd w:id="885"/>
    <w:bookmarkStart w:name="z900" w:id="886"/>
    <w:p>
      <w:pPr>
        <w:spacing w:after="0"/>
        <w:ind w:left="0"/>
        <w:jc w:val="both"/>
      </w:pPr>
      <w:r>
        <w:rPr>
          <w:rFonts w:ascii="Times New Roman"/>
          <w:b w:val="false"/>
          <w:i w:val="false"/>
          <w:color w:val="000000"/>
          <w:sz w:val="28"/>
        </w:rPr>
        <w:t>
      Режим введения. Вещество вводят один раз в сутки различным группам с 1 по 6, с 6 по 16 и с 16 по 19 дни беременности. Изучаемое вещество вводят с 6 по 16 дни беременности и трех дозах, в остальные сроки - в высшей дозе. Если при введении вещества в высшей дозе отмечен эмбриотоксический эффект, то проводят дополнительные исследования для установления пороговой дозы. Сроки введения изучаемого вещества охватывают весь период беременности самок, поскольку чувствительность зародыша к препарату зависит от стадии его развития.</w:t>
      </w:r>
    </w:p>
    <w:bookmarkEnd w:id="886"/>
    <w:bookmarkStart w:name="z901" w:id="887"/>
    <w:p>
      <w:pPr>
        <w:spacing w:after="0"/>
        <w:ind w:left="0"/>
        <w:jc w:val="both"/>
      </w:pPr>
      <w:r>
        <w:rPr>
          <w:rFonts w:ascii="Times New Roman"/>
          <w:b w:val="false"/>
          <w:i w:val="false"/>
          <w:color w:val="000000"/>
          <w:sz w:val="28"/>
        </w:rPr>
        <w:t>
      Методика оценки: ежедневное наблюдение за состоянием и поведением беременных самок; еженедельное взвешивание животных; эвтаназия и вскрытие самок на 20-й день беременности для оценки результатов; в качестве показателей эмбриотоксического действия определяется пред- и постимплантационная эмбриональная смертность, морфологические (анатомические) пороки развития, общая задержка развития плодов.</w:t>
      </w:r>
    </w:p>
    <w:bookmarkEnd w:id="887"/>
    <w:bookmarkStart w:name="z902" w:id="888"/>
    <w:p>
      <w:pPr>
        <w:spacing w:after="0"/>
        <w:ind w:left="0"/>
        <w:jc w:val="both"/>
      </w:pPr>
      <w:r>
        <w:rPr>
          <w:rFonts w:ascii="Times New Roman"/>
          <w:b w:val="false"/>
          <w:i w:val="false"/>
          <w:color w:val="000000"/>
          <w:sz w:val="28"/>
        </w:rPr>
        <w:t>
      Предимплантационную смертность определяют по разности между количеством желтых тел в яичниках и количеством мест имплантации в матке; постимплантационную смертность - по разности между количеством мест имплантации и числом живых плодов.</w:t>
      </w:r>
    </w:p>
    <w:bookmarkEnd w:id="888"/>
    <w:bookmarkStart w:name="z903" w:id="889"/>
    <w:p>
      <w:pPr>
        <w:spacing w:after="0"/>
        <w:ind w:left="0"/>
        <w:jc w:val="both"/>
      </w:pPr>
      <w:r>
        <w:rPr>
          <w:rFonts w:ascii="Times New Roman"/>
          <w:b w:val="false"/>
          <w:i w:val="false"/>
          <w:color w:val="000000"/>
          <w:sz w:val="28"/>
        </w:rPr>
        <w:t>
      Для оценки тератогенного действия подсчитывается число плодов с аномалиями при внешнем осмотре, а затем общее число плодов делится на две группы. У плодов исследуют состояние внутренних органов, у другой (%) - состояние скелета. Все плоды взвешиваются и определяется их краниокаудальный размер. За единицу наблюдения принимают результаты, полученные при вскрытии одной самки. Статистическая обработка результатов проводится методами непараметрических критериев.</w:t>
      </w:r>
    </w:p>
    <w:bookmarkEnd w:id="889"/>
    <w:bookmarkStart w:name="z904" w:id="890"/>
    <w:p>
      <w:pPr>
        <w:spacing w:after="0"/>
        <w:ind w:left="0"/>
        <w:jc w:val="both"/>
      </w:pPr>
      <w:r>
        <w:rPr>
          <w:rFonts w:ascii="Times New Roman"/>
          <w:b w:val="false"/>
          <w:i w:val="false"/>
          <w:color w:val="000000"/>
          <w:sz w:val="28"/>
        </w:rPr>
        <w:t>
      II этап исследования.</w:t>
      </w:r>
    </w:p>
    <w:bookmarkEnd w:id="890"/>
    <w:bookmarkStart w:name="z905" w:id="891"/>
    <w:p>
      <w:pPr>
        <w:spacing w:after="0"/>
        <w:ind w:left="0"/>
        <w:jc w:val="both"/>
      </w:pPr>
      <w:r>
        <w:rPr>
          <w:rFonts w:ascii="Times New Roman"/>
          <w:b w:val="false"/>
          <w:i w:val="false"/>
          <w:color w:val="000000"/>
          <w:sz w:val="28"/>
        </w:rPr>
        <w:t>
      Животные. Исследования проводятся на виргильных самках, гибридах или рандомбредных животных.</w:t>
      </w:r>
    </w:p>
    <w:bookmarkEnd w:id="891"/>
    <w:bookmarkStart w:name="z906" w:id="892"/>
    <w:p>
      <w:pPr>
        <w:spacing w:after="0"/>
        <w:ind w:left="0"/>
        <w:jc w:val="both"/>
      </w:pPr>
      <w:r>
        <w:rPr>
          <w:rFonts w:ascii="Times New Roman"/>
          <w:b w:val="false"/>
          <w:i w:val="false"/>
          <w:color w:val="000000"/>
          <w:sz w:val="28"/>
        </w:rPr>
        <w:t>
      Число животных. В подопытных и контрольных группах получает потомство не менее, чем от 15 самок.</w:t>
      </w:r>
    </w:p>
    <w:bookmarkEnd w:id="892"/>
    <w:bookmarkStart w:name="z907" w:id="893"/>
    <w:p>
      <w:pPr>
        <w:spacing w:after="0"/>
        <w:ind w:left="0"/>
        <w:jc w:val="both"/>
      </w:pPr>
      <w:r>
        <w:rPr>
          <w:rFonts w:ascii="Times New Roman"/>
          <w:b w:val="false"/>
          <w:i w:val="false"/>
          <w:color w:val="000000"/>
          <w:sz w:val="28"/>
        </w:rPr>
        <w:t>
      Путь введения: Преимущественно адекватный клиническому использованию.</w:t>
      </w:r>
    </w:p>
    <w:bookmarkEnd w:id="893"/>
    <w:bookmarkStart w:name="z908" w:id="894"/>
    <w:p>
      <w:pPr>
        <w:spacing w:after="0"/>
        <w:ind w:left="0"/>
        <w:jc w:val="both"/>
      </w:pPr>
      <w:r>
        <w:rPr>
          <w:rFonts w:ascii="Times New Roman"/>
          <w:b w:val="false"/>
          <w:i w:val="false"/>
          <w:color w:val="000000"/>
          <w:sz w:val="28"/>
        </w:rPr>
        <w:t>
      Дозы. Испытывается эффективная доза или в несколько раз увеличенная терапевтическая доза.</w:t>
      </w:r>
    </w:p>
    <w:bookmarkEnd w:id="894"/>
    <w:bookmarkStart w:name="z909" w:id="895"/>
    <w:p>
      <w:pPr>
        <w:spacing w:after="0"/>
        <w:ind w:left="0"/>
        <w:jc w:val="both"/>
      </w:pPr>
      <w:r>
        <w:rPr>
          <w:rFonts w:ascii="Times New Roman"/>
          <w:b w:val="false"/>
          <w:i w:val="false"/>
          <w:color w:val="000000"/>
          <w:sz w:val="28"/>
        </w:rPr>
        <w:t>
      Контрольная группа служит негативным контролем, подвергается воздействию растворителей или других добавок, используемых при введении субстанции.</w:t>
      </w:r>
    </w:p>
    <w:bookmarkEnd w:id="895"/>
    <w:bookmarkStart w:name="z910" w:id="896"/>
    <w:p>
      <w:pPr>
        <w:spacing w:after="0"/>
        <w:ind w:left="0"/>
        <w:jc w:val="both"/>
      </w:pPr>
      <w:r>
        <w:rPr>
          <w:rFonts w:ascii="Times New Roman"/>
          <w:b w:val="false"/>
          <w:i w:val="false"/>
          <w:color w:val="000000"/>
          <w:sz w:val="28"/>
        </w:rPr>
        <w:t>
      Режим введения: Один раз в сутки, с первого до последнего дня беременности.</w:t>
      </w:r>
    </w:p>
    <w:bookmarkEnd w:id="896"/>
    <w:bookmarkStart w:name="z911" w:id="897"/>
    <w:p>
      <w:pPr>
        <w:spacing w:after="0"/>
        <w:ind w:left="0"/>
        <w:jc w:val="both"/>
      </w:pPr>
      <w:r>
        <w:rPr>
          <w:rFonts w:ascii="Times New Roman"/>
          <w:b w:val="false"/>
          <w:i w:val="false"/>
          <w:color w:val="000000"/>
          <w:sz w:val="28"/>
        </w:rPr>
        <w:t>
      Методика оценки: ежедневное наблюдение за общим состоянием и поведением беременных самок; ежедневное взвешивание, анализ прироста массы тела; изучение поведения потомства в постнатальном периоде жизни; изучение у потомства нарушений со стороны репродуктивной функции, состояния основных функциональных систем (печени, нервной, эндокринной, иммунной и др.).</w:t>
      </w:r>
    </w:p>
    <w:bookmarkEnd w:id="897"/>
    <w:bookmarkStart w:name="z912" w:id="898"/>
    <w:p>
      <w:pPr>
        <w:spacing w:after="0"/>
        <w:ind w:left="0"/>
        <w:jc w:val="both"/>
      </w:pPr>
      <w:r>
        <w:rPr>
          <w:rFonts w:ascii="Times New Roman"/>
          <w:b w:val="false"/>
          <w:i w:val="false"/>
          <w:color w:val="000000"/>
          <w:sz w:val="28"/>
        </w:rPr>
        <w:t>
      За 3-4 дня до родов беременные самки размещаются в индивидуальных клетках. В каждом помете оставляют по 8 новорожденных с одинаковым количеством самцов и самок, по возможности. На 23-25 день после рождения крысят отсаживают от матери.</w:t>
      </w:r>
    </w:p>
    <w:bookmarkEnd w:id="898"/>
    <w:bookmarkStart w:name="z913" w:id="899"/>
    <w:p>
      <w:pPr>
        <w:spacing w:after="0"/>
        <w:ind w:left="0"/>
        <w:jc w:val="both"/>
      </w:pPr>
      <w:r>
        <w:rPr>
          <w:rFonts w:ascii="Times New Roman"/>
          <w:b w:val="false"/>
          <w:i w:val="false"/>
          <w:color w:val="000000"/>
          <w:sz w:val="28"/>
        </w:rPr>
        <w:t>
      Исследования потомства наминают не ранее, чем через 24 часа после рождения и продолжают до 2-3-месячного возраста. Оценка поведения проводится по следующим показателям: общее наблюдение за физическим развитием потомства; скорость созревания сенсорно-двигательных рефлексов в период вскармливания самкой; двигательное и эмоциональное поведение и способность к координации движений у потомства после окончания вскармливания; выработка условных рефлексов с положительным и отрицательным подкреплением, сохранение полученных навыков (обучаемость и память).</w:t>
      </w:r>
    </w:p>
    <w:bookmarkEnd w:id="899"/>
    <w:bookmarkStart w:name="z914" w:id="900"/>
    <w:p>
      <w:pPr>
        <w:spacing w:after="0"/>
        <w:ind w:left="0"/>
        <w:jc w:val="both"/>
      </w:pPr>
      <w:r>
        <w:rPr>
          <w:rFonts w:ascii="Times New Roman"/>
          <w:b w:val="false"/>
          <w:i w:val="false"/>
          <w:color w:val="000000"/>
          <w:sz w:val="28"/>
        </w:rPr>
        <w:t>
      Экспериментальная программа оценки состояния основных систем потомства зависит от фармакологической активности изучаемого препарата и аналогична методам, используемым и токсикологии. При технических трудностях длительного введения препарата, можно вводить его 3-5 дней подряд, но при этом следует предусмотреть увеличение числа групп животных, чтобы охватить весь период беременности.</w:t>
      </w:r>
    </w:p>
    <w:bookmarkEnd w:id="900"/>
    <w:bookmarkStart w:name="z915" w:id="901"/>
    <w:p>
      <w:pPr>
        <w:spacing w:after="0"/>
        <w:ind w:left="0"/>
        <w:jc w:val="both"/>
      </w:pPr>
      <w:r>
        <w:rPr>
          <w:rFonts w:ascii="Times New Roman"/>
          <w:b w:val="false"/>
          <w:i w:val="false"/>
          <w:color w:val="000000"/>
          <w:sz w:val="28"/>
        </w:rPr>
        <w:t>
      При статистической обработке за среднее значение соответствующего показателя принимается величина для отдельного помета, желательно предусмотреть возможность раздельного анализа результатов для самок и самцов.</w:t>
      </w:r>
    </w:p>
    <w:bookmarkEnd w:id="901"/>
    <w:bookmarkStart w:name="z916" w:id="902"/>
    <w:p>
      <w:pPr>
        <w:spacing w:after="0"/>
        <w:ind w:left="0"/>
        <w:jc w:val="both"/>
      </w:pPr>
      <w:r>
        <w:rPr>
          <w:rFonts w:ascii="Times New Roman"/>
          <w:b w:val="false"/>
          <w:i w:val="false"/>
          <w:color w:val="000000"/>
          <w:sz w:val="28"/>
        </w:rPr>
        <w:t>
      3) изучение эмбриотоксического действия на кроликах.</w:t>
      </w:r>
    </w:p>
    <w:bookmarkEnd w:id="902"/>
    <w:bookmarkStart w:name="z917" w:id="903"/>
    <w:p>
      <w:pPr>
        <w:spacing w:after="0"/>
        <w:ind w:left="0"/>
        <w:jc w:val="both"/>
      </w:pPr>
      <w:r>
        <w:rPr>
          <w:rFonts w:ascii="Times New Roman"/>
          <w:b w:val="false"/>
          <w:i w:val="false"/>
          <w:color w:val="000000"/>
          <w:sz w:val="28"/>
        </w:rPr>
        <w:t>
      Животные. Исследования проводятся на виргильных самках.</w:t>
      </w:r>
    </w:p>
    <w:bookmarkEnd w:id="903"/>
    <w:bookmarkStart w:name="z918" w:id="904"/>
    <w:p>
      <w:pPr>
        <w:spacing w:after="0"/>
        <w:ind w:left="0"/>
        <w:jc w:val="both"/>
      </w:pPr>
      <w:r>
        <w:rPr>
          <w:rFonts w:ascii="Times New Roman"/>
          <w:b w:val="false"/>
          <w:i w:val="false"/>
          <w:color w:val="000000"/>
          <w:sz w:val="28"/>
        </w:rPr>
        <w:t>
      Число животных. Каждая группа состоит не менее, чем из 12 беременных крольчих. Первым днем беременности считается день нахождения сперматозоидов в вагинальном мазке.</w:t>
      </w:r>
    </w:p>
    <w:bookmarkEnd w:id="904"/>
    <w:bookmarkStart w:name="z919" w:id="905"/>
    <w:p>
      <w:pPr>
        <w:spacing w:after="0"/>
        <w:ind w:left="0"/>
        <w:jc w:val="both"/>
      </w:pPr>
      <w:r>
        <w:rPr>
          <w:rFonts w:ascii="Times New Roman"/>
          <w:b w:val="false"/>
          <w:i w:val="false"/>
          <w:color w:val="000000"/>
          <w:sz w:val="28"/>
        </w:rPr>
        <w:t>
      Путь введения: Способ введения соответствует клиническому применению лекарственного средства.</w:t>
      </w:r>
    </w:p>
    <w:bookmarkEnd w:id="905"/>
    <w:bookmarkStart w:name="z920" w:id="906"/>
    <w:p>
      <w:pPr>
        <w:spacing w:after="0"/>
        <w:ind w:left="0"/>
        <w:jc w:val="both"/>
      </w:pPr>
      <w:r>
        <w:rPr>
          <w:rFonts w:ascii="Times New Roman"/>
          <w:b w:val="false"/>
          <w:i w:val="false"/>
          <w:color w:val="000000"/>
          <w:sz w:val="28"/>
        </w:rPr>
        <w:t>
      Дозы. Исследования проводятся на уровне высшей дозы.</w:t>
      </w:r>
    </w:p>
    <w:bookmarkEnd w:id="906"/>
    <w:bookmarkStart w:name="z921" w:id="907"/>
    <w:p>
      <w:pPr>
        <w:spacing w:after="0"/>
        <w:ind w:left="0"/>
        <w:jc w:val="both"/>
      </w:pPr>
      <w:r>
        <w:rPr>
          <w:rFonts w:ascii="Times New Roman"/>
          <w:b w:val="false"/>
          <w:i w:val="false"/>
          <w:color w:val="000000"/>
          <w:sz w:val="28"/>
        </w:rPr>
        <w:t>
      Контрольная группа. В эксперимент включаются группы негативного, позитивного и интактного контроля.</w:t>
      </w:r>
    </w:p>
    <w:bookmarkEnd w:id="907"/>
    <w:bookmarkStart w:name="z922" w:id="908"/>
    <w:p>
      <w:pPr>
        <w:spacing w:after="0"/>
        <w:ind w:left="0"/>
        <w:jc w:val="both"/>
      </w:pPr>
      <w:r>
        <w:rPr>
          <w:rFonts w:ascii="Times New Roman"/>
          <w:b w:val="false"/>
          <w:i w:val="false"/>
          <w:color w:val="000000"/>
          <w:sz w:val="28"/>
        </w:rPr>
        <w:t>
      Режим введения: Испытуемое вещество рекомендуется вводить с 6 по 18 день беременности один раз в сутки.</w:t>
      </w:r>
    </w:p>
    <w:bookmarkEnd w:id="908"/>
    <w:bookmarkStart w:name="z923" w:id="909"/>
    <w:p>
      <w:pPr>
        <w:spacing w:after="0"/>
        <w:ind w:left="0"/>
        <w:jc w:val="both"/>
      </w:pPr>
      <w:r>
        <w:rPr>
          <w:rFonts w:ascii="Times New Roman"/>
          <w:b w:val="false"/>
          <w:i w:val="false"/>
          <w:color w:val="000000"/>
          <w:sz w:val="28"/>
        </w:rPr>
        <w:t>
      Методика оценки:</w:t>
      </w:r>
    </w:p>
    <w:bookmarkEnd w:id="909"/>
    <w:bookmarkStart w:name="z924" w:id="910"/>
    <w:p>
      <w:pPr>
        <w:spacing w:after="0"/>
        <w:ind w:left="0"/>
        <w:jc w:val="both"/>
      </w:pPr>
      <w:r>
        <w:rPr>
          <w:rFonts w:ascii="Times New Roman"/>
          <w:b w:val="false"/>
          <w:i w:val="false"/>
          <w:color w:val="000000"/>
          <w:sz w:val="28"/>
        </w:rPr>
        <w:t>
      1) эвтаназию и вскрытие самок проводят на 27-28 день беременности;</w:t>
      </w:r>
    </w:p>
    <w:bookmarkEnd w:id="910"/>
    <w:bookmarkStart w:name="z925" w:id="911"/>
    <w:p>
      <w:pPr>
        <w:spacing w:after="0"/>
        <w:ind w:left="0"/>
        <w:jc w:val="both"/>
      </w:pPr>
      <w:r>
        <w:rPr>
          <w:rFonts w:ascii="Times New Roman"/>
          <w:b w:val="false"/>
          <w:i w:val="false"/>
          <w:color w:val="000000"/>
          <w:sz w:val="28"/>
        </w:rPr>
        <w:t>
      2) показателями эмбриотоксичности является пред- и постимплантационная эмбриональная смертность, морфологические пороки развития, общая задержка развития плодов.</w:t>
      </w:r>
    </w:p>
    <w:bookmarkEnd w:id="911"/>
    <w:bookmarkStart w:name="z926" w:id="912"/>
    <w:p>
      <w:pPr>
        <w:spacing w:after="0"/>
        <w:ind w:left="0"/>
        <w:jc w:val="both"/>
      </w:pPr>
      <w:r>
        <w:rPr>
          <w:rFonts w:ascii="Times New Roman"/>
          <w:b w:val="false"/>
          <w:i w:val="false"/>
          <w:color w:val="000000"/>
          <w:sz w:val="28"/>
        </w:rPr>
        <w:t>
      Подразделения, ведущие тестирование тератогенности, содержит данные "обобщенного" контроля об уровне спонтанного возникновения аномалии развития, полученные на интактных контрольных животных.</w:t>
      </w:r>
    </w:p>
    <w:bookmarkEnd w:id="912"/>
    <w:bookmarkStart w:name="z927" w:id="913"/>
    <w:p>
      <w:pPr>
        <w:spacing w:after="0"/>
        <w:ind w:left="0"/>
        <w:jc w:val="both"/>
      </w:pPr>
      <w:r>
        <w:rPr>
          <w:rFonts w:ascii="Times New Roman"/>
          <w:b w:val="false"/>
          <w:i w:val="false"/>
          <w:color w:val="000000"/>
          <w:sz w:val="28"/>
        </w:rPr>
        <w:t>
      4) изучение влияния лекарственных средств на репродуктивную функцию.</w:t>
      </w:r>
    </w:p>
    <w:bookmarkEnd w:id="913"/>
    <w:bookmarkStart w:name="z928" w:id="914"/>
    <w:p>
      <w:pPr>
        <w:spacing w:after="0"/>
        <w:ind w:left="0"/>
        <w:jc w:val="both"/>
      </w:pPr>
      <w:r>
        <w:rPr>
          <w:rFonts w:ascii="Times New Roman"/>
          <w:b w:val="false"/>
          <w:i w:val="false"/>
          <w:color w:val="000000"/>
          <w:sz w:val="28"/>
        </w:rPr>
        <w:t>
      Учитывая возможность лекарственных средств вызывать не только уродства и гибель эмбрионов, плодов, но и влиять на гаметогенез, нужно изучение гонадотоксического действия новых потенциальных лекарственных средств. Виды и линии животных для этих целей отбираются с учетом информации об их репродуктивном статусе, уровня врожденных уродств и чувствительности к известным гонадотоксическим агентам. Желательно проводить исследования на животных с низким уровнем спонтанных уродств.</w:t>
      </w:r>
    </w:p>
    <w:bookmarkEnd w:id="914"/>
    <w:bookmarkStart w:name="z929" w:id="915"/>
    <w:p>
      <w:pPr>
        <w:spacing w:after="0"/>
        <w:ind w:left="0"/>
        <w:jc w:val="both"/>
      </w:pPr>
      <w:r>
        <w:rPr>
          <w:rFonts w:ascii="Times New Roman"/>
          <w:b w:val="false"/>
          <w:i w:val="false"/>
          <w:color w:val="000000"/>
          <w:sz w:val="28"/>
        </w:rPr>
        <w:t>
      Животные. Исследования проводят на животных обоего пола.</w:t>
      </w:r>
    </w:p>
    <w:bookmarkEnd w:id="915"/>
    <w:bookmarkStart w:name="z930" w:id="916"/>
    <w:p>
      <w:pPr>
        <w:spacing w:after="0"/>
        <w:ind w:left="0"/>
        <w:jc w:val="both"/>
      </w:pPr>
      <w:r>
        <w:rPr>
          <w:rFonts w:ascii="Times New Roman"/>
          <w:b w:val="false"/>
          <w:i w:val="false"/>
          <w:color w:val="000000"/>
          <w:sz w:val="28"/>
        </w:rPr>
        <w:t>
      Число животных. Рекомендуется иметь в каждой группе не менее 20 самцов и 40 самок.</w:t>
      </w:r>
    </w:p>
    <w:bookmarkEnd w:id="916"/>
    <w:bookmarkStart w:name="z931" w:id="917"/>
    <w:p>
      <w:pPr>
        <w:spacing w:after="0"/>
        <w:ind w:left="0"/>
        <w:jc w:val="both"/>
      </w:pPr>
      <w:r>
        <w:rPr>
          <w:rFonts w:ascii="Times New Roman"/>
          <w:b w:val="false"/>
          <w:i w:val="false"/>
          <w:color w:val="000000"/>
          <w:sz w:val="28"/>
        </w:rPr>
        <w:t>
      Путь, введения соответствует клиническому способу применения.</w:t>
      </w:r>
    </w:p>
    <w:bookmarkEnd w:id="917"/>
    <w:bookmarkStart w:name="z932" w:id="918"/>
    <w:p>
      <w:pPr>
        <w:spacing w:after="0"/>
        <w:ind w:left="0"/>
        <w:jc w:val="both"/>
      </w:pPr>
      <w:r>
        <w:rPr>
          <w:rFonts w:ascii="Times New Roman"/>
          <w:b w:val="false"/>
          <w:i w:val="false"/>
          <w:color w:val="000000"/>
          <w:sz w:val="28"/>
        </w:rPr>
        <w:t>
      Уровень доз. Вещество испытывают в 3-х дозах.</w:t>
      </w:r>
    </w:p>
    <w:bookmarkEnd w:id="918"/>
    <w:bookmarkStart w:name="z933" w:id="919"/>
    <w:p>
      <w:pPr>
        <w:spacing w:after="0"/>
        <w:ind w:left="0"/>
        <w:jc w:val="both"/>
      </w:pPr>
      <w:r>
        <w:rPr>
          <w:rFonts w:ascii="Times New Roman"/>
          <w:b w:val="false"/>
          <w:i w:val="false"/>
          <w:color w:val="000000"/>
          <w:sz w:val="28"/>
        </w:rPr>
        <w:t>
      Контрольная группа. Используются группы негативного, позитивного и интактного контроля.</w:t>
      </w:r>
    </w:p>
    <w:bookmarkEnd w:id="919"/>
    <w:bookmarkStart w:name="z934" w:id="920"/>
    <w:p>
      <w:pPr>
        <w:spacing w:after="0"/>
        <w:ind w:left="0"/>
        <w:jc w:val="both"/>
      </w:pPr>
      <w:r>
        <w:rPr>
          <w:rFonts w:ascii="Times New Roman"/>
          <w:b w:val="false"/>
          <w:i w:val="false"/>
          <w:color w:val="000000"/>
          <w:sz w:val="28"/>
        </w:rPr>
        <w:t>
      Период введения. Самцам препарат вводят на протяжении 60-70 дней, самкам - 15-30 дней до спаривания.</w:t>
      </w:r>
    </w:p>
    <w:bookmarkEnd w:id="920"/>
    <w:bookmarkStart w:name="z935" w:id="921"/>
    <w:p>
      <w:pPr>
        <w:spacing w:after="0"/>
        <w:ind w:left="0"/>
        <w:jc w:val="both"/>
      </w:pPr>
      <w:r>
        <w:rPr>
          <w:rFonts w:ascii="Times New Roman"/>
          <w:b w:val="false"/>
          <w:i w:val="false"/>
          <w:color w:val="000000"/>
          <w:sz w:val="28"/>
        </w:rPr>
        <w:t>
      Методика оценки: ежедневное наблюдение, еженедельное взвешивание и определение количества потребляемой пищи.</w:t>
      </w:r>
    </w:p>
    <w:bookmarkEnd w:id="921"/>
    <w:bookmarkStart w:name="z936" w:id="922"/>
    <w:p>
      <w:pPr>
        <w:spacing w:after="0"/>
        <w:ind w:left="0"/>
        <w:jc w:val="both"/>
      </w:pPr>
      <w:r>
        <w:rPr>
          <w:rFonts w:ascii="Times New Roman"/>
          <w:b w:val="false"/>
          <w:i w:val="false"/>
          <w:color w:val="000000"/>
          <w:sz w:val="28"/>
        </w:rPr>
        <w:t>
      Самок подсаживают к самцам в стадии проэструса и соотношении 2:1 сроком на 2 эстральных цикла. Оплодотворение регистрируют с помощью вагинальных мазков. Половину ссаженных самок умерщвляют на 17-21 день беременности, вторую половину самок оставляют до родов и наблюдают за физическим развитием потомства до окончания периода вскармливания.</w:t>
      </w:r>
    </w:p>
    <w:bookmarkEnd w:id="922"/>
    <w:bookmarkStart w:name="z937" w:id="923"/>
    <w:p>
      <w:pPr>
        <w:spacing w:after="0"/>
        <w:ind w:left="0"/>
        <w:jc w:val="both"/>
      </w:pPr>
      <w:r>
        <w:rPr>
          <w:rFonts w:ascii="Times New Roman"/>
          <w:b w:val="false"/>
          <w:i w:val="false"/>
          <w:color w:val="000000"/>
          <w:sz w:val="28"/>
        </w:rPr>
        <w:t>
      Критерии оценки: учет уровня пред- и постимплантационной смертности; величин индекса плодовитости и беременности.</w:t>
      </w:r>
    </w:p>
    <w:bookmarkEnd w:id="923"/>
    <w:bookmarkStart w:name="z938" w:id="924"/>
    <w:p>
      <w:pPr>
        <w:spacing w:after="0"/>
        <w:ind w:left="0"/>
        <w:jc w:val="both"/>
      </w:pPr>
      <w:r>
        <w:rPr>
          <w:rFonts w:ascii="Times New Roman"/>
          <w:b w:val="false"/>
          <w:i w:val="false"/>
          <w:color w:val="000000"/>
          <w:sz w:val="28"/>
        </w:rPr>
        <w:t>
      Изучение мутагенности. Изучению мутагенной активности подвергаются все новые фармакологические средства.</w:t>
      </w:r>
    </w:p>
    <w:bookmarkEnd w:id="924"/>
    <w:bookmarkStart w:name="z939" w:id="925"/>
    <w:p>
      <w:pPr>
        <w:spacing w:after="0"/>
        <w:ind w:left="0"/>
        <w:jc w:val="both"/>
      </w:pPr>
      <w:r>
        <w:rPr>
          <w:rFonts w:ascii="Times New Roman"/>
          <w:b w:val="false"/>
          <w:i w:val="false"/>
          <w:color w:val="000000"/>
          <w:sz w:val="28"/>
        </w:rPr>
        <w:t>
      Для противоопухолевых средств тестирование на мутагенную активность не является обязательным, но при расширении показаний к их применению оценка мутагенности нужна.</w:t>
      </w:r>
    </w:p>
    <w:bookmarkEnd w:id="925"/>
    <w:bookmarkStart w:name="z940" w:id="926"/>
    <w:p>
      <w:pPr>
        <w:spacing w:after="0"/>
        <w:ind w:left="0"/>
        <w:jc w:val="both"/>
      </w:pPr>
      <w:r>
        <w:rPr>
          <w:rFonts w:ascii="Times New Roman"/>
          <w:b w:val="false"/>
          <w:i w:val="false"/>
          <w:color w:val="000000"/>
          <w:sz w:val="28"/>
        </w:rPr>
        <w:t>
      18. Учет генных мутаций на индикаторных бактериях (тест Эймса).</w:t>
      </w:r>
    </w:p>
    <w:bookmarkEnd w:id="926"/>
    <w:bookmarkStart w:name="z941" w:id="927"/>
    <w:p>
      <w:pPr>
        <w:spacing w:after="0"/>
        <w:ind w:left="0"/>
        <w:jc w:val="both"/>
      </w:pPr>
      <w:r>
        <w:rPr>
          <w:rFonts w:ascii="Times New Roman"/>
          <w:b w:val="false"/>
          <w:i w:val="false"/>
          <w:color w:val="000000"/>
          <w:sz w:val="28"/>
        </w:rPr>
        <w:t>
      Штаммы. Используются штаммы Salmonella typhimurium ТА1537, TA98, ТА100.</w:t>
      </w:r>
    </w:p>
    <w:bookmarkEnd w:id="927"/>
    <w:bookmarkStart w:name="z942" w:id="928"/>
    <w:p>
      <w:pPr>
        <w:spacing w:after="0"/>
        <w:ind w:left="0"/>
        <w:jc w:val="both"/>
      </w:pPr>
      <w:r>
        <w:rPr>
          <w:rFonts w:ascii="Times New Roman"/>
          <w:b w:val="false"/>
          <w:i w:val="false"/>
          <w:color w:val="000000"/>
          <w:sz w:val="28"/>
        </w:rPr>
        <w:t>
      Уровень доз. Нужно испытание 5 доз препарата. Максимальная доза соответствует 1 мг на чашку. В случае наличия у субстанции антибактериальных свойств, максимальная доза соответствует дозе, вызывающей антибактериальный эффект.</w:t>
      </w:r>
    </w:p>
    <w:bookmarkEnd w:id="928"/>
    <w:bookmarkStart w:name="z943" w:id="929"/>
    <w:p>
      <w:pPr>
        <w:spacing w:after="0"/>
        <w:ind w:left="0"/>
        <w:jc w:val="both"/>
      </w:pPr>
      <w:r>
        <w:rPr>
          <w:rFonts w:ascii="Times New Roman"/>
          <w:b w:val="false"/>
          <w:i w:val="false"/>
          <w:color w:val="000000"/>
          <w:sz w:val="28"/>
        </w:rPr>
        <w:t>
      Контрольные группы. Следует включение в эксперимент групп негативного и позитивного контроля. Группа, получающая растворитель, служит негативным контролем, известные мутагены - позитивным контролем в группах с наличием и отсутствием микросомальной активирующей смеси (S9). Фракция S9 приготовляется из печени млекопитающих, с предварительной индукцией метаболических ферментов.</w:t>
      </w:r>
    </w:p>
    <w:bookmarkEnd w:id="929"/>
    <w:bookmarkStart w:name="z944" w:id="930"/>
    <w:p>
      <w:pPr>
        <w:spacing w:after="0"/>
        <w:ind w:left="0"/>
        <w:jc w:val="both"/>
      </w:pPr>
      <w:r>
        <w:rPr>
          <w:rFonts w:ascii="Times New Roman"/>
          <w:b w:val="false"/>
          <w:i w:val="false"/>
          <w:color w:val="000000"/>
          <w:sz w:val="28"/>
        </w:rPr>
        <w:t>
      Метаболическая активация. Тест выполняется отдельно с наличием и отсутствием микросомальной активирующей смеси.</w:t>
      </w:r>
    </w:p>
    <w:bookmarkEnd w:id="930"/>
    <w:bookmarkStart w:name="z945" w:id="931"/>
    <w:p>
      <w:pPr>
        <w:spacing w:after="0"/>
        <w:ind w:left="0"/>
        <w:jc w:val="both"/>
      </w:pPr>
      <w:r>
        <w:rPr>
          <w:rFonts w:ascii="Times New Roman"/>
          <w:b w:val="false"/>
          <w:i w:val="false"/>
          <w:color w:val="000000"/>
          <w:sz w:val="28"/>
        </w:rPr>
        <w:t>
      Представление результатов: исходные данные средние значения показателей ревертантов представляется в таблицах.</w:t>
      </w:r>
    </w:p>
    <w:bookmarkEnd w:id="931"/>
    <w:bookmarkStart w:name="z946" w:id="932"/>
    <w:p>
      <w:pPr>
        <w:spacing w:after="0"/>
        <w:ind w:left="0"/>
        <w:jc w:val="both"/>
      </w:pPr>
      <w:r>
        <w:rPr>
          <w:rFonts w:ascii="Times New Roman"/>
          <w:b w:val="false"/>
          <w:i w:val="false"/>
          <w:color w:val="000000"/>
          <w:sz w:val="28"/>
        </w:rPr>
        <w:t>
      19. Тест хромосомных аберраций в клетках костного мозга грызунов.</w:t>
      </w:r>
    </w:p>
    <w:bookmarkEnd w:id="932"/>
    <w:bookmarkStart w:name="z947" w:id="933"/>
    <w:p>
      <w:pPr>
        <w:spacing w:after="0"/>
        <w:ind w:left="0"/>
        <w:jc w:val="both"/>
      </w:pPr>
      <w:r>
        <w:rPr>
          <w:rFonts w:ascii="Times New Roman"/>
          <w:b w:val="false"/>
          <w:i w:val="false"/>
          <w:color w:val="000000"/>
          <w:sz w:val="28"/>
        </w:rPr>
        <w:t>
      Животные. Используется один из видов грызунов. Животные, используемые для исследования мутагенности, могут быть генетически однородны. Допускается использование мышей-тетрагибридов или рандомбредных животных.</w:t>
      </w:r>
    </w:p>
    <w:bookmarkEnd w:id="933"/>
    <w:bookmarkStart w:name="z948" w:id="934"/>
    <w:p>
      <w:pPr>
        <w:spacing w:after="0"/>
        <w:ind w:left="0"/>
        <w:jc w:val="both"/>
      </w:pPr>
      <w:r>
        <w:rPr>
          <w:rFonts w:ascii="Times New Roman"/>
          <w:b w:val="false"/>
          <w:i w:val="false"/>
          <w:color w:val="000000"/>
          <w:sz w:val="28"/>
        </w:rPr>
        <w:t>
      Количество животных. Каждая группа содержит не менее 5-ти животных.</w:t>
      </w:r>
    </w:p>
    <w:bookmarkEnd w:id="934"/>
    <w:bookmarkStart w:name="z949" w:id="935"/>
    <w:p>
      <w:pPr>
        <w:spacing w:after="0"/>
        <w:ind w:left="0"/>
        <w:jc w:val="both"/>
      </w:pPr>
      <w:r>
        <w:rPr>
          <w:rFonts w:ascii="Times New Roman"/>
          <w:b w:val="false"/>
          <w:i w:val="false"/>
          <w:color w:val="000000"/>
          <w:sz w:val="28"/>
        </w:rPr>
        <w:t>
      Путь введения соответствует клиническому способу применения.</w:t>
      </w:r>
    </w:p>
    <w:bookmarkEnd w:id="935"/>
    <w:bookmarkStart w:name="z950" w:id="936"/>
    <w:p>
      <w:pPr>
        <w:spacing w:after="0"/>
        <w:ind w:left="0"/>
        <w:jc w:val="both"/>
      </w:pPr>
      <w:r>
        <w:rPr>
          <w:rFonts w:ascii="Times New Roman"/>
          <w:b w:val="false"/>
          <w:i w:val="false"/>
          <w:color w:val="000000"/>
          <w:sz w:val="28"/>
        </w:rPr>
        <w:t>
      Доза. Испытывается 1 доза при 1-ой контрольной группе. Используется доза/от DL50 или равная 100-кратной терапевтической дозе для человека.</w:t>
      </w:r>
    </w:p>
    <w:bookmarkEnd w:id="936"/>
    <w:bookmarkStart w:name="z951" w:id="937"/>
    <w:p>
      <w:pPr>
        <w:spacing w:after="0"/>
        <w:ind w:left="0"/>
        <w:jc w:val="both"/>
      </w:pPr>
      <w:r>
        <w:rPr>
          <w:rFonts w:ascii="Times New Roman"/>
          <w:b w:val="false"/>
          <w:i w:val="false"/>
          <w:color w:val="000000"/>
          <w:sz w:val="28"/>
        </w:rPr>
        <w:t>
      Контрольные группы. Тестирование мутагенности включает негативный и позитивный контроли. Негативный контроль (растворитель) используется для анализа ответных реакций на действие всех возможных переменных, кроме тестируемого соединения. В качестве позитивного контроля используются известные мутагены. Для позитивного контроля предпочтительнее использовать мутаген, сходный по характеру биотрансформации с тестируемым соединением. Если это невозможно, следует использовать модельные мутагены.</w:t>
      </w:r>
    </w:p>
    <w:bookmarkEnd w:id="937"/>
    <w:bookmarkStart w:name="z952" w:id="938"/>
    <w:p>
      <w:pPr>
        <w:spacing w:after="0"/>
        <w:ind w:left="0"/>
        <w:jc w:val="both"/>
      </w:pPr>
      <w:r>
        <w:rPr>
          <w:rFonts w:ascii="Times New Roman"/>
          <w:b w:val="false"/>
          <w:i w:val="false"/>
          <w:color w:val="000000"/>
          <w:sz w:val="28"/>
        </w:rPr>
        <w:t>
      Режим введения. Используется, однократное введение, в случае необходимости число введений увеличивается.</w:t>
      </w:r>
    </w:p>
    <w:bookmarkEnd w:id="938"/>
    <w:bookmarkStart w:name="z953" w:id="939"/>
    <w:p>
      <w:pPr>
        <w:spacing w:after="0"/>
        <w:ind w:left="0"/>
        <w:jc w:val="both"/>
      </w:pPr>
      <w:r>
        <w:rPr>
          <w:rFonts w:ascii="Times New Roman"/>
          <w:b w:val="false"/>
          <w:i w:val="false"/>
          <w:color w:val="000000"/>
          <w:sz w:val="28"/>
        </w:rPr>
        <w:t>
      Методика. Все животные экспериментальной группы умертвляется в соответствующее время после введения испытуемого соединения с последующим приготовлением гистопрепаратов на стадии метафазы. Используются 2 срока экспозиции испытуемого соединения у животных - 6 и 24 часа. Анализу подвергаются 100 метафазных клеток у каждого животного.</w:t>
      </w:r>
    </w:p>
    <w:bookmarkEnd w:id="939"/>
    <w:bookmarkStart w:name="z954" w:id="940"/>
    <w:p>
      <w:pPr>
        <w:spacing w:after="0"/>
        <w:ind w:left="0"/>
        <w:jc w:val="both"/>
      </w:pPr>
      <w:r>
        <w:rPr>
          <w:rFonts w:ascii="Times New Roman"/>
          <w:b w:val="false"/>
          <w:i w:val="false"/>
          <w:color w:val="000000"/>
          <w:sz w:val="28"/>
        </w:rPr>
        <w:t>
      Представление результатов: общее число проанализированных клеток; процентное соотношение из них аберрантных; спектр аберраций и процентное соотношение их; значение х2 статистики соотношения нормальных и аберрантных метафазных клеток в подопытных и контрольных группах.</w:t>
      </w:r>
    </w:p>
    <w:bookmarkEnd w:id="940"/>
    <w:bookmarkStart w:name="z955" w:id="941"/>
    <w:p>
      <w:pPr>
        <w:spacing w:after="0"/>
        <w:ind w:left="0"/>
        <w:jc w:val="both"/>
      </w:pPr>
      <w:r>
        <w:rPr>
          <w:rFonts w:ascii="Times New Roman"/>
          <w:b w:val="false"/>
          <w:i w:val="false"/>
          <w:color w:val="000000"/>
          <w:sz w:val="28"/>
        </w:rPr>
        <w:t>
      20. Тест доминантных летальных мутаций у грызунов.</w:t>
      </w:r>
    </w:p>
    <w:bookmarkEnd w:id="941"/>
    <w:bookmarkStart w:name="z956" w:id="942"/>
    <w:p>
      <w:pPr>
        <w:spacing w:after="0"/>
        <w:ind w:left="0"/>
        <w:jc w:val="both"/>
      </w:pPr>
      <w:r>
        <w:rPr>
          <w:rFonts w:ascii="Times New Roman"/>
          <w:b w:val="false"/>
          <w:i w:val="false"/>
          <w:color w:val="000000"/>
          <w:sz w:val="28"/>
        </w:rPr>
        <w:t>
      Животные. Один вид грызунов.</w:t>
      </w:r>
    </w:p>
    <w:bookmarkEnd w:id="942"/>
    <w:bookmarkStart w:name="z957" w:id="943"/>
    <w:p>
      <w:pPr>
        <w:spacing w:after="0"/>
        <w:ind w:left="0"/>
        <w:jc w:val="both"/>
      </w:pPr>
      <w:r>
        <w:rPr>
          <w:rFonts w:ascii="Times New Roman"/>
          <w:b w:val="false"/>
          <w:i w:val="false"/>
          <w:color w:val="000000"/>
          <w:sz w:val="28"/>
        </w:rPr>
        <w:t>
      Количество животных. Каждая группа содержит не менее 15 самцов, к каждому самцу подсаживается по 3 самки еженедельно в течение 3 недель.</w:t>
      </w:r>
    </w:p>
    <w:bookmarkEnd w:id="943"/>
    <w:bookmarkStart w:name="z958" w:id="944"/>
    <w:p>
      <w:pPr>
        <w:spacing w:after="0"/>
        <w:ind w:left="0"/>
        <w:jc w:val="both"/>
      </w:pPr>
      <w:r>
        <w:rPr>
          <w:rFonts w:ascii="Times New Roman"/>
          <w:b w:val="false"/>
          <w:i w:val="false"/>
          <w:color w:val="000000"/>
          <w:sz w:val="28"/>
        </w:rPr>
        <w:t>
      Путь введения соответствует рекомендованному для человека.</w:t>
      </w:r>
    </w:p>
    <w:bookmarkEnd w:id="944"/>
    <w:bookmarkStart w:name="z959" w:id="945"/>
    <w:p>
      <w:pPr>
        <w:spacing w:after="0"/>
        <w:ind w:left="0"/>
        <w:jc w:val="both"/>
      </w:pPr>
      <w:r>
        <w:rPr>
          <w:rFonts w:ascii="Times New Roman"/>
          <w:b w:val="false"/>
          <w:i w:val="false"/>
          <w:color w:val="000000"/>
          <w:sz w:val="28"/>
        </w:rPr>
        <w:t>
      Дозы. Испытывается одна доза и одна контрольная группа. Используется доза/от DL50 или равная 100-кратной терапевтической дозе для человека.</w:t>
      </w:r>
    </w:p>
    <w:bookmarkEnd w:id="945"/>
    <w:bookmarkStart w:name="z960" w:id="946"/>
    <w:p>
      <w:pPr>
        <w:spacing w:after="0"/>
        <w:ind w:left="0"/>
        <w:jc w:val="both"/>
      </w:pPr>
      <w:r>
        <w:rPr>
          <w:rFonts w:ascii="Times New Roman"/>
          <w:b w:val="false"/>
          <w:i w:val="false"/>
          <w:color w:val="000000"/>
          <w:sz w:val="28"/>
        </w:rPr>
        <w:t>
      Контрольная группа. Когда в вводимом лекарственном средстве имеется растворитель, контрольная группа получает этот растворитель.</w:t>
      </w:r>
    </w:p>
    <w:bookmarkEnd w:id="946"/>
    <w:bookmarkStart w:name="z961" w:id="947"/>
    <w:p>
      <w:pPr>
        <w:spacing w:after="0"/>
        <w:ind w:left="0"/>
        <w:jc w:val="both"/>
      </w:pPr>
      <w:r>
        <w:rPr>
          <w:rFonts w:ascii="Times New Roman"/>
          <w:b w:val="false"/>
          <w:i w:val="false"/>
          <w:color w:val="000000"/>
          <w:sz w:val="28"/>
        </w:rPr>
        <w:t>
      Режим введения. Используется однократное введение, в случае необходимости, число введений увеличивается.</w:t>
      </w:r>
    </w:p>
    <w:bookmarkEnd w:id="947"/>
    <w:bookmarkStart w:name="z962" w:id="948"/>
    <w:p>
      <w:pPr>
        <w:spacing w:after="0"/>
        <w:ind w:left="0"/>
        <w:jc w:val="both"/>
      </w:pPr>
      <w:r>
        <w:rPr>
          <w:rFonts w:ascii="Times New Roman"/>
          <w:b w:val="false"/>
          <w:i w:val="false"/>
          <w:color w:val="000000"/>
          <w:sz w:val="28"/>
        </w:rPr>
        <w:t>
      Методика. Обработанные самцы еженедельно в течение 3 недель спариваются с интактными самками; все подопытные самки умертвляются и соответствующее время после спаривания с самцами; после вскрытия самок подсчитывается число живых и мертвых эмбрионов у каждой беременной самки.</w:t>
      </w:r>
    </w:p>
    <w:bookmarkEnd w:id="948"/>
    <w:bookmarkStart w:name="z963" w:id="949"/>
    <w:p>
      <w:pPr>
        <w:spacing w:after="0"/>
        <w:ind w:left="0"/>
        <w:jc w:val="both"/>
      </w:pPr>
      <w:r>
        <w:rPr>
          <w:rFonts w:ascii="Times New Roman"/>
          <w:b w:val="false"/>
          <w:i w:val="false"/>
          <w:color w:val="000000"/>
          <w:sz w:val="28"/>
        </w:rPr>
        <w:t>
      Представление результатов: процент фертильных самок; суммарное число живых и мертвых эмбрионов в группах; значение х2 статистики соотношения живых и мертвых эмбрионов в подопытных и контрольных группах на каждой стадии сперматогенеза (неделе).</w:t>
      </w:r>
    </w:p>
    <w:bookmarkEnd w:id="949"/>
    <w:bookmarkStart w:name="z964" w:id="950"/>
    <w:p>
      <w:pPr>
        <w:spacing w:after="0"/>
        <w:ind w:left="0"/>
        <w:jc w:val="both"/>
      </w:pPr>
      <w:r>
        <w:rPr>
          <w:rFonts w:ascii="Times New Roman"/>
          <w:b w:val="false"/>
          <w:i w:val="false"/>
          <w:color w:val="000000"/>
          <w:sz w:val="28"/>
        </w:rPr>
        <w:t>
      21. Учет генных мутаций на индикаторных бактериях с использованием млекопитающего в качестве промежуточного хозяина.</w:t>
      </w:r>
    </w:p>
    <w:bookmarkEnd w:id="950"/>
    <w:bookmarkStart w:name="z965" w:id="951"/>
    <w:p>
      <w:pPr>
        <w:spacing w:after="0"/>
        <w:ind w:left="0"/>
        <w:jc w:val="both"/>
      </w:pPr>
      <w:r>
        <w:rPr>
          <w:rFonts w:ascii="Times New Roman"/>
          <w:b w:val="false"/>
          <w:i w:val="false"/>
          <w:color w:val="000000"/>
          <w:sz w:val="28"/>
        </w:rPr>
        <w:t>
      Штаммы. Используются штаммы Salmonella typhimurium ТА1950, ТА1534.</w:t>
      </w:r>
    </w:p>
    <w:bookmarkEnd w:id="951"/>
    <w:bookmarkStart w:name="z966" w:id="952"/>
    <w:p>
      <w:pPr>
        <w:spacing w:after="0"/>
        <w:ind w:left="0"/>
        <w:jc w:val="both"/>
      </w:pPr>
      <w:r>
        <w:rPr>
          <w:rFonts w:ascii="Times New Roman"/>
          <w:b w:val="false"/>
          <w:i w:val="false"/>
          <w:color w:val="000000"/>
          <w:sz w:val="28"/>
        </w:rPr>
        <w:t>
      Животные: мыши.</w:t>
      </w:r>
    </w:p>
    <w:bookmarkEnd w:id="952"/>
    <w:bookmarkStart w:name="z967" w:id="953"/>
    <w:p>
      <w:pPr>
        <w:spacing w:after="0"/>
        <w:ind w:left="0"/>
        <w:jc w:val="both"/>
      </w:pPr>
      <w:r>
        <w:rPr>
          <w:rFonts w:ascii="Times New Roman"/>
          <w:b w:val="false"/>
          <w:i w:val="false"/>
          <w:color w:val="000000"/>
          <w:sz w:val="28"/>
        </w:rPr>
        <w:t>
      Испытывается одна доза препарата. Используется доза /от DL50 или равная 100-кратной терапевтической дозе для человека. Препараты с антибактериальным действием целесообразно использовать в дозах: /DL50, 1/10 DL50, 1/100 DL50 и 1/1000 DL50, чтобы уровень гибели индикаторных бактерий не превышал 90%.</w:t>
      </w:r>
    </w:p>
    <w:bookmarkEnd w:id="953"/>
    <w:bookmarkStart w:name="z968" w:id="954"/>
    <w:p>
      <w:pPr>
        <w:spacing w:after="0"/>
        <w:ind w:left="0"/>
        <w:jc w:val="both"/>
      </w:pPr>
      <w:r>
        <w:rPr>
          <w:rFonts w:ascii="Times New Roman"/>
          <w:b w:val="false"/>
          <w:i w:val="false"/>
          <w:color w:val="000000"/>
          <w:sz w:val="28"/>
        </w:rPr>
        <w:t>
      Путь введения, соответствует способу, рекомендованному для человека.</w:t>
      </w:r>
    </w:p>
    <w:bookmarkEnd w:id="954"/>
    <w:bookmarkStart w:name="z969" w:id="955"/>
    <w:p>
      <w:pPr>
        <w:spacing w:after="0"/>
        <w:ind w:left="0"/>
        <w:jc w:val="both"/>
      </w:pPr>
      <w:r>
        <w:rPr>
          <w:rFonts w:ascii="Times New Roman"/>
          <w:b w:val="false"/>
          <w:i w:val="false"/>
          <w:color w:val="000000"/>
          <w:sz w:val="28"/>
        </w:rPr>
        <w:t>
      Контрольная группа. Требуется включение в эксперимент групп негативного и позитивного контроля.</w:t>
      </w:r>
    </w:p>
    <w:bookmarkEnd w:id="955"/>
    <w:bookmarkStart w:name="z970" w:id="956"/>
    <w:p>
      <w:pPr>
        <w:spacing w:after="0"/>
        <w:ind w:left="0"/>
        <w:jc w:val="both"/>
      </w:pPr>
      <w:r>
        <w:rPr>
          <w:rFonts w:ascii="Times New Roman"/>
          <w:b w:val="false"/>
          <w:i w:val="false"/>
          <w:color w:val="000000"/>
          <w:sz w:val="28"/>
        </w:rPr>
        <w:t>
      Режим введения. 1 мл культуры бактерий вводится внутрибрюшинно, сразу же после введения культуры вводят изучаемое лекарственное средство. Внутрибрюшинное введение изучаемого препарата делают через 30 минут после введения культуры животному.</w:t>
      </w:r>
    </w:p>
    <w:bookmarkEnd w:id="956"/>
    <w:bookmarkStart w:name="z971" w:id="957"/>
    <w:p>
      <w:pPr>
        <w:spacing w:after="0"/>
        <w:ind w:left="0"/>
        <w:jc w:val="both"/>
      </w:pPr>
      <w:r>
        <w:rPr>
          <w:rFonts w:ascii="Times New Roman"/>
          <w:b w:val="false"/>
          <w:i w:val="false"/>
          <w:color w:val="000000"/>
          <w:sz w:val="28"/>
        </w:rPr>
        <w:t>
      Методика. После 3 часовой инкубации животное умерщвляют разрывом шейного отдела позвоночника, вводят внутрибрюшинно буфер, вскрывают брюшную полость и отбирают из нее бактериальную суспензию. Рассевают суспензию на чашки с селективным агаром для получения числа ревертантов и, после предварительного разведения, на чашки с питательным мясопептонным агаром.</w:t>
      </w:r>
    </w:p>
    <w:bookmarkEnd w:id="957"/>
    <w:bookmarkStart w:name="z972" w:id="958"/>
    <w:p>
      <w:pPr>
        <w:spacing w:after="0"/>
        <w:ind w:left="0"/>
        <w:jc w:val="both"/>
      </w:pPr>
      <w:r>
        <w:rPr>
          <w:rFonts w:ascii="Times New Roman"/>
          <w:b w:val="false"/>
          <w:i w:val="false"/>
          <w:color w:val="000000"/>
          <w:sz w:val="28"/>
        </w:rPr>
        <w:t>
      Представление результатов: исходные данные, включающие число ревертантов на число выживших бактерий; титр бактериальной суспензии; показатель числа ревертантов на мл по данному варианту; показатель частоты индуцированных мутаций с использованием статистического анализа с помощью критерия Уилкоксона.</w:t>
      </w:r>
    </w:p>
    <w:bookmarkEnd w:id="958"/>
    <w:bookmarkStart w:name="z973" w:id="959"/>
    <w:p>
      <w:pPr>
        <w:spacing w:after="0"/>
        <w:ind w:left="0"/>
        <w:jc w:val="both"/>
      </w:pPr>
      <w:r>
        <w:rPr>
          <w:rFonts w:ascii="Times New Roman"/>
          <w:b w:val="false"/>
          <w:i w:val="false"/>
          <w:color w:val="000000"/>
          <w:sz w:val="28"/>
        </w:rPr>
        <w:t>
      22. Учет ДНК-повреждающего действия.</w:t>
      </w:r>
    </w:p>
    <w:bookmarkEnd w:id="959"/>
    <w:bookmarkStart w:name="z974" w:id="960"/>
    <w:p>
      <w:pPr>
        <w:spacing w:after="0"/>
        <w:ind w:left="0"/>
        <w:jc w:val="both"/>
      </w:pPr>
      <w:r>
        <w:rPr>
          <w:rFonts w:ascii="Times New Roman"/>
          <w:b w:val="false"/>
          <w:i w:val="false"/>
          <w:color w:val="000000"/>
          <w:sz w:val="28"/>
        </w:rPr>
        <w:t>
      Штаммы: E. coli WP2 дикого типа и polA, recA-мутантные.</w:t>
      </w:r>
    </w:p>
    <w:bookmarkEnd w:id="960"/>
    <w:bookmarkStart w:name="z975" w:id="961"/>
    <w:p>
      <w:pPr>
        <w:spacing w:after="0"/>
        <w:ind w:left="0"/>
        <w:jc w:val="both"/>
      </w:pPr>
      <w:r>
        <w:rPr>
          <w:rFonts w:ascii="Times New Roman"/>
          <w:b w:val="false"/>
          <w:i w:val="false"/>
          <w:color w:val="000000"/>
          <w:sz w:val="28"/>
        </w:rPr>
        <w:t>
      Дозы. Требуется испытание 6 доз препарата. Для антибактериальных препаратов используют в качестве минимальной концентрации ту, при которой наблюдается рост мутантных штаммов, а максимальной концентрации - ингибирующую рост бактерий. Промежуточными являются концентрации в 2 и 4 раза меньше максимальной.</w:t>
      </w:r>
    </w:p>
    <w:bookmarkEnd w:id="961"/>
    <w:bookmarkStart w:name="z976" w:id="962"/>
    <w:p>
      <w:pPr>
        <w:spacing w:after="0"/>
        <w:ind w:left="0"/>
        <w:jc w:val="both"/>
      </w:pPr>
      <w:r>
        <w:rPr>
          <w:rFonts w:ascii="Times New Roman"/>
          <w:b w:val="false"/>
          <w:i w:val="false"/>
          <w:color w:val="000000"/>
          <w:sz w:val="28"/>
        </w:rPr>
        <w:t>
      Контрольные группы. Негативный контроль (растворитель) и позитивный контроль - введение соединения, вызывающего ДНК-повреждающий эффект.</w:t>
      </w:r>
    </w:p>
    <w:bookmarkEnd w:id="962"/>
    <w:bookmarkStart w:name="z977" w:id="963"/>
    <w:p>
      <w:pPr>
        <w:spacing w:after="0"/>
        <w:ind w:left="0"/>
        <w:jc w:val="both"/>
      </w:pPr>
      <w:r>
        <w:rPr>
          <w:rFonts w:ascii="Times New Roman"/>
          <w:b w:val="false"/>
          <w:i w:val="false"/>
          <w:color w:val="000000"/>
          <w:sz w:val="28"/>
        </w:rPr>
        <w:t>
      Методика. Культуру жизнеспособных бактерий добавляют к испытуемому химическому соединению и инкубируют при 37оС и течение 18 час. Для лучшей видимости роста бактерий в суспензию добавляют индикатор бромкреозол пурпуровый, который изменяет свой цвет от голубого к желтому при изменении рН среды за счет роста бактерий.</w:t>
      </w:r>
    </w:p>
    <w:bookmarkEnd w:id="963"/>
    <w:bookmarkStart w:name="z978" w:id="964"/>
    <w:p>
      <w:pPr>
        <w:spacing w:after="0"/>
        <w:ind w:left="0"/>
        <w:jc w:val="both"/>
      </w:pPr>
      <w:r>
        <w:rPr>
          <w:rFonts w:ascii="Times New Roman"/>
          <w:b w:val="false"/>
          <w:i w:val="false"/>
          <w:color w:val="000000"/>
          <w:sz w:val="28"/>
        </w:rPr>
        <w:t>
      Представление результатов: регистрация наличия или отсутствия роста штамма дикого типа и мутантных бактерии проводится в таблице знаками "+" или "-".</w:t>
      </w:r>
    </w:p>
    <w:bookmarkEnd w:id="964"/>
    <w:bookmarkStart w:name="z979" w:id="965"/>
    <w:p>
      <w:pPr>
        <w:spacing w:after="0"/>
        <w:ind w:left="0"/>
        <w:jc w:val="both"/>
      </w:pPr>
      <w:r>
        <w:rPr>
          <w:rFonts w:ascii="Times New Roman"/>
          <w:b w:val="false"/>
          <w:i w:val="false"/>
          <w:color w:val="000000"/>
          <w:sz w:val="28"/>
        </w:rPr>
        <w:t>
      23. Обязательному тестированию на канцерогенность подвергаются все новые лекарственные средства, со следующими показаниями:</w:t>
      </w:r>
    </w:p>
    <w:bookmarkEnd w:id="965"/>
    <w:bookmarkStart w:name="z980" w:id="966"/>
    <w:p>
      <w:pPr>
        <w:spacing w:after="0"/>
        <w:ind w:left="0"/>
        <w:jc w:val="both"/>
      </w:pPr>
      <w:r>
        <w:rPr>
          <w:rFonts w:ascii="Times New Roman"/>
          <w:b w:val="false"/>
          <w:i w:val="false"/>
          <w:color w:val="000000"/>
          <w:sz w:val="28"/>
        </w:rPr>
        <w:t>
      1) применяемые в качестве профилактических, лечебно-косметических, репеллентных средств и контрацептивов;</w:t>
      </w:r>
    </w:p>
    <w:bookmarkEnd w:id="966"/>
    <w:bookmarkStart w:name="z981" w:id="967"/>
    <w:p>
      <w:pPr>
        <w:spacing w:after="0"/>
        <w:ind w:left="0"/>
        <w:jc w:val="both"/>
      </w:pPr>
      <w:r>
        <w:rPr>
          <w:rFonts w:ascii="Times New Roman"/>
          <w:b w:val="false"/>
          <w:i w:val="false"/>
          <w:color w:val="000000"/>
          <w:sz w:val="28"/>
        </w:rPr>
        <w:t>
      2) предназначенные для применения в течение всей жизни длительными (более 15 дней) повторными курсами;</w:t>
      </w:r>
    </w:p>
    <w:bookmarkEnd w:id="967"/>
    <w:bookmarkStart w:name="z982" w:id="968"/>
    <w:p>
      <w:pPr>
        <w:spacing w:after="0"/>
        <w:ind w:left="0"/>
        <w:jc w:val="both"/>
      </w:pPr>
      <w:r>
        <w:rPr>
          <w:rFonts w:ascii="Times New Roman"/>
          <w:b w:val="false"/>
          <w:i w:val="false"/>
          <w:color w:val="000000"/>
          <w:sz w:val="28"/>
        </w:rPr>
        <w:t>
      3) предназначенные для использования без рецепта врача широкими слоями населения;</w:t>
      </w:r>
    </w:p>
    <w:bookmarkEnd w:id="968"/>
    <w:bookmarkStart w:name="z983" w:id="969"/>
    <w:p>
      <w:pPr>
        <w:spacing w:after="0"/>
        <w:ind w:left="0"/>
        <w:jc w:val="both"/>
      </w:pPr>
      <w:r>
        <w:rPr>
          <w:rFonts w:ascii="Times New Roman"/>
          <w:b w:val="false"/>
          <w:i w:val="false"/>
          <w:color w:val="000000"/>
          <w:sz w:val="28"/>
        </w:rPr>
        <w:t>
      4) предназначенные для применения в детской практике, а также для лечения беременных женщин и в период лактации.</w:t>
      </w:r>
    </w:p>
    <w:bookmarkEnd w:id="969"/>
    <w:bookmarkStart w:name="z984" w:id="970"/>
    <w:p>
      <w:pPr>
        <w:spacing w:after="0"/>
        <w:ind w:left="0"/>
        <w:jc w:val="both"/>
      </w:pPr>
      <w:r>
        <w:rPr>
          <w:rFonts w:ascii="Times New Roman"/>
          <w:b w:val="false"/>
          <w:i w:val="false"/>
          <w:color w:val="000000"/>
          <w:sz w:val="28"/>
        </w:rPr>
        <w:t>
      24. Тестированию канцерогенности не подлежат лекарственные средства:</w:t>
      </w:r>
    </w:p>
    <w:bookmarkEnd w:id="970"/>
    <w:bookmarkStart w:name="z985" w:id="971"/>
    <w:p>
      <w:pPr>
        <w:spacing w:after="0"/>
        <w:ind w:left="0"/>
        <w:jc w:val="both"/>
      </w:pPr>
      <w:r>
        <w:rPr>
          <w:rFonts w:ascii="Times New Roman"/>
          <w:b w:val="false"/>
          <w:i w:val="false"/>
          <w:color w:val="000000"/>
          <w:sz w:val="28"/>
        </w:rPr>
        <w:t>
      1) для лечения злокачественных новообразований у взрослых;</w:t>
      </w:r>
    </w:p>
    <w:bookmarkEnd w:id="971"/>
    <w:bookmarkStart w:name="z986" w:id="972"/>
    <w:p>
      <w:pPr>
        <w:spacing w:after="0"/>
        <w:ind w:left="0"/>
        <w:jc w:val="both"/>
      </w:pPr>
      <w:r>
        <w:rPr>
          <w:rFonts w:ascii="Times New Roman"/>
          <w:b w:val="false"/>
          <w:i w:val="false"/>
          <w:color w:val="000000"/>
          <w:sz w:val="28"/>
        </w:rPr>
        <w:t>
      2) для лечения заболеваний, представляющих непосредственную угрозу для жизни.</w:t>
      </w:r>
    </w:p>
    <w:bookmarkEnd w:id="972"/>
    <w:bookmarkStart w:name="z987" w:id="973"/>
    <w:p>
      <w:pPr>
        <w:spacing w:after="0"/>
        <w:ind w:left="0"/>
        <w:jc w:val="both"/>
      </w:pPr>
      <w:r>
        <w:rPr>
          <w:rFonts w:ascii="Times New Roman"/>
          <w:b w:val="false"/>
          <w:i w:val="false"/>
          <w:color w:val="000000"/>
          <w:sz w:val="28"/>
        </w:rPr>
        <w:t>
      25. Экспериментальные животные. Виды и линии лабораторных животных выбираются с учетом их устойчивости к инфекционным заболеваниям, продолжительностью жизни, спонтанного выхода опухолей, чувствительности к известным канцерогенам. Животные различных видов и линий используются в предварительных испытаниях и в хроническом эксперименте с учетом свойств исследуемого препарата.</w:t>
      </w:r>
    </w:p>
    <w:bookmarkEnd w:id="973"/>
    <w:bookmarkStart w:name="z988" w:id="974"/>
    <w:p>
      <w:pPr>
        <w:spacing w:after="0"/>
        <w:ind w:left="0"/>
        <w:jc w:val="both"/>
      </w:pPr>
      <w:r>
        <w:rPr>
          <w:rFonts w:ascii="Times New Roman"/>
          <w:b w:val="false"/>
          <w:i w:val="false"/>
          <w:color w:val="000000"/>
          <w:sz w:val="28"/>
        </w:rPr>
        <w:t>
      Методы исследования.</w:t>
      </w:r>
    </w:p>
    <w:bookmarkEnd w:id="974"/>
    <w:bookmarkStart w:name="z989" w:id="975"/>
    <w:p>
      <w:pPr>
        <w:spacing w:after="0"/>
        <w:ind w:left="0"/>
        <w:jc w:val="both"/>
      </w:pPr>
      <w:r>
        <w:rPr>
          <w:rFonts w:ascii="Times New Roman"/>
          <w:b w:val="false"/>
          <w:i w:val="false"/>
          <w:color w:val="000000"/>
          <w:sz w:val="28"/>
        </w:rPr>
        <w:t>
      Предварительное изучение. Проводится с целью определения уровней доз для хронического эксперимента.</w:t>
      </w:r>
    </w:p>
    <w:bookmarkEnd w:id="975"/>
    <w:bookmarkStart w:name="z990" w:id="976"/>
    <w:p>
      <w:pPr>
        <w:spacing w:after="0"/>
        <w:ind w:left="0"/>
        <w:jc w:val="both"/>
      </w:pPr>
      <w:r>
        <w:rPr>
          <w:rFonts w:ascii="Times New Roman"/>
          <w:b w:val="false"/>
          <w:i w:val="false"/>
          <w:color w:val="000000"/>
          <w:sz w:val="28"/>
        </w:rPr>
        <w:t>
      Изучение острой токсичности ведется на небольшом числе животных с целью определения доз для субхронического эксперимента. Изучение субхронической токсичности дает возможность выбрать максимально-переносимую дозу (МПД) для проведения хронического эксперимента.</w:t>
      </w:r>
    </w:p>
    <w:bookmarkEnd w:id="976"/>
    <w:bookmarkStart w:name="z991" w:id="977"/>
    <w:p>
      <w:pPr>
        <w:spacing w:after="0"/>
        <w:ind w:left="0"/>
        <w:jc w:val="both"/>
      </w:pPr>
      <w:r>
        <w:rPr>
          <w:rFonts w:ascii="Times New Roman"/>
          <w:b w:val="false"/>
          <w:i w:val="false"/>
          <w:color w:val="000000"/>
          <w:sz w:val="28"/>
        </w:rPr>
        <w:t>
      Животные. Используются мыши, крысы, хомячки. Изучение проводится на 2-х видах животных обоего пола, здоровых, 6-8 недельного возраста.</w:t>
      </w:r>
    </w:p>
    <w:bookmarkEnd w:id="977"/>
    <w:bookmarkStart w:name="z992" w:id="978"/>
    <w:p>
      <w:pPr>
        <w:spacing w:after="0"/>
        <w:ind w:left="0"/>
        <w:jc w:val="both"/>
      </w:pPr>
      <w:r>
        <w:rPr>
          <w:rFonts w:ascii="Times New Roman"/>
          <w:b w:val="false"/>
          <w:i w:val="false"/>
          <w:color w:val="000000"/>
          <w:sz w:val="28"/>
        </w:rPr>
        <w:t>
      Число животных: Группы включают по 10 животных обоего пола.</w:t>
      </w:r>
    </w:p>
    <w:bookmarkEnd w:id="978"/>
    <w:bookmarkStart w:name="z993" w:id="979"/>
    <w:p>
      <w:pPr>
        <w:spacing w:after="0"/>
        <w:ind w:left="0"/>
        <w:jc w:val="both"/>
      </w:pPr>
      <w:r>
        <w:rPr>
          <w:rFonts w:ascii="Times New Roman"/>
          <w:b w:val="false"/>
          <w:i w:val="false"/>
          <w:color w:val="000000"/>
          <w:sz w:val="28"/>
        </w:rPr>
        <w:t>
      Путь введения. Вещество вводится тем же способом, что и в хроническом эксперименте. Пероральное введение препарата проводится зондом. Возможно смешение исследуемого препарата с пищей или водой. Содержание изучаемого лекарственного средства в пище не превышает 5%. Введение изучаемого лекарственного средства с пищей или питьевой водой рассчитывается индивидуально на каждое животное после предварительного изучения стабильности препарата в указанных условиях.</w:t>
      </w:r>
    </w:p>
    <w:bookmarkEnd w:id="979"/>
    <w:bookmarkStart w:name="z994" w:id="980"/>
    <w:p>
      <w:pPr>
        <w:spacing w:after="0"/>
        <w:ind w:left="0"/>
        <w:jc w:val="both"/>
      </w:pPr>
      <w:r>
        <w:rPr>
          <w:rFonts w:ascii="Times New Roman"/>
          <w:b w:val="false"/>
          <w:i w:val="false"/>
          <w:color w:val="000000"/>
          <w:sz w:val="28"/>
        </w:rPr>
        <w:t>
      Уровень доз. Используется не менее трех доз. Высокая доза вызывает некоторые признаки токсического действия, минимальная не обладает подобным эффектом.</w:t>
      </w:r>
    </w:p>
    <w:bookmarkEnd w:id="980"/>
    <w:bookmarkStart w:name="z995" w:id="981"/>
    <w:p>
      <w:pPr>
        <w:spacing w:after="0"/>
        <w:ind w:left="0"/>
        <w:jc w:val="both"/>
      </w:pPr>
      <w:r>
        <w:rPr>
          <w:rFonts w:ascii="Times New Roman"/>
          <w:b w:val="false"/>
          <w:i w:val="false"/>
          <w:color w:val="000000"/>
          <w:sz w:val="28"/>
        </w:rPr>
        <w:t>
      Режим сведения. Вещество вводится в течение 90 дней, ежедневно. В случае проявления кумулятивного эффекта, продолжительность введения увеличивается.</w:t>
      </w:r>
    </w:p>
    <w:bookmarkEnd w:id="981"/>
    <w:bookmarkStart w:name="z996" w:id="982"/>
    <w:p>
      <w:pPr>
        <w:spacing w:after="0"/>
        <w:ind w:left="0"/>
        <w:jc w:val="both"/>
      </w:pPr>
      <w:r>
        <w:rPr>
          <w:rFonts w:ascii="Times New Roman"/>
          <w:b w:val="false"/>
          <w:i w:val="false"/>
          <w:color w:val="000000"/>
          <w:sz w:val="28"/>
        </w:rPr>
        <w:t>
      Экспериментальные исследования: ежедневный осмотр всех животных; ежедневное взвешивание всех животных; макро- и микроскопическое изучение всех органов и тканей павших животных и умерщвленных в конце эксперимента.</w:t>
      </w:r>
    </w:p>
    <w:bookmarkEnd w:id="982"/>
    <w:bookmarkStart w:name="z997" w:id="983"/>
    <w:p>
      <w:pPr>
        <w:spacing w:after="0"/>
        <w:ind w:left="0"/>
        <w:jc w:val="both"/>
      </w:pPr>
      <w:r>
        <w:rPr>
          <w:rFonts w:ascii="Times New Roman"/>
          <w:b w:val="false"/>
          <w:i w:val="false"/>
          <w:color w:val="000000"/>
          <w:sz w:val="28"/>
        </w:rPr>
        <w:t>
      Представление результатов: максимальная доза в хроническом эксперименте соответствует дозе, вызывающей в подостром опыте снижение прироста массы тела животных не более, чем на 10% по сравнению с контролем; максимальная доза определяется для каждого вида животных обоего пола.</w:t>
      </w:r>
    </w:p>
    <w:bookmarkEnd w:id="983"/>
    <w:bookmarkStart w:name="z998" w:id="984"/>
    <w:p>
      <w:pPr>
        <w:spacing w:after="0"/>
        <w:ind w:left="0"/>
        <w:jc w:val="both"/>
      </w:pPr>
      <w:r>
        <w:rPr>
          <w:rFonts w:ascii="Times New Roman"/>
          <w:b w:val="false"/>
          <w:i w:val="false"/>
          <w:color w:val="000000"/>
          <w:sz w:val="28"/>
        </w:rPr>
        <w:t>
      26. Изучение канцерогенности в хроническом эксперименте.</w:t>
      </w:r>
    </w:p>
    <w:bookmarkEnd w:id="984"/>
    <w:bookmarkStart w:name="z999" w:id="985"/>
    <w:p>
      <w:pPr>
        <w:spacing w:after="0"/>
        <w:ind w:left="0"/>
        <w:jc w:val="both"/>
      </w:pPr>
      <w:r>
        <w:rPr>
          <w:rFonts w:ascii="Times New Roman"/>
          <w:b w:val="false"/>
          <w:i w:val="false"/>
          <w:color w:val="000000"/>
          <w:sz w:val="28"/>
        </w:rPr>
        <w:t>
      Животные. Используются не менее двух видов животных обоего пола 6-8 недельного возраста.</w:t>
      </w:r>
    </w:p>
    <w:bookmarkEnd w:id="985"/>
    <w:bookmarkStart w:name="z1000" w:id="986"/>
    <w:p>
      <w:pPr>
        <w:spacing w:after="0"/>
        <w:ind w:left="0"/>
        <w:jc w:val="both"/>
      </w:pPr>
      <w:r>
        <w:rPr>
          <w:rFonts w:ascii="Times New Roman"/>
          <w:b w:val="false"/>
          <w:i w:val="false"/>
          <w:color w:val="000000"/>
          <w:sz w:val="28"/>
        </w:rPr>
        <w:t>
      Число животных. Группы состоят не менее, чем из 50 животных обоего пола. Каждая группа рандомизируется в соответствии с массой тела.</w:t>
      </w:r>
    </w:p>
    <w:bookmarkEnd w:id="986"/>
    <w:bookmarkStart w:name="z1001" w:id="987"/>
    <w:p>
      <w:pPr>
        <w:spacing w:after="0"/>
        <w:ind w:left="0"/>
        <w:jc w:val="both"/>
      </w:pPr>
      <w:r>
        <w:rPr>
          <w:rFonts w:ascii="Times New Roman"/>
          <w:b w:val="false"/>
          <w:i w:val="false"/>
          <w:color w:val="000000"/>
          <w:sz w:val="28"/>
        </w:rPr>
        <w:t>
      Путь введения. Путь введения соответствует клиническому назначению препарата. Пероральное введение препарата проводится зондом. Возможно смешение исследуемого препарата с пищей или водой. Содержание изучаемого лекарственного средства в пище не превышает 5%. Введение изучаемого лекарственного средства с пищей или питьевой водой рассчитывается индивидуально на каждое животное после предварительного изучения стабильности препарата в указанных условиях.</w:t>
      </w:r>
    </w:p>
    <w:bookmarkEnd w:id="987"/>
    <w:bookmarkStart w:name="z1002" w:id="988"/>
    <w:p>
      <w:pPr>
        <w:spacing w:after="0"/>
        <w:ind w:left="0"/>
        <w:jc w:val="both"/>
      </w:pPr>
      <w:r>
        <w:rPr>
          <w:rFonts w:ascii="Times New Roman"/>
          <w:b w:val="false"/>
          <w:i w:val="false"/>
          <w:color w:val="000000"/>
          <w:sz w:val="28"/>
        </w:rPr>
        <w:t>
      Уровень доз. Подопытные группы получают не менее 3-х уровней доз для самцов и самок на фоне соответствующих контрольных групп. Максимальная доза определяется по результатам предварительного эксперимента. Минимальная доза соответствует среднеэффективной дозе для конкретного вида животных, используемого в хроническом эксперименте. Желательно определение средней дозы по принципу геометрической прогрессии.</w:t>
      </w:r>
    </w:p>
    <w:bookmarkEnd w:id="988"/>
    <w:bookmarkStart w:name="z1003" w:id="989"/>
    <w:p>
      <w:pPr>
        <w:spacing w:after="0"/>
        <w:ind w:left="0"/>
        <w:jc w:val="both"/>
      </w:pPr>
      <w:r>
        <w:rPr>
          <w:rFonts w:ascii="Times New Roman"/>
          <w:b w:val="false"/>
          <w:i w:val="false"/>
          <w:color w:val="000000"/>
          <w:sz w:val="28"/>
        </w:rPr>
        <w:t>
      Контрольные группы. Негативный и интактный контроль.</w:t>
      </w:r>
    </w:p>
    <w:bookmarkEnd w:id="989"/>
    <w:bookmarkStart w:name="z1004" w:id="990"/>
    <w:p>
      <w:pPr>
        <w:spacing w:after="0"/>
        <w:ind w:left="0"/>
        <w:jc w:val="both"/>
      </w:pPr>
      <w:r>
        <w:rPr>
          <w:rFonts w:ascii="Times New Roman"/>
          <w:b w:val="false"/>
          <w:i w:val="false"/>
          <w:color w:val="000000"/>
          <w:sz w:val="28"/>
        </w:rPr>
        <w:t>
      Продолжительность введения. Не менее 24 месяцев и не более 30 месяцев для крыс, не менее 18 месяцев и не более 24 месяцев для мышей и хомячков при ежедневном, введении.</w:t>
      </w:r>
    </w:p>
    <w:bookmarkEnd w:id="990"/>
    <w:bookmarkStart w:name="z1005" w:id="991"/>
    <w:p>
      <w:pPr>
        <w:spacing w:after="0"/>
        <w:ind w:left="0"/>
        <w:jc w:val="both"/>
      </w:pPr>
      <w:r>
        <w:rPr>
          <w:rFonts w:ascii="Times New Roman"/>
          <w:b w:val="false"/>
          <w:i w:val="false"/>
          <w:color w:val="000000"/>
          <w:sz w:val="28"/>
        </w:rPr>
        <w:t>
      Период наблюдения. Изучение заканчивается через 2-3 месяца после окончания введения препарата. Если смертность от кумуляции превышает 75% от малой дозы, то все выжившие животные умерщвляются и изучение прекращается. Смертность от интеркуррентных заболеваний составляет в пределах 50% после 24 месяцев введения препарата для крыс и 18 месяцев для мышей и хомячков. Потеря животных в течение эксперимента от каннибализма не превышает 10% от общего числа в группе.</w:t>
      </w:r>
    </w:p>
    <w:bookmarkEnd w:id="991"/>
    <w:bookmarkStart w:name="z1006" w:id="992"/>
    <w:p>
      <w:pPr>
        <w:spacing w:after="0"/>
        <w:ind w:left="0"/>
        <w:jc w:val="both"/>
      </w:pPr>
      <w:r>
        <w:rPr>
          <w:rFonts w:ascii="Times New Roman"/>
          <w:b w:val="false"/>
          <w:i w:val="false"/>
          <w:color w:val="000000"/>
          <w:sz w:val="28"/>
        </w:rPr>
        <w:t>
      Экспериментальные исследования: ежедневный осмотр всех животных в каждой группе; еженедельное взвешивание в первые 3 месяца ведения, в последующие сроки 1 раз в 4 недели; вскрытие, макроскопическое изучение и гистологическое исследование органов и тканей всех павших животных.</w:t>
      </w:r>
    </w:p>
    <w:bookmarkEnd w:id="992"/>
    <w:bookmarkStart w:name="z1007" w:id="993"/>
    <w:p>
      <w:pPr>
        <w:spacing w:after="0"/>
        <w:ind w:left="0"/>
        <w:jc w:val="both"/>
      </w:pPr>
      <w:r>
        <w:rPr>
          <w:rFonts w:ascii="Times New Roman"/>
          <w:b w:val="false"/>
          <w:i w:val="false"/>
          <w:color w:val="000000"/>
          <w:sz w:val="28"/>
        </w:rPr>
        <w:t>
      Обязательно макроскопическое исследование всех органов и тканей. Гистологическому исследованию подвергаются следующие органы и ткани: кожа, молочные железы, лимфатические узлы, слюнные железы, грудина, костный мозг, тимус, трахея, легкие, сердце, щитовидная и паращитовидная железа, язык, пищевод, желудок, 12-перстная кишка, печень, поджелудочная железа, селезенка, почки, надпочечники, мочевой пузырь, семенные пузырьки, простата, яички, яичники, матка, влагалище, глаза, мозг, гипофиз, спинной мозг и другие органы и ткани с выраженными макроскопическими изменениями.</w:t>
      </w:r>
    </w:p>
    <w:bookmarkEnd w:id="993"/>
    <w:bookmarkStart w:name="z1008" w:id="994"/>
    <w:p>
      <w:pPr>
        <w:spacing w:after="0"/>
        <w:ind w:left="0"/>
        <w:jc w:val="both"/>
      </w:pPr>
      <w:r>
        <w:rPr>
          <w:rFonts w:ascii="Times New Roman"/>
          <w:b w:val="false"/>
          <w:i w:val="false"/>
          <w:color w:val="000000"/>
          <w:sz w:val="28"/>
        </w:rPr>
        <w:t>
      Умирающие и больные животные изолируются, умертвляются, подвергаются вскрытию, описывается макроскопически, органы и ткани подвергнуты гистологическому исследованию. Выявленные изменения в виде опухолей включаются в описание повреждений, исследованы макроскопически и гистологически. По возможности, желательно провести анализ крови.</w:t>
      </w:r>
    </w:p>
    <w:bookmarkEnd w:id="994"/>
    <w:bookmarkStart w:name="z1009" w:id="995"/>
    <w:p>
      <w:pPr>
        <w:spacing w:after="0"/>
        <w:ind w:left="0"/>
        <w:jc w:val="both"/>
      </w:pPr>
      <w:r>
        <w:rPr>
          <w:rFonts w:ascii="Times New Roman"/>
          <w:b w:val="false"/>
          <w:i w:val="false"/>
          <w:color w:val="000000"/>
          <w:sz w:val="28"/>
        </w:rPr>
        <w:t>
      При окончании исследования все выжившие в каждой группе умерщвляются, подвергаются вскрытию, макроскопическому обследованию. Гистологическое изучение всех органов проводится для всех животных, получавших большую дозу, и контрольной группы. При обнаружении существенных различий в частоте возникновения опухолей под влиянием большой дозы по сравнению с контролем, гистологическому исследованию подвергаются все органы и ткани животных других подопытных групп.</w:t>
      </w:r>
    </w:p>
    <w:bookmarkEnd w:id="995"/>
    <w:bookmarkStart w:name="z1010" w:id="996"/>
    <w:p>
      <w:pPr>
        <w:spacing w:after="0"/>
        <w:ind w:left="0"/>
        <w:jc w:val="both"/>
      </w:pPr>
      <w:r>
        <w:rPr>
          <w:rFonts w:ascii="Times New Roman"/>
          <w:b w:val="false"/>
          <w:i w:val="false"/>
          <w:color w:val="000000"/>
          <w:sz w:val="28"/>
        </w:rPr>
        <w:t>
      Классы токсичности веществ в соответствии с модифицированной классификацией Организации экономического содействия и развития (OECD) </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токсичности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DL50, мг/кг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CL50, ppm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Накожно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Внутрибрюшинно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97"/>
          <w:p>
            <w:pPr>
              <w:spacing w:after="20"/>
              <w:ind w:left="20"/>
              <w:jc w:val="both"/>
            </w:pPr>
            <w:r>
              <w:rPr>
                <w:rFonts w:ascii="Times New Roman"/>
                <w:b w:val="false"/>
                <w:i w:val="false"/>
                <w:color w:val="000000"/>
                <w:sz w:val="20"/>
              </w:rPr>
              <w:t>
Внутри</w:t>
            </w:r>
          </w:p>
          <w:bookmarkEnd w:id="997"/>
          <w:p>
            <w:pPr>
              <w:spacing w:after="20"/>
              <w:ind w:left="20"/>
              <w:jc w:val="both"/>
            </w:pPr>
            <w:r>
              <w:rPr>
                <w:rFonts w:ascii="Times New Roman"/>
                <w:b w:val="false"/>
                <w:i w:val="false"/>
                <w:color w:val="000000"/>
                <w:sz w:val="20"/>
              </w:rPr>
              <w:t>
венно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Чрезвычайно токсично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Высокотоксично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токсично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Малотоксично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 нетоксично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2001Ғ5000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безвредно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1013" w:id="998"/>
    <w:p>
      <w:pPr>
        <w:spacing w:after="0"/>
        <w:ind w:left="0"/>
        <w:jc w:val="left"/>
      </w:pPr>
      <w:r>
        <w:rPr>
          <w:rFonts w:ascii="Times New Roman"/>
          <w:b/>
          <w:i w:val="false"/>
          <w:color w:val="000000"/>
        </w:rPr>
        <w:t xml:space="preserve"> Руководство по применению Стандарта для организации и проведения многоцентровых исследований</w:t>
      </w:r>
    </w:p>
    <w:bookmarkEnd w:id="998"/>
    <w:bookmarkStart w:name="z1014" w:id="999"/>
    <w:p>
      <w:pPr>
        <w:spacing w:after="0"/>
        <w:ind w:left="0"/>
        <w:jc w:val="both"/>
      </w:pPr>
      <w:r>
        <w:rPr>
          <w:rFonts w:ascii="Times New Roman"/>
          <w:b w:val="false"/>
          <w:i w:val="false"/>
          <w:color w:val="000000"/>
          <w:sz w:val="28"/>
        </w:rPr>
        <w:t>
      1. Решение о проведении многоцентрового исследования рассматривается спонсором после консультирования с руководством испытательной лаборатории, выбранной спонсором перед запуском исследования. Использование многочисленных испытательных площадок усложняет структуру исследования и задачи руководства, что приводит к дополнительным рискам для целостности исследования. Поэтому важно оценить все потенциальные угрозы, которые представляет многоцентровая конфигурация для целостности исследования, разъяснить функции и свести к минимуму риски. Следует всесторонне изучить техническую, научную экспертизу, статус соответствия Стандарту, ресурсы и коммерческую жизнеспособность всех испытательных площадок, которые будут задействованы в исследовании.</w:t>
      </w:r>
    </w:p>
    <w:bookmarkEnd w:id="999"/>
    <w:bookmarkStart w:name="z1015" w:id="1000"/>
    <w:p>
      <w:pPr>
        <w:spacing w:after="0"/>
        <w:ind w:left="0"/>
        <w:jc w:val="both"/>
      </w:pPr>
      <w:r>
        <w:rPr>
          <w:rFonts w:ascii="Times New Roman"/>
          <w:b w:val="false"/>
          <w:i w:val="false"/>
          <w:color w:val="000000"/>
          <w:sz w:val="28"/>
        </w:rPr>
        <w:t>
      2. Обязательным условием успешного проведения многоцентрового исследования является осведомленность всех сторон о своих функциях. Чтобы распределить эти функции и справиться с какими-либо событиями во время проведения исследования, крайне важно наладить поток информации и эффективную связь между спонсором, руководством на площадках, руководителем исследования, ведущим исследователем, СОК и персоналом исследования</w:t>
      </w:r>
    </w:p>
    <w:bookmarkEnd w:id="1000"/>
    <w:bookmarkStart w:name="z1016" w:id="1001"/>
    <w:p>
      <w:pPr>
        <w:spacing w:after="0"/>
        <w:ind w:left="0"/>
        <w:jc w:val="both"/>
      </w:pPr>
      <w:r>
        <w:rPr>
          <w:rFonts w:ascii="Times New Roman"/>
          <w:b w:val="false"/>
          <w:i w:val="false"/>
          <w:color w:val="000000"/>
          <w:sz w:val="28"/>
        </w:rPr>
        <w:t>
      3. Механизм связи для информации, связанной с исследованием, предварительно и документально согласовывается между этими сторонами.</w:t>
      </w:r>
    </w:p>
    <w:bookmarkEnd w:id="1001"/>
    <w:bookmarkStart w:name="z1017" w:id="1002"/>
    <w:p>
      <w:pPr>
        <w:spacing w:after="0"/>
        <w:ind w:left="0"/>
        <w:jc w:val="both"/>
      </w:pPr>
      <w:r>
        <w:rPr>
          <w:rFonts w:ascii="Times New Roman"/>
          <w:b w:val="false"/>
          <w:i w:val="false"/>
          <w:color w:val="000000"/>
          <w:sz w:val="28"/>
        </w:rPr>
        <w:t>
      4. Руководитель исследования получает информацию о ходе исследования на всех площадках.</w:t>
      </w:r>
    </w:p>
    <w:bookmarkEnd w:id="1002"/>
    <w:bookmarkStart w:name="z1018" w:id="1003"/>
    <w:p>
      <w:pPr>
        <w:spacing w:after="0"/>
        <w:ind w:left="0"/>
        <w:jc w:val="both"/>
      </w:pPr>
      <w:r>
        <w:rPr>
          <w:rFonts w:ascii="Times New Roman"/>
          <w:b w:val="false"/>
          <w:i w:val="false"/>
          <w:color w:val="000000"/>
          <w:sz w:val="28"/>
        </w:rPr>
        <w:t>
      5. Спонсор назначает исследование для испытательной лаборатории. Руководство испытательной лаборатории назначает руководителя исследования, которому необязательно находиться на площадке, где проводиться большая часть экспериментальной работы. Решение о проведении работ по исследованию на других площадках обычно принимается руководством испытательной лаборатории после консультации с руководителем исследования и спонсором, если это нужно.</w:t>
      </w:r>
    </w:p>
    <w:bookmarkEnd w:id="1003"/>
    <w:bookmarkStart w:name="z1019" w:id="1004"/>
    <w:p>
      <w:pPr>
        <w:spacing w:after="0"/>
        <w:ind w:left="0"/>
        <w:jc w:val="both"/>
      </w:pPr>
      <w:r>
        <w:rPr>
          <w:rFonts w:ascii="Times New Roman"/>
          <w:b w:val="false"/>
          <w:i w:val="false"/>
          <w:color w:val="000000"/>
          <w:sz w:val="28"/>
        </w:rPr>
        <w:t>
      6. Если руководитель исследования не выполняет свои функции в испытательной площадке по причине ее географической или организационной отдаленности, возникает необходимость назначить ведущего исследователя на испытательной площадке. Исполнение функций невыполнимо по причине временных затрат на проезд, часовых поясов или задержек с языковым переводом. Географическая отдаленность относится к расстоянию или необходимости одновременно уделять внимание более чем одному месту нахождения.</w:t>
      </w:r>
    </w:p>
    <w:bookmarkEnd w:id="1004"/>
    <w:bookmarkStart w:name="z1020" w:id="1005"/>
    <w:p>
      <w:pPr>
        <w:spacing w:after="0"/>
        <w:ind w:left="0"/>
        <w:jc w:val="both"/>
      </w:pPr>
      <w:r>
        <w:rPr>
          <w:rFonts w:ascii="Times New Roman"/>
          <w:b w:val="false"/>
          <w:i w:val="false"/>
          <w:color w:val="000000"/>
          <w:sz w:val="28"/>
        </w:rPr>
        <w:t>
      7. Руководству испытательной лаборатории следует способствовать трудовым взаимоотношениям с руководством испытательной площадки с целью обеспечения целостности исследования. Предпочтения различных участвующих групп либо коммерческие договоры и соглашения о конфиденциальности не могут препятствовать обмену информацией, нужной для надлежащего проведения исследования.</w:t>
      </w:r>
    </w:p>
    <w:bookmarkEnd w:id="1005"/>
    <w:bookmarkStart w:name="z1021" w:id="1006"/>
    <w:p>
      <w:pPr>
        <w:spacing w:after="0"/>
        <w:ind w:left="0"/>
        <w:jc w:val="both"/>
      </w:pPr>
      <w:r>
        <w:rPr>
          <w:rFonts w:ascii="Times New Roman"/>
          <w:b w:val="false"/>
          <w:i w:val="false"/>
          <w:color w:val="000000"/>
          <w:sz w:val="28"/>
        </w:rPr>
        <w:t>
      8. Спонсор:</w:t>
      </w:r>
    </w:p>
    <w:bookmarkEnd w:id="1006"/>
    <w:bookmarkStart w:name="z1022" w:id="1007"/>
    <w:p>
      <w:pPr>
        <w:spacing w:after="0"/>
        <w:ind w:left="0"/>
        <w:jc w:val="both"/>
      </w:pPr>
      <w:r>
        <w:rPr>
          <w:rFonts w:ascii="Times New Roman"/>
          <w:b w:val="false"/>
          <w:i w:val="false"/>
          <w:color w:val="000000"/>
          <w:sz w:val="28"/>
        </w:rPr>
        <w:t>
      1) спонсор в соответствии с приложением 5 к Стандарту внимательно изучает решение о проведении многоцентрового исследования после консультации с руководством испытательной лаборатории до запуска исследования. Спонсору следует определить, требуется ли соответствие Стандарту и применяемому законодательству. Спонсору следует понимать, что в результате многоцентрового исследования будет составлен один заключительный отчет;</w:t>
      </w:r>
    </w:p>
    <w:bookmarkEnd w:id="1007"/>
    <w:bookmarkStart w:name="z1023" w:id="1008"/>
    <w:p>
      <w:pPr>
        <w:spacing w:after="0"/>
        <w:ind w:left="0"/>
        <w:jc w:val="both"/>
      </w:pPr>
      <w:r>
        <w:rPr>
          <w:rFonts w:ascii="Times New Roman"/>
          <w:b w:val="false"/>
          <w:i w:val="false"/>
          <w:color w:val="000000"/>
          <w:sz w:val="28"/>
        </w:rPr>
        <w:t>
      2) спонсору следует быть осведомленным о том, что если площадка действует в качестве испытательной лаборатории, выполняя фазу многоцентрового исследования, ее операции и персонал, задействованный в исследовании, подлежат контролю со стороны руководителя исследования. В зависимости от ситуации, включает визиты руководства испытательной лаборатории, руководителя исследования и (или) инспекции главного специалиста по ОК. Руководитель исследования указывает, в каком объеме исследование соответствует Стандарту, включая любую работу, проводимую спонсором.</w:t>
      </w:r>
    </w:p>
    <w:bookmarkEnd w:id="1008"/>
    <w:bookmarkStart w:name="z1024" w:id="1009"/>
    <w:p>
      <w:pPr>
        <w:spacing w:after="0"/>
        <w:ind w:left="0"/>
        <w:jc w:val="both"/>
      </w:pPr>
      <w:r>
        <w:rPr>
          <w:rFonts w:ascii="Times New Roman"/>
          <w:b w:val="false"/>
          <w:i w:val="false"/>
          <w:color w:val="000000"/>
          <w:sz w:val="28"/>
        </w:rPr>
        <w:t>
      9. Руководство испытательной лаборатории одобряет выбор испытательных площадок. Рассматриваемые вопросы, помимо прочего, включают практичность установления связи, соответствие мероприятий СОК и наличие подходящего оборудования и экспертизы. Руководство испытательной лаборатории назначает главного специалиста по ОК, который отвечает за ОК всего исследования. Руководство испытательной лаборатории информирует все подразделения ОК испытательных площадок о месте нахождения главного специалиста по ОК. Использование испытательной площадки оформляется документально. Руководство испытательной лаборатории уведомляет руководство испытательной площадки о том, что она при необходимости подвергнется инспекции уполномоченного органа страны, где находится испытательная площадка. Если в этой стране нет уполномоченного органа, испытательная площадка подвергнется инспекции уполномоченного органа страны, в которой была подана заявка на исследование.</w:t>
      </w:r>
    </w:p>
    <w:bookmarkEnd w:id="1009"/>
    <w:bookmarkStart w:name="z1025" w:id="1010"/>
    <w:p>
      <w:pPr>
        <w:spacing w:after="0"/>
        <w:ind w:left="0"/>
        <w:jc w:val="both"/>
      </w:pPr>
      <w:r>
        <w:rPr>
          <w:rFonts w:ascii="Times New Roman"/>
          <w:b w:val="false"/>
          <w:i w:val="false"/>
          <w:color w:val="000000"/>
          <w:sz w:val="28"/>
        </w:rPr>
        <w:t>
      10. Руководство испытательной площадки отвечает за предоставление соответствующих ресурсов для площадки и за выбор ведущего исследователя с надлежащей квалификацией. Если возникает необходимость заменить ведущего исследователя, руководство испытательной площадки назначает заместителя ведущего исследователя после консультации со спонсором, руководителем исследования и руководством испытательной лаборатории, если это нужно. Подробные сведения представляются руководителю исследования своевременно, чтобы принять поправку к протоколу, плану, программе исследования. Заместитель ведущего исследователя оценивает статус соответствия Стандарту работы, выполненной до времени его замены.</w:t>
      </w:r>
    </w:p>
    <w:bookmarkEnd w:id="1010"/>
    <w:bookmarkStart w:name="z1026" w:id="1011"/>
    <w:p>
      <w:pPr>
        <w:spacing w:after="0"/>
        <w:ind w:left="0"/>
        <w:jc w:val="both"/>
      </w:pPr>
      <w:r>
        <w:rPr>
          <w:rFonts w:ascii="Times New Roman"/>
          <w:b w:val="false"/>
          <w:i w:val="false"/>
          <w:color w:val="000000"/>
          <w:sz w:val="28"/>
        </w:rPr>
        <w:t>
      11. Руководитель исследования:</w:t>
      </w:r>
    </w:p>
    <w:bookmarkEnd w:id="1011"/>
    <w:bookmarkStart w:name="z1027" w:id="1012"/>
    <w:p>
      <w:pPr>
        <w:spacing w:after="0"/>
        <w:ind w:left="0"/>
        <w:jc w:val="both"/>
      </w:pPr>
      <w:r>
        <w:rPr>
          <w:rFonts w:ascii="Times New Roman"/>
          <w:b w:val="false"/>
          <w:i w:val="false"/>
          <w:color w:val="000000"/>
          <w:sz w:val="28"/>
        </w:rPr>
        <w:t>
      1) обеспечивает приемлемость выбранных испытательных площадок. Для этого требуются визиты на испытательные площадки и встречи с персоналом испытательных площадок;</w:t>
      </w:r>
    </w:p>
    <w:bookmarkEnd w:id="1012"/>
    <w:bookmarkStart w:name="z1028" w:id="1013"/>
    <w:p>
      <w:pPr>
        <w:spacing w:after="0"/>
        <w:ind w:left="0"/>
        <w:jc w:val="both"/>
      </w:pPr>
      <w:r>
        <w:rPr>
          <w:rFonts w:ascii="Times New Roman"/>
          <w:b w:val="false"/>
          <w:i w:val="false"/>
          <w:color w:val="000000"/>
          <w:sz w:val="28"/>
        </w:rPr>
        <w:t>
      2) Если руководитель исследования считает, что он (она), сам (сама) возможным напрямую контролировать работу, которая выполняется на одной из испытательных площадок, без необходимости назначения ведущего исследователя, он (она) извещает руководство испытательной лаборатории о такой возможности. Руководство испытательной лаборатории обеспечивает организацию соответствующего мониторинга ОК на этой площадке. Это выполняется отдел ОК самой испытательной площадки или главный специалист по ОК;</w:t>
      </w:r>
    </w:p>
    <w:bookmarkEnd w:id="1013"/>
    <w:bookmarkStart w:name="z1029" w:id="1014"/>
    <w:p>
      <w:pPr>
        <w:spacing w:after="0"/>
        <w:ind w:left="0"/>
        <w:jc w:val="both"/>
      </w:pPr>
      <w:r>
        <w:rPr>
          <w:rFonts w:ascii="Times New Roman"/>
          <w:b w:val="false"/>
          <w:i w:val="false"/>
          <w:color w:val="000000"/>
          <w:sz w:val="28"/>
        </w:rPr>
        <w:t>
      3) отвечает за утверждение протокола, плана, программы исследования, включая объединение частей работы ведущих исследователей. Руководитель исследования одобряет и вносит поправки и признает отклонения от протокола, плана, программы исследования, включая соответствующие работы, выполняемые на местах. Руководитель исследования отвечает за точное информирование всего персонала о требованиях к исследованию и обеспечивает доступность протокола, плана, программы исследования и поправок для всего соответствующего персонала;</w:t>
      </w:r>
    </w:p>
    <w:bookmarkEnd w:id="1014"/>
    <w:bookmarkStart w:name="z1030" w:id="1015"/>
    <w:p>
      <w:pPr>
        <w:spacing w:after="0"/>
        <w:ind w:left="0"/>
        <w:jc w:val="both"/>
      </w:pPr>
      <w:r>
        <w:rPr>
          <w:rFonts w:ascii="Times New Roman"/>
          <w:b w:val="false"/>
          <w:i w:val="false"/>
          <w:color w:val="000000"/>
          <w:sz w:val="28"/>
        </w:rPr>
        <w:t>
      4) устанавливает, проводит тестирование и техническое обслуживание систем связи между ним самим и каждым ведущим исследователем. В случае географической отдаленности друг от друга, требуется учитывать разницу в часовых поясах. Руководитель исследования поддерживает прямой контакт с каждым ведущим исследователем, а не через посредника, кроме случаев, когда это невозможно (например, необходимость в языковых переводчиках);</w:t>
      </w:r>
    </w:p>
    <w:bookmarkEnd w:id="1015"/>
    <w:bookmarkStart w:name="z1031" w:id="1016"/>
    <w:p>
      <w:pPr>
        <w:spacing w:after="0"/>
        <w:ind w:left="0"/>
        <w:jc w:val="both"/>
      </w:pPr>
      <w:r>
        <w:rPr>
          <w:rFonts w:ascii="Times New Roman"/>
          <w:b w:val="false"/>
          <w:i w:val="false"/>
          <w:color w:val="000000"/>
          <w:sz w:val="28"/>
        </w:rPr>
        <w:t>
      5) На протяжении всего исследования руководитель исследования будет доступен для ведущих исследователей. Руководитель исследования содействует координированию и согласованию по времени событий и перемещению проб, образцов или данных между площадками, и обеспечить, чтобы ведущие исследователи понимали последовательность процедур хранения;</w:t>
      </w:r>
    </w:p>
    <w:bookmarkEnd w:id="1016"/>
    <w:bookmarkStart w:name="z1032" w:id="1017"/>
    <w:p>
      <w:pPr>
        <w:spacing w:after="0"/>
        <w:ind w:left="0"/>
        <w:jc w:val="both"/>
      </w:pPr>
      <w:r>
        <w:rPr>
          <w:rFonts w:ascii="Times New Roman"/>
          <w:b w:val="false"/>
          <w:i w:val="false"/>
          <w:color w:val="000000"/>
          <w:sz w:val="28"/>
        </w:rPr>
        <w:t>
      6) поддерживает контакт с ведущими исследователями относительно результатов инспектирования СОК испытательных площадок, если нужно. Все контакты, касающиеся этих результатов, между руководителем исследования и ведущими исследователями или СОК испытательной площадки оформляется документально;</w:t>
      </w:r>
    </w:p>
    <w:bookmarkEnd w:id="1017"/>
    <w:bookmarkStart w:name="z1033" w:id="1018"/>
    <w:p>
      <w:pPr>
        <w:spacing w:after="0"/>
        <w:ind w:left="0"/>
        <w:jc w:val="both"/>
      </w:pPr>
      <w:r>
        <w:rPr>
          <w:rFonts w:ascii="Times New Roman"/>
          <w:b w:val="false"/>
          <w:i w:val="false"/>
          <w:color w:val="000000"/>
          <w:sz w:val="28"/>
        </w:rPr>
        <w:t>
      7) обеспечивает подготовку заключительного отчета с учетом материалов, подготовленных ведущими исследователями;</w:t>
      </w:r>
    </w:p>
    <w:bookmarkEnd w:id="1018"/>
    <w:bookmarkStart w:name="z1034" w:id="1019"/>
    <w:p>
      <w:pPr>
        <w:spacing w:after="0"/>
        <w:ind w:left="0"/>
        <w:jc w:val="both"/>
      </w:pPr>
      <w:r>
        <w:rPr>
          <w:rFonts w:ascii="Times New Roman"/>
          <w:b w:val="false"/>
          <w:i w:val="false"/>
          <w:color w:val="000000"/>
          <w:sz w:val="28"/>
        </w:rPr>
        <w:t>
      8) следует обеспечить, чтобы заключительный отчет был представлен главному специалисту по ОК для инспекции. Руководитель исследования подписывает заключительный отчет и ставит на нем дату, и отвечает за точность данных и указывает, в каком объеме исследование соответствует Стандарту. Это частично основывается на письменных гарантиях, представленных ведущим исследователем;</w:t>
      </w:r>
    </w:p>
    <w:bookmarkEnd w:id="1019"/>
    <w:bookmarkStart w:name="z1035" w:id="1020"/>
    <w:p>
      <w:pPr>
        <w:spacing w:after="0"/>
        <w:ind w:left="0"/>
        <w:jc w:val="both"/>
      </w:pPr>
      <w:r>
        <w:rPr>
          <w:rFonts w:ascii="Times New Roman"/>
          <w:b w:val="false"/>
          <w:i w:val="false"/>
          <w:color w:val="000000"/>
          <w:sz w:val="28"/>
        </w:rPr>
        <w:t>
      9) на площадках, где ведущий исследователь не назначен, руководитель исследования контактирует напрямую с персоналом, проводящим работу на этих площадках. Этот персонал обозначается в протоколе, плане, программе исследования.</w:t>
      </w:r>
    </w:p>
    <w:bookmarkEnd w:id="1020"/>
    <w:bookmarkStart w:name="z1036" w:id="1021"/>
    <w:p>
      <w:pPr>
        <w:spacing w:after="0"/>
        <w:ind w:left="0"/>
        <w:jc w:val="both"/>
      </w:pPr>
      <w:r>
        <w:rPr>
          <w:rFonts w:ascii="Times New Roman"/>
          <w:b w:val="false"/>
          <w:i w:val="false"/>
          <w:color w:val="000000"/>
          <w:sz w:val="28"/>
        </w:rPr>
        <w:t>
      12. Ведущий исследователь:</w:t>
      </w:r>
    </w:p>
    <w:bookmarkEnd w:id="1021"/>
    <w:bookmarkStart w:name="z1037" w:id="1022"/>
    <w:p>
      <w:pPr>
        <w:spacing w:after="0"/>
        <w:ind w:left="0"/>
        <w:jc w:val="both"/>
      </w:pPr>
      <w:r>
        <w:rPr>
          <w:rFonts w:ascii="Times New Roman"/>
          <w:b w:val="false"/>
          <w:i w:val="false"/>
          <w:color w:val="000000"/>
          <w:sz w:val="28"/>
        </w:rPr>
        <w:t>
      1) действует от имени руководителя исследования в течение порученной ему фазы и отвечает за обеспечение соблюдения Стандарта для этой фазы. Открытые рабочие отношения между ведущим исследователем и руководителем исследования, основанные на принципах сотрудничества, являются крайне важными;</w:t>
      </w:r>
    </w:p>
    <w:bookmarkEnd w:id="1022"/>
    <w:bookmarkStart w:name="z1038" w:id="1023"/>
    <w:p>
      <w:pPr>
        <w:spacing w:after="0"/>
        <w:ind w:left="0"/>
        <w:jc w:val="both"/>
      </w:pPr>
      <w:r>
        <w:rPr>
          <w:rFonts w:ascii="Times New Roman"/>
          <w:b w:val="false"/>
          <w:i w:val="false"/>
          <w:color w:val="000000"/>
          <w:sz w:val="28"/>
        </w:rPr>
        <w:t>
      2) иметь в наличии документально оформленное соглашение о том, что ведущий исследователь будет вести порученную ему фазу в соответствии с протоколом, планом, программой исследования и Стандарту. Подпись ведущего исследователя на протоколе, плане, программе исследования является приемлемым документальном подтверждением этому;</w:t>
      </w:r>
    </w:p>
    <w:bookmarkEnd w:id="1023"/>
    <w:bookmarkStart w:name="z1039" w:id="1024"/>
    <w:p>
      <w:pPr>
        <w:spacing w:after="0"/>
        <w:ind w:left="0"/>
        <w:jc w:val="both"/>
      </w:pPr>
      <w:r>
        <w:rPr>
          <w:rFonts w:ascii="Times New Roman"/>
          <w:b w:val="false"/>
          <w:i w:val="false"/>
          <w:color w:val="000000"/>
          <w:sz w:val="28"/>
        </w:rPr>
        <w:t>
      3) отклонения от протокола, плана, программы исследования или СОП, относящихся к исследованию, оформляется документально на испытательной площадке, подтверждается ведущим исследователем, о них следует также сообщить руководителю исследования и своевременно получить его подтверждение;</w:t>
      </w:r>
    </w:p>
    <w:bookmarkEnd w:id="1024"/>
    <w:bookmarkStart w:name="z1040" w:id="1025"/>
    <w:p>
      <w:pPr>
        <w:spacing w:after="0"/>
        <w:ind w:left="0"/>
        <w:jc w:val="both"/>
      </w:pPr>
      <w:r>
        <w:rPr>
          <w:rFonts w:ascii="Times New Roman"/>
          <w:b w:val="false"/>
          <w:i w:val="false"/>
          <w:color w:val="000000"/>
          <w:sz w:val="28"/>
        </w:rPr>
        <w:t>
      4) представляет руководителю исследования материалы, позволяющие подготовить заключительный отчет. Эти материалы включают в себя письменную гарантию от ведущего исследователя, подтверждающую соответствие настоящим правилам работы, за которую он (она) отвечает;</w:t>
      </w:r>
    </w:p>
    <w:bookmarkEnd w:id="1025"/>
    <w:bookmarkStart w:name="z1041" w:id="1026"/>
    <w:p>
      <w:pPr>
        <w:spacing w:after="0"/>
        <w:ind w:left="0"/>
        <w:jc w:val="both"/>
      </w:pPr>
      <w:r>
        <w:rPr>
          <w:rFonts w:ascii="Times New Roman"/>
          <w:b w:val="false"/>
          <w:i w:val="false"/>
          <w:color w:val="000000"/>
          <w:sz w:val="28"/>
        </w:rPr>
        <w:t>
      5) обеспечивает, чтобы все данные и образцы, за которые он (она) были переданы руководителю исследования или в архив, как описано в протоколе, плане, программе исследования. Если они не переданы руководителю исследования, ведущий исследователь уведомляет руководителя исследования о том, когда и где они будут сданы в архив. Во время исследования ведущий исследователь не утилизирует какие-либо образцы без предварительного письменного разрешения руководителя исследования.</w:t>
      </w:r>
    </w:p>
    <w:bookmarkEnd w:id="1026"/>
    <w:bookmarkStart w:name="z1042" w:id="1027"/>
    <w:p>
      <w:pPr>
        <w:spacing w:after="0"/>
        <w:ind w:left="0"/>
        <w:jc w:val="both"/>
      </w:pPr>
      <w:r>
        <w:rPr>
          <w:rFonts w:ascii="Times New Roman"/>
          <w:b w:val="false"/>
          <w:i w:val="false"/>
          <w:color w:val="000000"/>
          <w:sz w:val="28"/>
        </w:rPr>
        <w:t>
      13. Персонал исследования:</w:t>
      </w:r>
    </w:p>
    <w:bookmarkEnd w:id="1027"/>
    <w:bookmarkStart w:name="z1043" w:id="1028"/>
    <w:p>
      <w:pPr>
        <w:spacing w:after="0"/>
        <w:ind w:left="0"/>
        <w:jc w:val="both"/>
      </w:pPr>
      <w:r>
        <w:rPr>
          <w:rFonts w:ascii="Times New Roman"/>
          <w:b w:val="false"/>
          <w:i w:val="false"/>
          <w:color w:val="000000"/>
          <w:sz w:val="28"/>
        </w:rPr>
        <w:t>
      1) весь профессиональный и технический персонал, участвующий в проведении исследования, иметь в наличии должностные инструкции и документ об обучении, квалификации и стаже работы, подтверждающий их способность выполнять назначенные им задания. Если требуется, чтобы персонал исследования следовал СОП, утвержденным для другой испытательной площадки, любое требующее дополнительное обучение оформляется документально;</w:t>
      </w:r>
    </w:p>
    <w:bookmarkEnd w:id="1028"/>
    <w:bookmarkStart w:name="z1044" w:id="1029"/>
    <w:p>
      <w:pPr>
        <w:spacing w:after="0"/>
        <w:ind w:left="0"/>
        <w:jc w:val="both"/>
      </w:pPr>
      <w:r>
        <w:rPr>
          <w:rFonts w:ascii="Times New Roman"/>
          <w:b w:val="false"/>
          <w:i w:val="false"/>
          <w:color w:val="000000"/>
          <w:sz w:val="28"/>
        </w:rPr>
        <w:t>
      2) при наличии нескольких площадок, где временно нанятый персонал выполняет аспекты проведения исследования. Если эти лица получили или ввели исходные данные, следует сохранить записи об их квалификации, обучении и стаже работы. Если такие лица выполняют обычные операции, такие как, уход за лабораторными животными, подлежащие надзору со стороны более высококвалифицированного персонала, то такие записи об этих лицах не требуются.</w:t>
      </w:r>
    </w:p>
    <w:bookmarkEnd w:id="1029"/>
    <w:bookmarkStart w:name="z1045" w:id="1030"/>
    <w:p>
      <w:pPr>
        <w:spacing w:after="0"/>
        <w:ind w:left="0"/>
        <w:jc w:val="both"/>
      </w:pPr>
      <w:r>
        <w:rPr>
          <w:rFonts w:ascii="Times New Roman"/>
          <w:b w:val="false"/>
          <w:i w:val="false"/>
          <w:color w:val="000000"/>
          <w:sz w:val="28"/>
        </w:rPr>
        <w:t>
      14. Следует тщательно спланировать и организовать СОК многоцентровых исследований, чтобы обеспечить соблюдение общих принципов Стандарта для данного исследования. Поскольку в наличии имеется более одной площадки, возникают проблемы с организацией нескольких управленческих служб и программ ОК.</w:t>
      </w:r>
    </w:p>
    <w:bookmarkEnd w:id="1030"/>
    <w:bookmarkStart w:name="z1046" w:id="1031"/>
    <w:p>
      <w:pPr>
        <w:spacing w:after="0"/>
        <w:ind w:left="0"/>
        <w:jc w:val="both"/>
      </w:pPr>
      <w:r>
        <w:rPr>
          <w:rFonts w:ascii="Times New Roman"/>
          <w:b w:val="false"/>
          <w:i w:val="false"/>
          <w:color w:val="000000"/>
          <w:sz w:val="28"/>
        </w:rPr>
        <w:t>
      15. Главный специалист по ОК:</w:t>
      </w:r>
    </w:p>
    <w:bookmarkEnd w:id="1031"/>
    <w:bookmarkStart w:name="z1047" w:id="1032"/>
    <w:p>
      <w:pPr>
        <w:spacing w:after="0"/>
        <w:ind w:left="0"/>
        <w:jc w:val="both"/>
      </w:pPr>
      <w:r>
        <w:rPr>
          <w:rFonts w:ascii="Times New Roman"/>
          <w:b w:val="false"/>
          <w:i w:val="false"/>
          <w:color w:val="000000"/>
          <w:sz w:val="28"/>
        </w:rPr>
        <w:t>
      1) поддерживает контакт с отделом ОК испытательной площадки, чтобы обеспечить инспектирование ОК на протяжении всего исследования;</w:t>
      </w:r>
    </w:p>
    <w:bookmarkEnd w:id="1032"/>
    <w:bookmarkStart w:name="z1048" w:id="1033"/>
    <w:p>
      <w:pPr>
        <w:spacing w:after="0"/>
        <w:ind w:left="0"/>
        <w:jc w:val="both"/>
      </w:pPr>
      <w:r>
        <w:rPr>
          <w:rFonts w:ascii="Times New Roman"/>
          <w:b w:val="false"/>
          <w:i w:val="false"/>
          <w:color w:val="000000"/>
          <w:sz w:val="28"/>
        </w:rPr>
        <w:t>
      2) особое внимание следует уделять функционированию и ведению документации, относящейся к взаимодействию (контактам) между площадками. Уполномоченность за ОК на различных площадках устанавливаются до начала экспериментальной работы на этих площадках;</w:t>
      </w:r>
    </w:p>
    <w:bookmarkEnd w:id="1033"/>
    <w:bookmarkStart w:name="z1049" w:id="1034"/>
    <w:p>
      <w:pPr>
        <w:spacing w:after="0"/>
        <w:ind w:left="0"/>
        <w:jc w:val="both"/>
      </w:pPr>
      <w:r>
        <w:rPr>
          <w:rFonts w:ascii="Times New Roman"/>
          <w:b w:val="false"/>
          <w:i w:val="false"/>
          <w:color w:val="000000"/>
          <w:sz w:val="28"/>
        </w:rPr>
        <w:t>
      3) обеспечивает проведение проверки протокола, плана, программы исследования и инспектирование заключительного отчета на соответствие Стандарту. Инспектирование СОК завершающего отчета включает проверку того, включены ли материалы ведущего исследователя (в том числе доказательства обеспечения качества на испытательной площадке) в состав отчета надлежащим образом. Главный специалист по ОК обеспечивает подготовку заключения СОК в отношении работы, выполненной на испытательной площадке, включая заключения СОК со всех испытательных площадок или ссылки на них.</w:t>
      </w:r>
    </w:p>
    <w:bookmarkEnd w:id="1034"/>
    <w:bookmarkStart w:name="z1050" w:id="1035"/>
    <w:p>
      <w:pPr>
        <w:spacing w:after="0"/>
        <w:ind w:left="0"/>
        <w:jc w:val="both"/>
      </w:pPr>
      <w:r>
        <w:rPr>
          <w:rFonts w:ascii="Times New Roman"/>
          <w:b w:val="false"/>
          <w:i w:val="false"/>
          <w:color w:val="000000"/>
          <w:sz w:val="28"/>
        </w:rPr>
        <w:t>
      16. СОК испытательной площадки:</w:t>
      </w:r>
    </w:p>
    <w:bookmarkEnd w:id="1035"/>
    <w:bookmarkStart w:name="z1051" w:id="1036"/>
    <w:p>
      <w:pPr>
        <w:spacing w:after="0"/>
        <w:ind w:left="0"/>
        <w:jc w:val="both"/>
      </w:pPr>
      <w:r>
        <w:rPr>
          <w:rFonts w:ascii="Times New Roman"/>
          <w:b w:val="false"/>
          <w:i w:val="false"/>
          <w:color w:val="000000"/>
          <w:sz w:val="28"/>
        </w:rPr>
        <w:t>
      1) обычно руководство каждой испытательной площадки отвечает за соответствующее обеспечение качества в отношении части исследования, проведенной на площадке. СОК на каждой испытательной площадке проверяет разделы протокола, плана, программы исследования, относящиеся к операциям, выполняемым на площадке. СОК хранить копию утвержденного протокола, плана, программы исследования и поправок к протоколу, плану, программе исследования;</w:t>
      </w:r>
    </w:p>
    <w:bookmarkEnd w:id="1036"/>
    <w:bookmarkStart w:name="z1052" w:id="1037"/>
    <w:p>
      <w:pPr>
        <w:spacing w:after="0"/>
        <w:ind w:left="0"/>
        <w:jc w:val="both"/>
      </w:pPr>
      <w:r>
        <w:rPr>
          <w:rFonts w:ascii="Times New Roman"/>
          <w:b w:val="false"/>
          <w:i w:val="false"/>
          <w:color w:val="000000"/>
          <w:sz w:val="28"/>
        </w:rPr>
        <w:t>
      2) СОК на испытательной площадке инспектирует относящуюся к исследованию работу на своей площадке согласно своим собственным СОП, если иное не требуется по указанию главного специалиста по ОК, при этом он своевременно составляет отчеты о любых результатах инспекций в письменной форме в адрес ведущего исследователя, руководства испытательной площадки, руководителя исследования, руководства испытательной лаборатории и главного специалиста по ОК;</w:t>
      </w:r>
    </w:p>
    <w:bookmarkEnd w:id="1037"/>
    <w:bookmarkStart w:name="z1053" w:id="1038"/>
    <w:p>
      <w:pPr>
        <w:spacing w:after="0"/>
        <w:ind w:left="0"/>
        <w:jc w:val="both"/>
      </w:pPr>
      <w:r>
        <w:rPr>
          <w:rFonts w:ascii="Times New Roman"/>
          <w:b w:val="false"/>
          <w:i w:val="false"/>
          <w:color w:val="000000"/>
          <w:sz w:val="28"/>
        </w:rPr>
        <w:t>
      3) СОК на испытательной площадке инспектирует часть работы по исследованию, выполняемую ведущим исследователем, согласно СОП своей испытательной площадки и представлять заключение, относящееся к деятельности по ОК на испытательной площадке.</w:t>
      </w:r>
    </w:p>
    <w:bookmarkEnd w:id="1038"/>
    <w:bookmarkStart w:name="z1054" w:id="1039"/>
    <w:p>
      <w:pPr>
        <w:spacing w:after="0"/>
        <w:ind w:left="0"/>
        <w:jc w:val="both"/>
      </w:pPr>
      <w:r>
        <w:rPr>
          <w:rFonts w:ascii="Times New Roman"/>
          <w:b w:val="false"/>
          <w:i w:val="false"/>
          <w:color w:val="000000"/>
          <w:sz w:val="28"/>
        </w:rPr>
        <w:t>
      17. Многоцентровое исследование, для которого назначен один либо несколько ведущих исследователей, имеет основной график работ всех задействованных испытательных площадок. Обеспечить выполнение этого - задача руководства испытательной лаборатории и руководства испытательной площадки.</w:t>
      </w:r>
    </w:p>
    <w:bookmarkEnd w:id="1039"/>
    <w:bookmarkStart w:name="z1055" w:id="1040"/>
    <w:p>
      <w:pPr>
        <w:spacing w:after="0"/>
        <w:ind w:left="0"/>
        <w:jc w:val="both"/>
      </w:pPr>
      <w:r>
        <w:rPr>
          <w:rFonts w:ascii="Times New Roman"/>
          <w:b w:val="false"/>
          <w:i w:val="false"/>
          <w:color w:val="000000"/>
          <w:sz w:val="28"/>
        </w:rPr>
        <w:t>
      18. В основном графике работ обозначается уникальное идентификационное название исследования, а также, если нужно, перекрестные ссылки на идентификационные названия испытательных площадок. На основном графике работ отражается руководитель исследования, а на графике работ каждой испытательной площадки - соответствующий ведущий исследователь.</w:t>
      </w:r>
    </w:p>
    <w:bookmarkEnd w:id="1040"/>
    <w:bookmarkStart w:name="z1056" w:id="1041"/>
    <w:p>
      <w:pPr>
        <w:spacing w:after="0"/>
        <w:ind w:left="0"/>
        <w:jc w:val="both"/>
      </w:pPr>
      <w:r>
        <w:rPr>
          <w:rFonts w:ascii="Times New Roman"/>
          <w:b w:val="false"/>
          <w:i w:val="false"/>
          <w:color w:val="000000"/>
          <w:sz w:val="28"/>
        </w:rPr>
        <w:t>
      19. На основном графике работ, находящемся на всех площадках, указывается даты начала и завершения фаз работ, за которую они отвечают.</w:t>
      </w:r>
    </w:p>
    <w:bookmarkEnd w:id="1041"/>
    <w:bookmarkStart w:name="z1057" w:id="1042"/>
    <w:p>
      <w:pPr>
        <w:spacing w:after="0"/>
        <w:ind w:left="0"/>
        <w:jc w:val="both"/>
      </w:pPr>
      <w:r>
        <w:rPr>
          <w:rFonts w:ascii="Times New Roman"/>
          <w:b w:val="false"/>
          <w:i w:val="false"/>
          <w:color w:val="000000"/>
          <w:sz w:val="28"/>
        </w:rPr>
        <w:t>
      20. Для каждого многоцентрового исследования составляется единый протокол, план, программа исследования. В протоколе, плане, программе исследования точно указывается названия и адреса всех задействованных площадок.</w:t>
      </w:r>
    </w:p>
    <w:bookmarkEnd w:id="1042"/>
    <w:bookmarkStart w:name="z1058" w:id="1043"/>
    <w:p>
      <w:pPr>
        <w:spacing w:after="0"/>
        <w:ind w:left="0"/>
        <w:jc w:val="both"/>
      </w:pPr>
      <w:r>
        <w:rPr>
          <w:rFonts w:ascii="Times New Roman"/>
          <w:b w:val="false"/>
          <w:i w:val="false"/>
          <w:color w:val="000000"/>
          <w:sz w:val="28"/>
        </w:rPr>
        <w:t>
      21. В протоколе, плане, программе исследования содержится информация с паспортными данными и адрес ведущего сотрудника и порученная ему фаза исследования. Рекомендуется включать информацию, достаточную для установления прямого контакта с руководителем исследования, например, номер телефона.</w:t>
      </w:r>
    </w:p>
    <w:bookmarkEnd w:id="1043"/>
    <w:bookmarkStart w:name="z1059" w:id="1044"/>
    <w:p>
      <w:pPr>
        <w:spacing w:after="0"/>
        <w:ind w:left="0"/>
        <w:jc w:val="both"/>
      </w:pPr>
      <w:r>
        <w:rPr>
          <w:rFonts w:ascii="Times New Roman"/>
          <w:b w:val="false"/>
          <w:i w:val="false"/>
          <w:color w:val="000000"/>
          <w:sz w:val="28"/>
        </w:rPr>
        <w:t>
      22. Протокол, план, программа исследования обозначает, каким образом собранные на местах данные будут предоставляться руководителю исследования для включения их в завершающий отчет.</w:t>
      </w:r>
    </w:p>
    <w:bookmarkEnd w:id="1044"/>
    <w:bookmarkStart w:name="z1060" w:id="1045"/>
    <w:p>
      <w:pPr>
        <w:spacing w:after="0"/>
        <w:ind w:left="0"/>
        <w:jc w:val="both"/>
      </w:pPr>
      <w:r>
        <w:rPr>
          <w:rFonts w:ascii="Times New Roman"/>
          <w:b w:val="false"/>
          <w:i w:val="false"/>
          <w:color w:val="000000"/>
          <w:sz w:val="28"/>
        </w:rPr>
        <w:t>
      23. Если это известно, желательно описать в протоколе, плане, программе исследования место, где хранятся данные, исследуемые вещества (лекарственные средства), образцы сравнения (контрольные образцы) и образцы, собранные для хранения на различных площадках.</w:t>
      </w:r>
    </w:p>
    <w:bookmarkEnd w:id="1045"/>
    <w:bookmarkStart w:name="z1061" w:id="1046"/>
    <w:p>
      <w:pPr>
        <w:spacing w:after="0"/>
        <w:ind w:left="0"/>
        <w:jc w:val="both"/>
      </w:pPr>
      <w:r>
        <w:rPr>
          <w:rFonts w:ascii="Times New Roman"/>
          <w:b w:val="false"/>
          <w:i w:val="false"/>
          <w:color w:val="000000"/>
          <w:sz w:val="28"/>
        </w:rPr>
        <w:t>
      24. Рекомендуется, чтобы проект протокола, плана, программы исследования представлять ведущим сотрудникам для изучения и определения возможности выполнить назначенную им работу, а также для выполнения специальной технической работы, если этого требует протокол, план, программа исследования.</w:t>
      </w:r>
    </w:p>
    <w:bookmarkEnd w:id="1046"/>
    <w:bookmarkStart w:name="z1062" w:id="1047"/>
    <w:p>
      <w:pPr>
        <w:spacing w:after="0"/>
        <w:ind w:left="0"/>
        <w:jc w:val="both"/>
      </w:pPr>
      <w:r>
        <w:rPr>
          <w:rFonts w:ascii="Times New Roman"/>
          <w:b w:val="false"/>
          <w:i w:val="false"/>
          <w:color w:val="000000"/>
          <w:sz w:val="28"/>
        </w:rPr>
        <w:t>
      25. Протокол, план, программа исследования составляется на одном языке, обычно на языке руководителя исследования. Для многоцентровых исследований когда требуется, чтобы протокол, план, программа исследования был составлен на более чем одном языке; это намерение отражается в исходном протоколе, плане, программе исследования, переведенном протоколе, плане, программе исследования, а исходный язык указывается на всех версиях. Следует иметь механизм проверки точности и полноты переведенного протокола, плана, программы исследования. Уполномоченность за точность перевода возлагается руководителем исследования на специалиста по языку и оформляется документально.</w:t>
      </w:r>
    </w:p>
    <w:bookmarkEnd w:id="1047"/>
    <w:bookmarkStart w:name="z1063" w:id="1048"/>
    <w:p>
      <w:pPr>
        <w:spacing w:after="0"/>
        <w:ind w:left="0"/>
        <w:jc w:val="both"/>
      </w:pPr>
      <w:r>
        <w:rPr>
          <w:rFonts w:ascii="Times New Roman"/>
          <w:b w:val="false"/>
          <w:i w:val="false"/>
          <w:color w:val="000000"/>
          <w:sz w:val="28"/>
        </w:rPr>
        <w:t>
      26. Испытательные лаборатории:</w:t>
      </w:r>
    </w:p>
    <w:bookmarkEnd w:id="1048"/>
    <w:bookmarkStart w:name="z1064" w:id="1049"/>
    <w:p>
      <w:pPr>
        <w:spacing w:after="0"/>
        <w:ind w:left="0"/>
        <w:jc w:val="both"/>
      </w:pPr>
      <w:r>
        <w:rPr>
          <w:rFonts w:ascii="Times New Roman"/>
          <w:b w:val="false"/>
          <w:i w:val="false"/>
          <w:color w:val="000000"/>
          <w:sz w:val="28"/>
        </w:rPr>
        <w:t>
      1) если персонал не присутствует на испытательных площадках в течение всего рабочего времени, обеспечиваются дополнительные меры для поддержания физической сохранности исследуемых веществ (лекарственных средств), образцов и данных;</w:t>
      </w:r>
    </w:p>
    <w:bookmarkEnd w:id="1049"/>
    <w:bookmarkStart w:name="z1065" w:id="1050"/>
    <w:p>
      <w:pPr>
        <w:spacing w:after="0"/>
        <w:ind w:left="0"/>
        <w:jc w:val="both"/>
      </w:pPr>
      <w:r>
        <w:rPr>
          <w:rFonts w:ascii="Times New Roman"/>
          <w:b w:val="false"/>
          <w:i w:val="false"/>
          <w:color w:val="000000"/>
          <w:sz w:val="28"/>
        </w:rPr>
        <w:t>
      2) При необходимости перемещения данных или других материалов между площадками, следует установить механизмы для поддержания их сохранности. Особое внимание следует уделять электронной передаче данных (электронная почта, интернет и т.д.).</w:t>
      </w:r>
    </w:p>
    <w:bookmarkEnd w:id="1050"/>
    <w:bookmarkStart w:name="z1066" w:id="1051"/>
    <w:p>
      <w:pPr>
        <w:spacing w:after="0"/>
        <w:ind w:left="0"/>
        <w:jc w:val="both"/>
      </w:pPr>
      <w:r>
        <w:rPr>
          <w:rFonts w:ascii="Times New Roman"/>
          <w:b w:val="false"/>
          <w:i w:val="false"/>
          <w:color w:val="000000"/>
          <w:sz w:val="28"/>
        </w:rPr>
        <w:t>
      27. Оборудование:</w:t>
      </w:r>
    </w:p>
    <w:bookmarkEnd w:id="1051"/>
    <w:bookmarkStart w:name="z1067" w:id="1052"/>
    <w:p>
      <w:pPr>
        <w:spacing w:after="0"/>
        <w:ind w:left="0"/>
        <w:jc w:val="both"/>
      </w:pPr>
      <w:r>
        <w:rPr>
          <w:rFonts w:ascii="Times New Roman"/>
          <w:b w:val="false"/>
          <w:i w:val="false"/>
          <w:color w:val="000000"/>
          <w:sz w:val="28"/>
        </w:rPr>
        <w:t>
      1) всегда надо следить, чтобы в исследованиях оборудование использовались в соответствии своему назначению. Это относится и к крупным механическим средствам, и к высокоспециализированному оборудованию, которое используется на некоторых площадках;</w:t>
      </w:r>
    </w:p>
    <w:bookmarkEnd w:id="1052"/>
    <w:bookmarkStart w:name="z1068" w:id="1053"/>
    <w:p>
      <w:pPr>
        <w:spacing w:after="0"/>
        <w:ind w:left="0"/>
        <w:jc w:val="both"/>
      </w:pPr>
      <w:r>
        <w:rPr>
          <w:rFonts w:ascii="Times New Roman"/>
          <w:b w:val="false"/>
          <w:i w:val="false"/>
          <w:color w:val="000000"/>
          <w:sz w:val="28"/>
        </w:rPr>
        <w:t>
      2) Для такого оборудования ведется регистрационные записи о проведении технического обслуживания и калибровки, во время использования они служат для подтверждения их "пригодности к использованию по назначению". Некоторая аппаратура взятое в аренду или лизинг оборудование, такое как, весы для крупных животных и аналитическое оборудование не имеет регистрационных записей о периодической инспекции, очистке, техническом обслуживании и калибровке. В таких случаях информация вносится в необработанные данные специально по данному исследованию, чтобы продемонстрировать "пригодность к использованию по назначению" оборудования.</w:t>
      </w:r>
    </w:p>
    <w:bookmarkEnd w:id="1053"/>
    <w:bookmarkStart w:name="z1069" w:id="1054"/>
    <w:p>
      <w:pPr>
        <w:spacing w:after="0"/>
        <w:ind w:left="0"/>
        <w:jc w:val="both"/>
      </w:pPr>
      <w:r>
        <w:rPr>
          <w:rFonts w:ascii="Times New Roman"/>
          <w:b w:val="false"/>
          <w:i w:val="false"/>
          <w:color w:val="000000"/>
          <w:sz w:val="28"/>
        </w:rPr>
        <w:t>
      28. Контроль и учет материалов исследования:</w:t>
      </w:r>
    </w:p>
    <w:bookmarkEnd w:id="1054"/>
    <w:bookmarkStart w:name="z1070" w:id="1055"/>
    <w:p>
      <w:pPr>
        <w:spacing w:after="0"/>
        <w:ind w:left="0"/>
        <w:jc w:val="both"/>
      </w:pPr>
      <w:r>
        <w:rPr>
          <w:rFonts w:ascii="Times New Roman"/>
          <w:b w:val="false"/>
          <w:i w:val="false"/>
          <w:color w:val="000000"/>
          <w:sz w:val="28"/>
        </w:rPr>
        <w:t>
      1) иметь в наличии процедуры, обеспечивающие своевременную доставку на места материалов, относящихся к исследованию. Следует поддерживать целостность, стабильность во время транспортировки, поэтому крайне важно использовать надежные средства транспортировки и порядок сохранности документов. Важно иметь четко определенные процедуры для транспортировки, а также задачи для исполнителей;</w:t>
      </w:r>
    </w:p>
    <w:bookmarkEnd w:id="1055"/>
    <w:bookmarkStart w:name="z1071" w:id="1056"/>
    <w:p>
      <w:pPr>
        <w:spacing w:after="0"/>
        <w:ind w:left="0"/>
        <w:jc w:val="both"/>
      </w:pPr>
      <w:r>
        <w:rPr>
          <w:rFonts w:ascii="Times New Roman"/>
          <w:b w:val="false"/>
          <w:i w:val="false"/>
          <w:color w:val="000000"/>
          <w:sz w:val="28"/>
        </w:rPr>
        <w:t>
      2) каждая отправка материала исследования сопровождается соответствующей документацией, чтобы соответствовать каким-либо применяемым законодательным требованиям, например, таможенному законодательству, законодательству о здравоохранении и безопасности. Такая документация предоставляет важную информацию, достаточную для установления пригодности к использованию по назначению по прибытии на место. Эти вопросы решается до отгрузки;</w:t>
      </w:r>
    </w:p>
    <w:bookmarkEnd w:id="1056"/>
    <w:bookmarkStart w:name="z1072" w:id="1057"/>
    <w:p>
      <w:pPr>
        <w:spacing w:after="0"/>
        <w:ind w:left="0"/>
        <w:jc w:val="both"/>
      </w:pPr>
      <w:r>
        <w:rPr>
          <w:rFonts w:ascii="Times New Roman"/>
          <w:b w:val="false"/>
          <w:i w:val="false"/>
          <w:color w:val="000000"/>
          <w:sz w:val="28"/>
        </w:rPr>
        <w:t>
      3) если материалы исследования транспортируются между площадками в одной и той же грузовой партии, важно, чтобы они были соответствующим образом разделены и идентифицированы, во избежание путаницы или перекрестного загрязнения. Это особенно важно, если вместе транспортируются материалы более чем, одного исследования;</w:t>
      </w:r>
    </w:p>
    <w:bookmarkEnd w:id="1057"/>
    <w:bookmarkStart w:name="z1073" w:id="1058"/>
    <w:p>
      <w:pPr>
        <w:spacing w:after="0"/>
        <w:ind w:left="0"/>
        <w:jc w:val="both"/>
      </w:pPr>
      <w:r>
        <w:rPr>
          <w:rFonts w:ascii="Times New Roman"/>
          <w:b w:val="false"/>
          <w:i w:val="false"/>
          <w:color w:val="000000"/>
          <w:sz w:val="28"/>
        </w:rPr>
        <w:t>
      4) если во время транспортировки условия окружающей среды оказывают негативное влияние на транспортируемые материалы, следует установить процедуры для сохранения их целостности. Требуется ведение мониторинга для подтверждения, что требуемые условия поддерживаются;</w:t>
      </w:r>
    </w:p>
    <w:bookmarkEnd w:id="1058"/>
    <w:bookmarkStart w:name="z1074" w:id="1059"/>
    <w:p>
      <w:pPr>
        <w:spacing w:after="0"/>
        <w:ind w:left="0"/>
        <w:jc w:val="both"/>
      </w:pPr>
      <w:r>
        <w:rPr>
          <w:rFonts w:ascii="Times New Roman"/>
          <w:b w:val="false"/>
          <w:i w:val="false"/>
          <w:color w:val="000000"/>
          <w:sz w:val="28"/>
        </w:rPr>
        <w:t>
      5) следует уделять внимание хранению, возврату или утилизации избыточных исследуемых или эталонных элементов, используемых на местах.</w:t>
      </w:r>
    </w:p>
    <w:bookmarkEnd w:id="1059"/>
    <w:bookmarkStart w:name="z1075" w:id="1060"/>
    <w:p>
      <w:pPr>
        <w:spacing w:after="0"/>
        <w:ind w:left="0"/>
        <w:jc w:val="both"/>
      </w:pPr>
      <w:r>
        <w:rPr>
          <w:rFonts w:ascii="Times New Roman"/>
          <w:b w:val="false"/>
          <w:i w:val="false"/>
          <w:color w:val="000000"/>
          <w:sz w:val="28"/>
        </w:rPr>
        <w:t>
      29. Для каждого многоцентрового исследования следует составлять единый заключительный отчет. Заключительный отчет включает данные по всем фазам исследования. Ведущему исследователю следует составлять отчет, заверенный подписью и с указанием даты, в отношении порученной ему фазы для включения в заключительный отчет. В готовом виде такие отчеты имеет доказательство проведения соответствующего мониторинга ОК на этой испытательной площадке и содержать достаточный комментарий, чтобы руководитель исследования мог составить действительный заключительный отчет по всему исследованию. В качестве альтернативы, необработанные данные передаются от ведущего исследователя руководителю исследования, которому следует убедиться, что эти данные представлены в заключительном отчете. Заключительный отчет, составленный таким образом, содержит указание о ведущем исследователе и фазе, за которую они отвечают.</w:t>
      </w:r>
    </w:p>
    <w:bookmarkEnd w:id="1060"/>
    <w:bookmarkStart w:name="z1076" w:id="1061"/>
    <w:p>
      <w:pPr>
        <w:spacing w:after="0"/>
        <w:ind w:left="0"/>
        <w:jc w:val="both"/>
      </w:pPr>
      <w:r>
        <w:rPr>
          <w:rFonts w:ascii="Times New Roman"/>
          <w:b w:val="false"/>
          <w:i w:val="false"/>
          <w:color w:val="000000"/>
          <w:sz w:val="28"/>
        </w:rPr>
        <w:t>
      30. Ведущие исследователи указывают, в каком объеме работа, за которую они отвечают, соответствует Стандарту, и представить доказательство проведения инспекций по ОК на этой испытательной площадке. Это включается непосредственно в заключительный отчет либо требуемые данные выделяются и вставляются в заявление руководителя исследования следовать Стандарту и в заключение СОК в заключительном отчете. При этом следует дать ссылку на источник и место его хранения.</w:t>
      </w:r>
    </w:p>
    <w:bookmarkEnd w:id="1061"/>
    <w:bookmarkStart w:name="z1077" w:id="1062"/>
    <w:p>
      <w:pPr>
        <w:spacing w:after="0"/>
        <w:ind w:left="0"/>
        <w:jc w:val="both"/>
      </w:pPr>
      <w:r>
        <w:rPr>
          <w:rFonts w:ascii="Times New Roman"/>
          <w:b w:val="false"/>
          <w:i w:val="false"/>
          <w:color w:val="000000"/>
          <w:sz w:val="28"/>
        </w:rPr>
        <w:t>
      31. Руководитель исследования подписывает и датирует заключительный отчет, чтобы подтвердить свою уполномоченность за правильности всех данных. Следование Стандарту всегда указывается с помощью ссылки на Стандарт и правовые акты, соответствие которым обозначается. Данное заявление о соответствии распространяется на все фазы исследования и согласовывается с информацией, представленной в заявлениях ведущего исследователя. В заключительном отчете также указываются площадки, не соответствующие Стандарту.</w:t>
      </w:r>
    </w:p>
    <w:bookmarkEnd w:id="1062"/>
    <w:bookmarkStart w:name="z1078" w:id="1063"/>
    <w:p>
      <w:pPr>
        <w:spacing w:after="0"/>
        <w:ind w:left="0"/>
        <w:jc w:val="both"/>
      </w:pPr>
      <w:r>
        <w:rPr>
          <w:rFonts w:ascii="Times New Roman"/>
          <w:b w:val="false"/>
          <w:i w:val="false"/>
          <w:color w:val="000000"/>
          <w:sz w:val="28"/>
        </w:rPr>
        <w:t>
      32. В заключительном отчете указывается место хранения протокола, плана, программы исследования, проб исследуемых и эталонных веществ, образцов, необработанных данных и заключительного отчета. Отчеты, составленные ведущими исследователями, предоставляет информацию, касающуюся сохранности материалов, за которые они отвечают.</w:t>
      </w:r>
    </w:p>
    <w:bookmarkEnd w:id="1063"/>
    <w:bookmarkStart w:name="z1079" w:id="1064"/>
    <w:p>
      <w:pPr>
        <w:spacing w:after="0"/>
        <w:ind w:left="0"/>
        <w:jc w:val="both"/>
      </w:pPr>
      <w:r>
        <w:rPr>
          <w:rFonts w:ascii="Times New Roman"/>
          <w:b w:val="false"/>
          <w:i w:val="false"/>
          <w:color w:val="000000"/>
          <w:sz w:val="28"/>
        </w:rPr>
        <w:t>
      33. Поправки в заключительный отчет вносят только руководитель исследования. Если нужная поправка касается фазы, проведенной на какой-либо испытательной площадке, руководитель исследования связывается с ведущим исследователем, чтобы согласовать соответствующие корректирующие действия. Эти корректирующие действия оформляются документально в полном объеме.</w:t>
      </w:r>
    </w:p>
    <w:bookmarkEnd w:id="1064"/>
    <w:bookmarkStart w:name="z1080" w:id="1065"/>
    <w:p>
      <w:pPr>
        <w:spacing w:after="0"/>
        <w:ind w:left="0"/>
        <w:jc w:val="both"/>
      </w:pPr>
      <w:r>
        <w:rPr>
          <w:rFonts w:ascii="Times New Roman"/>
          <w:b w:val="false"/>
          <w:i w:val="false"/>
          <w:color w:val="000000"/>
          <w:sz w:val="28"/>
        </w:rPr>
        <w:t>
      34. Если отчет подготавливает ведущий исследователь, то данный отчет соответствует тем же требованиям, что и итоговый отчет.</w:t>
      </w:r>
    </w:p>
    <w:bookmarkEnd w:id="1065"/>
    <w:bookmarkStart w:name="z1081" w:id="1066"/>
    <w:p>
      <w:pPr>
        <w:spacing w:after="0"/>
        <w:ind w:left="0"/>
        <w:jc w:val="both"/>
      </w:pPr>
      <w:r>
        <w:rPr>
          <w:rFonts w:ascii="Times New Roman"/>
          <w:b w:val="false"/>
          <w:i w:val="false"/>
          <w:color w:val="000000"/>
          <w:sz w:val="28"/>
        </w:rPr>
        <w:t>
      35. Стандарт требует, чтобы были установлены и соблюдались соответствующие и технически утвержденные СОП. Ниже приведены примерные процедуры, характерные для многоцентровых исследований:</w:t>
      </w:r>
    </w:p>
    <w:bookmarkEnd w:id="1066"/>
    <w:bookmarkStart w:name="z1082" w:id="1067"/>
    <w:p>
      <w:pPr>
        <w:spacing w:after="0"/>
        <w:ind w:left="0"/>
        <w:jc w:val="both"/>
      </w:pPr>
      <w:r>
        <w:rPr>
          <w:rFonts w:ascii="Times New Roman"/>
          <w:b w:val="false"/>
          <w:i w:val="false"/>
          <w:color w:val="000000"/>
          <w:sz w:val="28"/>
        </w:rPr>
        <w:t>
      1) выбор и мониторинг испытательных площадок;</w:t>
      </w:r>
    </w:p>
    <w:bookmarkEnd w:id="1067"/>
    <w:bookmarkStart w:name="z1083" w:id="1068"/>
    <w:p>
      <w:pPr>
        <w:spacing w:after="0"/>
        <w:ind w:left="0"/>
        <w:jc w:val="both"/>
      </w:pPr>
      <w:r>
        <w:rPr>
          <w:rFonts w:ascii="Times New Roman"/>
          <w:b w:val="false"/>
          <w:i w:val="false"/>
          <w:color w:val="000000"/>
          <w:sz w:val="28"/>
        </w:rPr>
        <w:t>
      2) назначение и замена ведущего исследователя;</w:t>
      </w:r>
    </w:p>
    <w:bookmarkEnd w:id="1068"/>
    <w:bookmarkStart w:name="z1084" w:id="1069"/>
    <w:p>
      <w:pPr>
        <w:spacing w:after="0"/>
        <w:ind w:left="0"/>
        <w:jc w:val="both"/>
      </w:pPr>
      <w:r>
        <w:rPr>
          <w:rFonts w:ascii="Times New Roman"/>
          <w:b w:val="false"/>
          <w:i w:val="false"/>
          <w:color w:val="000000"/>
          <w:sz w:val="28"/>
        </w:rPr>
        <w:t>
      3) передача данных, образцов и проб между площадками;</w:t>
      </w:r>
    </w:p>
    <w:bookmarkEnd w:id="1069"/>
    <w:bookmarkStart w:name="z1085" w:id="1070"/>
    <w:p>
      <w:pPr>
        <w:spacing w:after="0"/>
        <w:ind w:left="0"/>
        <w:jc w:val="both"/>
      </w:pPr>
      <w:r>
        <w:rPr>
          <w:rFonts w:ascii="Times New Roman"/>
          <w:b w:val="false"/>
          <w:i w:val="false"/>
          <w:color w:val="000000"/>
          <w:sz w:val="28"/>
        </w:rPr>
        <w:t>
      4) проверка правильности или утверждение переводов протокола, плана, программы исследований или СОП на иностранный язык;</w:t>
      </w:r>
    </w:p>
    <w:bookmarkEnd w:id="1070"/>
    <w:bookmarkStart w:name="z1086" w:id="1071"/>
    <w:p>
      <w:pPr>
        <w:spacing w:after="0"/>
        <w:ind w:left="0"/>
        <w:jc w:val="both"/>
      </w:pPr>
      <w:r>
        <w:rPr>
          <w:rFonts w:ascii="Times New Roman"/>
          <w:b w:val="false"/>
          <w:i w:val="false"/>
          <w:color w:val="000000"/>
          <w:sz w:val="28"/>
        </w:rPr>
        <w:t>
      5) хранение, возврат или утилизации исследуемых и эталонных веществ, используемых на отдаленных испытательных площадках.</w:t>
      </w:r>
    </w:p>
    <w:bookmarkEnd w:id="1071"/>
    <w:bookmarkStart w:name="z1087" w:id="1072"/>
    <w:p>
      <w:pPr>
        <w:spacing w:after="0"/>
        <w:ind w:left="0"/>
        <w:jc w:val="both"/>
      </w:pPr>
      <w:r>
        <w:rPr>
          <w:rFonts w:ascii="Times New Roman"/>
          <w:b w:val="false"/>
          <w:i w:val="false"/>
          <w:color w:val="000000"/>
          <w:sz w:val="28"/>
        </w:rPr>
        <w:t>
      36. Стандарт требует, чтобы СОП находились непосредственно в распоряжении персонала исследования при осуществлении деятельности, независимо от того, выполняют ли они работу в данный момент.</w:t>
      </w:r>
    </w:p>
    <w:bookmarkEnd w:id="1072"/>
    <w:bookmarkStart w:name="z1088" w:id="1073"/>
    <w:p>
      <w:pPr>
        <w:spacing w:after="0"/>
        <w:ind w:left="0"/>
        <w:jc w:val="both"/>
      </w:pPr>
      <w:r>
        <w:rPr>
          <w:rFonts w:ascii="Times New Roman"/>
          <w:b w:val="false"/>
          <w:i w:val="false"/>
          <w:color w:val="000000"/>
          <w:sz w:val="28"/>
        </w:rPr>
        <w:t>
      37. Персонал испытательной площадки соблюдает СОП испытательной площадки. В случае необходимости соблюдения других процедур, то это требование отражается в протоколе, плане, программе исследования. Ведущий исследователь отвечает за обеспечение знания персонала испытательной площадки процедур, которые следует соблюдать, и имел доступ к соответствующей документации.</w:t>
      </w:r>
    </w:p>
    <w:bookmarkEnd w:id="1073"/>
    <w:bookmarkStart w:name="z1089" w:id="1074"/>
    <w:p>
      <w:pPr>
        <w:spacing w:after="0"/>
        <w:ind w:left="0"/>
        <w:jc w:val="both"/>
      </w:pPr>
      <w:r>
        <w:rPr>
          <w:rFonts w:ascii="Times New Roman"/>
          <w:b w:val="false"/>
          <w:i w:val="false"/>
          <w:color w:val="000000"/>
          <w:sz w:val="28"/>
        </w:rPr>
        <w:t>
      38. В случае необходимости соблюдения процедур, представленных руководством испытательной лаборатории, персоналом испытательной площадки, руководство испытательной площадки дает на это письменное согласие.</w:t>
      </w:r>
    </w:p>
    <w:bookmarkEnd w:id="1074"/>
    <w:bookmarkStart w:name="z1090" w:id="1075"/>
    <w:p>
      <w:pPr>
        <w:spacing w:after="0"/>
        <w:ind w:left="0"/>
        <w:jc w:val="both"/>
      </w:pPr>
      <w:r>
        <w:rPr>
          <w:rFonts w:ascii="Times New Roman"/>
          <w:b w:val="false"/>
          <w:i w:val="false"/>
          <w:color w:val="000000"/>
          <w:sz w:val="28"/>
        </w:rPr>
        <w:t>
      39. Если СОП испытательной лаборатории были изданы для использования на испытательной площадке, руководство испытательной лаборатории обеспечивает, чтобы какие-либо последующие редакции СОП, выпускаемые во время исследования, направлялись также и на испытательную площадку, а старые версии изымались из использования. Ведущий исследователь обеспечивает, чтобы весь персонал испытательной площадки знал о пересмотре СОП и имел доступ только к текущей версии.</w:t>
      </w:r>
    </w:p>
    <w:bookmarkEnd w:id="1075"/>
    <w:bookmarkStart w:name="z1091" w:id="1076"/>
    <w:p>
      <w:pPr>
        <w:spacing w:after="0"/>
        <w:ind w:left="0"/>
        <w:jc w:val="both"/>
      </w:pPr>
      <w:r>
        <w:rPr>
          <w:rFonts w:ascii="Times New Roman"/>
          <w:b w:val="false"/>
          <w:i w:val="false"/>
          <w:color w:val="000000"/>
          <w:sz w:val="28"/>
        </w:rPr>
        <w:t>
      40. Если на испытательных площадках требуется выполнять СОП испытательной лаборатории, на другие языки. При необходимости перевода СОПа следует чтобы любые переводы тщательно проверяли, и чтобы инструкции и значение различных языковых версий оставались идентичными. Исходный язык (язык оригинала) указывается в переведенных СОП.</w:t>
      </w:r>
    </w:p>
    <w:bookmarkEnd w:id="1076"/>
    <w:bookmarkStart w:name="z1092" w:id="1077"/>
    <w:p>
      <w:pPr>
        <w:spacing w:after="0"/>
        <w:ind w:left="0"/>
        <w:jc w:val="both"/>
      </w:pPr>
      <w:r>
        <w:rPr>
          <w:rFonts w:ascii="Times New Roman"/>
          <w:b w:val="false"/>
          <w:i w:val="false"/>
          <w:color w:val="000000"/>
          <w:sz w:val="28"/>
        </w:rPr>
        <w:t>
      41. Во время проведения многоцентровых исследований следует уделять внимание временному хранению материалов. Такие помещения для хранения защищают целостность их содержимого и надежные. Если данные передают из испытательной лаборатории, следует удостовериться, что площадка имеет возможность легко проводить поиск данных, которые требуются для анализа.</w:t>
      </w:r>
    </w:p>
    <w:bookmarkEnd w:id="1077"/>
    <w:bookmarkStart w:name="z1093" w:id="1078"/>
    <w:p>
      <w:pPr>
        <w:spacing w:after="0"/>
        <w:ind w:left="0"/>
        <w:jc w:val="both"/>
      </w:pPr>
      <w:r>
        <w:rPr>
          <w:rFonts w:ascii="Times New Roman"/>
          <w:b w:val="false"/>
          <w:i w:val="false"/>
          <w:color w:val="000000"/>
          <w:sz w:val="28"/>
        </w:rPr>
        <w:t>
      42. Способ хранения регистрационных записей и материалов осуществляется в соответствии со Стандартом. Если помещения для хранения на площадке не удовлетворяют требования Стандарта, регистрационные записи и материалы следует передавать в архив, соответствующий требованиям Стандарта.</w:t>
      </w:r>
    </w:p>
    <w:bookmarkEnd w:id="1078"/>
    <w:bookmarkStart w:name="z1094" w:id="1079"/>
    <w:p>
      <w:pPr>
        <w:spacing w:after="0"/>
        <w:ind w:left="0"/>
        <w:jc w:val="both"/>
      </w:pPr>
      <w:r>
        <w:rPr>
          <w:rFonts w:ascii="Times New Roman"/>
          <w:b w:val="false"/>
          <w:i w:val="false"/>
          <w:color w:val="000000"/>
          <w:sz w:val="28"/>
        </w:rPr>
        <w:t>
      43. Руководство испытательной площадки обеспечивает, чтобы имелись соответствующие документы, демонстрирующие участие испытательной площадки в исследовании.</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1096" w:id="1080"/>
    <w:p>
      <w:pPr>
        <w:spacing w:after="0"/>
        <w:ind w:left="0"/>
        <w:jc w:val="left"/>
      </w:pPr>
      <w:r>
        <w:rPr>
          <w:rFonts w:ascii="Times New Roman"/>
          <w:b/>
          <w:i w:val="false"/>
          <w:color w:val="000000"/>
        </w:rPr>
        <w:t xml:space="preserve"> Руководство по применению принципов Стандарта к компьютеризированным системам</w:t>
      </w:r>
    </w:p>
    <w:bookmarkEnd w:id="1080"/>
    <w:bookmarkStart w:name="z1097" w:id="1081"/>
    <w:p>
      <w:pPr>
        <w:spacing w:after="0"/>
        <w:ind w:left="0"/>
        <w:jc w:val="both"/>
      </w:pPr>
      <w:r>
        <w:rPr>
          <w:rFonts w:ascii="Times New Roman"/>
          <w:b w:val="false"/>
          <w:i w:val="false"/>
          <w:color w:val="000000"/>
          <w:sz w:val="28"/>
        </w:rPr>
        <w:t>
      1. Компьютеризированные системы, связанные с проведением исследований, предназначенных для представления в уполномоченный орган, имеет соответствующую конструкцию, достаточную мощность и подходить для реализации их предназначения. Системы разрабатываются, валидируются и эксплуатируются в соответствии с принципами Стандарта, кроме того, устанавливаются соответствующие процедуры контроля и технического обслуживания данных систем. Подтверждение того, что компьютеризированная система соответствует своему назначению, имеет фундаментальное значение и называется "компьютерная валидация".</w:t>
      </w:r>
    </w:p>
    <w:bookmarkEnd w:id="1081"/>
    <w:bookmarkStart w:name="z1098" w:id="1082"/>
    <w:p>
      <w:pPr>
        <w:spacing w:after="0"/>
        <w:ind w:left="0"/>
        <w:jc w:val="both"/>
      </w:pPr>
      <w:r>
        <w:rPr>
          <w:rFonts w:ascii="Times New Roman"/>
          <w:b w:val="false"/>
          <w:i w:val="false"/>
          <w:color w:val="000000"/>
          <w:sz w:val="28"/>
        </w:rPr>
        <w:t>
      2. Процесс валидации обеспечивает высокую степень уверенности в соответствии компьютеризированной системы заранее заданным техническим требованиям. Валидация осуществляется до начала эксплуатации системы и проводиться надлежащим образом только с помощью разработанного плана валидации.</w:t>
      </w:r>
    </w:p>
    <w:bookmarkEnd w:id="1082"/>
    <w:bookmarkStart w:name="z1099" w:id="1083"/>
    <w:p>
      <w:pPr>
        <w:spacing w:after="0"/>
        <w:ind w:left="0"/>
        <w:jc w:val="both"/>
      </w:pPr>
      <w:r>
        <w:rPr>
          <w:rFonts w:ascii="Times New Roman"/>
          <w:b w:val="false"/>
          <w:i w:val="false"/>
          <w:color w:val="000000"/>
          <w:sz w:val="28"/>
        </w:rPr>
        <w:t>
      3. При применении принципов Стандарта к вышеописанным компьютеризированным системам принимаются во внимание следующие требования:</w:t>
      </w:r>
    </w:p>
    <w:bookmarkEnd w:id="1083"/>
    <w:bookmarkStart w:name="z1100" w:id="1084"/>
    <w:p>
      <w:pPr>
        <w:spacing w:after="0"/>
        <w:ind w:left="0"/>
        <w:jc w:val="both"/>
      </w:pPr>
      <w:r>
        <w:rPr>
          <w:rFonts w:ascii="Times New Roman"/>
          <w:b w:val="false"/>
          <w:i w:val="false"/>
          <w:color w:val="000000"/>
          <w:sz w:val="28"/>
        </w:rPr>
        <w:t>
      1) руководство испытательной лаборатории отвечает за соблюдение принципов Стандарта, включая назначение на должность и эффективную организацию достаточного числа квалифицированных и опытных сотрудников, а также обязано обеспечивать, чтобы помещения, оборудование и процедуры обработки данных находились на соответствующем уровне.</w:t>
      </w:r>
    </w:p>
    <w:bookmarkEnd w:id="1084"/>
    <w:bookmarkStart w:name="z1101" w:id="1085"/>
    <w:p>
      <w:pPr>
        <w:spacing w:after="0"/>
        <w:ind w:left="0"/>
        <w:jc w:val="both"/>
      </w:pPr>
      <w:r>
        <w:rPr>
          <w:rFonts w:ascii="Times New Roman"/>
          <w:b w:val="false"/>
          <w:i w:val="false"/>
          <w:color w:val="000000"/>
          <w:sz w:val="28"/>
        </w:rPr>
        <w:t>
      Руководство испытательной лаборатории отвечает за обеспечение соответствия компьютеризированных систем предполагаемому назначению. Оно устанавливает принципы организации и процедуры в области автоматизации, гарантирующие разработку, валидацию, эксплуатацию и обслуживание систем в соответствии с принципами Стандарта.</w:t>
      </w:r>
    </w:p>
    <w:bookmarkEnd w:id="1085"/>
    <w:bookmarkStart w:name="z1102" w:id="1086"/>
    <w:p>
      <w:pPr>
        <w:spacing w:after="0"/>
        <w:ind w:left="0"/>
        <w:jc w:val="both"/>
      </w:pPr>
      <w:r>
        <w:rPr>
          <w:rFonts w:ascii="Times New Roman"/>
          <w:b w:val="false"/>
          <w:i w:val="false"/>
          <w:color w:val="000000"/>
          <w:sz w:val="28"/>
        </w:rPr>
        <w:t>
      Руководство испытательной лаборатории обеспечивает ясность и соблюдение данных принципов организации и процедур, а также эффективный контроль выполнения данных требований.</w:t>
      </w:r>
    </w:p>
    <w:bookmarkEnd w:id="1086"/>
    <w:bookmarkStart w:name="z1103" w:id="1087"/>
    <w:p>
      <w:pPr>
        <w:spacing w:after="0"/>
        <w:ind w:left="0"/>
        <w:jc w:val="both"/>
      </w:pPr>
      <w:r>
        <w:rPr>
          <w:rFonts w:ascii="Times New Roman"/>
          <w:b w:val="false"/>
          <w:i w:val="false"/>
          <w:color w:val="000000"/>
          <w:sz w:val="28"/>
        </w:rPr>
        <w:t>
      Руководство испытательной лаборатории назначает сотрудников, несущих конкретную уполномоченность за разработку, валидацию, эксплуатацию и обслуживание компьютеризированных систем. Данный персонал имеет соответствующую квалификацию, опыт и достаточную подготовку для выполнения своих функций в соответствии с принципами Стандарта.</w:t>
      </w:r>
    </w:p>
    <w:bookmarkEnd w:id="1087"/>
    <w:bookmarkStart w:name="z1104" w:id="1088"/>
    <w:p>
      <w:pPr>
        <w:spacing w:after="0"/>
        <w:ind w:left="0"/>
        <w:jc w:val="both"/>
      </w:pPr>
      <w:r>
        <w:rPr>
          <w:rFonts w:ascii="Times New Roman"/>
          <w:b w:val="false"/>
          <w:i w:val="false"/>
          <w:color w:val="000000"/>
          <w:sz w:val="28"/>
        </w:rPr>
        <w:t>
      2) руководители исследования согласно принципам Стандарта отвечает за общее проведение исследований.</w:t>
      </w:r>
    </w:p>
    <w:bookmarkEnd w:id="1088"/>
    <w:bookmarkStart w:name="z1105" w:id="1089"/>
    <w:p>
      <w:pPr>
        <w:spacing w:after="0"/>
        <w:ind w:left="0"/>
        <w:jc w:val="both"/>
      </w:pPr>
      <w:r>
        <w:rPr>
          <w:rFonts w:ascii="Times New Roman"/>
          <w:b w:val="false"/>
          <w:i w:val="false"/>
          <w:color w:val="000000"/>
          <w:sz w:val="28"/>
        </w:rPr>
        <w:t>
      Поскольку для проведения многих подобных исследований будут использоваться компьютеризированные системы, важно, чтобы руководители исследования в полной мере их использовали в исследовании для достижения определенной цели.</w:t>
      </w:r>
    </w:p>
    <w:bookmarkEnd w:id="1089"/>
    <w:bookmarkStart w:name="z1106" w:id="1090"/>
    <w:p>
      <w:pPr>
        <w:spacing w:after="0"/>
        <w:ind w:left="0"/>
        <w:jc w:val="both"/>
      </w:pPr>
      <w:r>
        <w:rPr>
          <w:rFonts w:ascii="Times New Roman"/>
          <w:b w:val="false"/>
          <w:i w:val="false"/>
          <w:color w:val="000000"/>
          <w:sz w:val="28"/>
        </w:rPr>
        <w:t>
      Уполномоченность руководителя исследования относительно данных, полученных в электронном виде, идентична при работе с данными, хранящимися на бумажном носителе. Кроме того, в исследованиях следует использовать только системы, прошедшие процедуру валидации.</w:t>
      </w:r>
    </w:p>
    <w:bookmarkEnd w:id="1090"/>
    <w:bookmarkStart w:name="z1107" w:id="1091"/>
    <w:p>
      <w:pPr>
        <w:spacing w:after="0"/>
        <w:ind w:left="0"/>
        <w:jc w:val="both"/>
      </w:pPr>
      <w:r>
        <w:rPr>
          <w:rFonts w:ascii="Times New Roman"/>
          <w:b w:val="false"/>
          <w:i w:val="false"/>
          <w:color w:val="000000"/>
          <w:sz w:val="28"/>
        </w:rPr>
        <w:t>
      3) весь персонал, использующий компьютеризированные системы, отвечает за эксплуатацию данных систем в соответствии с принципами Стандарта. Сотрудники, которые разрабатывают, валидируют, эксплуатируют и обслуживают компьютеризированные системы, отвечают за выполнение вышеперечисленных мероприятий в соответствии с принципами Стандарта и установленными техническими нормами;</w:t>
      </w:r>
    </w:p>
    <w:bookmarkEnd w:id="1091"/>
    <w:bookmarkStart w:name="z1108" w:id="1092"/>
    <w:p>
      <w:pPr>
        <w:spacing w:after="0"/>
        <w:ind w:left="0"/>
        <w:jc w:val="both"/>
      </w:pPr>
      <w:r>
        <w:rPr>
          <w:rFonts w:ascii="Times New Roman"/>
          <w:b w:val="false"/>
          <w:i w:val="false"/>
          <w:color w:val="000000"/>
          <w:sz w:val="28"/>
        </w:rPr>
        <w:t>
      4) обязательства и уполномоченность СОК в отношении компьютеризированных систем определяется руководством испытательной лаборатории и описываться служебными инструкциями и процедурами. Программа обеспечения качества включает в себя процедуры и методы, гарантирующие соответствие всех этапов валидации, эксплуатации и технического обслуживания компьютеризированных систем установленным стандартам. Кроме того, программа включает в себя процедуры и методы установки приобретенных систем и процесс разработки компьютеризированных систем внутренними силами организации.</w:t>
      </w:r>
    </w:p>
    <w:bookmarkEnd w:id="1092"/>
    <w:bookmarkStart w:name="z1109" w:id="1093"/>
    <w:p>
      <w:pPr>
        <w:spacing w:after="0"/>
        <w:ind w:left="0"/>
        <w:jc w:val="both"/>
      </w:pPr>
      <w:r>
        <w:rPr>
          <w:rFonts w:ascii="Times New Roman"/>
          <w:b w:val="false"/>
          <w:i w:val="false"/>
          <w:color w:val="000000"/>
          <w:sz w:val="28"/>
        </w:rPr>
        <w:t>
      Персонал СОК призван контролировать соответствие компьютеризированных систем принципам Стандарта, и обучен специальным (профильным) техническим навыкам. Сотрудники СОК ознакомляются с такими системами в достаточной степени, чтобы давать в отношении них объективные замечания; в некоторых случаях при необходимости назначаются профильный аудитор.</w:t>
      </w:r>
    </w:p>
    <w:bookmarkEnd w:id="1093"/>
    <w:bookmarkStart w:name="z1110" w:id="1094"/>
    <w:p>
      <w:pPr>
        <w:spacing w:after="0"/>
        <w:ind w:left="0"/>
        <w:jc w:val="both"/>
      </w:pPr>
      <w:r>
        <w:rPr>
          <w:rFonts w:ascii="Times New Roman"/>
          <w:b w:val="false"/>
          <w:i w:val="false"/>
          <w:color w:val="000000"/>
          <w:sz w:val="28"/>
        </w:rPr>
        <w:t>
      Для обзора данных персонал СОК имеет прямой доступ "только для чтения" к данным, хранящимся в компьютеризированной системе.</w:t>
      </w:r>
    </w:p>
    <w:bookmarkEnd w:id="1094"/>
    <w:bookmarkStart w:name="z1111" w:id="1095"/>
    <w:p>
      <w:pPr>
        <w:spacing w:after="0"/>
        <w:ind w:left="0"/>
        <w:jc w:val="both"/>
      </w:pPr>
      <w:r>
        <w:rPr>
          <w:rFonts w:ascii="Times New Roman"/>
          <w:b w:val="false"/>
          <w:i w:val="false"/>
          <w:color w:val="000000"/>
          <w:sz w:val="28"/>
        </w:rPr>
        <w:t>
      4. Принципы Стандарта требуют, чтобы испытательная лаборатория имела квалифицированный и опытный персонал надлежащего уровня, документированные учебные программы как для обучения на рабочем месте, так и, при необходимости, на внешних учебных курсах. Записи о подобном обучении сохраняются.</w:t>
      </w:r>
    </w:p>
    <w:bookmarkEnd w:id="1095"/>
    <w:bookmarkStart w:name="z1112" w:id="1096"/>
    <w:p>
      <w:pPr>
        <w:spacing w:after="0"/>
        <w:ind w:left="0"/>
        <w:jc w:val="both"/>
      </w:pPr>
      <w:r>
        <w:rPr>
          <w:rFonts w:ascii="Times New Roman"/>
          <w:b w:val="false"/>
          <w:i w:val="false"/>
          <w:color w:val="000000"/>
          <w:sz w:val="28"/>
        </w:rPr>
        <w:t>
      Вышеуказанные положения применяет весь персонал, использующий компьютеризированные системы.</w:t>
      </w:r>
    </w:p>
    <w:bookmarkEnd w:id="1096"/>
    <w:bookmarkStart w:name="z1113" w:id="1097"/>
    <w:p>
      <w:pPr>
        <w:spacing w:after="0"/>
        <w:ind w:left="0"/>
        <w:jc w:val="both"/>
      </w:pPr>
      <w:r>
        <w:rPr>
          <w:rFonts w:ascii="Times New Roman"/>
          <w:b w:val="false"/>
          <w:i w:val="false"/>
          <w:color w:val="000000"/>
          <w:sz w:val="28"/>
        </w:rPr>
        <w:t>
      5. Для проведения исследований в соответствии с требованиями принципов Стандарта требуется наличие соответствующих помещений и оборудования. Рассматривая компьютеризированные системы, следует принять во внимание ряд конкретных положений:</w:t>
      </w:r>
    </w:p>
    <w:bookmarkEnd w:id="1097"/>
    <w:bookmarkStart w:name="z1114" w:id="1098"/>
    <w:p>
      <w:pPr>
        <w:spacing w:after="0"/>
        <w:ind w:left="0"/>
        <w:jc w:val="both"/>
      </w:pPr>
      <w:r>
        <w:rPr>
          <w:rFonts w:ascii="Times New Roman"/>
          <w:b w:val="false"/>
          <w:i w:val="false"/>
          <w:color w:val="000000"/>
          <w:sz w:val="28"/>
        </w:rPr>
        <w:t>
      1) необходимо уделять соответствующее внимание физическому расположению компьютерного аппаратного обеспечения, периферийных компонентов, коммуникационного оборудования и электронных носителей информации. Следует избегать экстремальных температур и влажности, пыли, электромагнитных помех и близости к кабелям высокого напряжения, кроме случаев, когда оборудование специально предназначено для работы в подобных условиях.</w:t>
      </w:r>
    </w:p>
    <w:bookmarkEnd w:id="1098"/>
    <w:bookmarkStart w:name="z1115" w:id="1099"/>
    <w:p>
      <w:pPr>
        <w:spacing w:after="0"/>
        <w:ind w:left="0"/>
        <w:jc w:val="both"/>
      </w:pPr>
      <w:r>
        <w:rPr>
          <w:rFonts w:ascii="Times New Roman"/>
          <w:b w:val="false"/>
          <w:i w:val="false"/>
          <w:color w:val="000000"/>
          <w:sz w:val="28"/>
        </w:rPr>
        <w:t>
      Также следует уделять внимание электропитанию компьютерного оборудования и, при необходимости, резервному копированию или бесперебойному питанию компьютеризированных систем, неисправность которых повлияет на результаты исследования.</w:t>
      </w:r>
    </w:p>
    <w:bookmarkEnd w:id="1099"/>
    <w:bookmarkStart w:name="z1116" w:id="1100"/>
    <w:p>
      <w:pPr>
        <w:spacing w:after="0"/>
        <w:ind w:left="0"/>
        <w:jc w:val="both"/>
      </w:pPr>
      <w:r>
        <w:rPr>
          <w:rFonts w:ascii="Times New Roman"/>
          <w:b w:val="false"/>
          <w:i w:val="false"/>
          <w:color w:val="000000"/>
          <w:sz w:val="28"/>
        </w:rPr>
        <w:t>
      Необходимо иметь соответствующие помещения для безопасного хранения электронных носителей информации;</w:t>
      </w:r>
    </w:p>
    <w:bookmarkEnd w:id="1100"/>
    <w:bookmarkStart w:name="z1117" w:id="1101"/>
    <w:p>
      <w:pPr>
        <w:spacing w:after="0"/>
        <w:ind w:left="0"/>
        <w:jc w:val="both"/>
      </w:pPr>
      <w:r>
        <w:rPr>
          <w:rFonts w:ascii="Times New Roman"/>
          <w:b w:val="false"/>
          <w:i w:val="false"/>
          <w:color w:val="000000"/>
          <w:sz w:val="28"/>
        </w:rPr>
        <w:t>
      2) компьютеризированная система определяется как группа аппаратных компонентов и соответствующего программного обеспечения, разработанная и собранная для выполнения определенной функции или группы функций.</w:t>
      </w:r>
    </w:p>
    <w:bookmarkEnd w:id="1101"/>
    <w:bookmarkStart w:name="z1118" w:id="1102"/>
    <w:p>
      <w:pPr>
        <w:spacing w:after="0"/>
        <w:ind w:left="0"/>
        <w:jc w:val="both"/>
      </w:pPr>
      <w:r>
        <w:rPr>
          <w:rFonts w:ascii="Times New Roman"/>
          <w:b w:val="false"/>
          <w:i w:val="false"/>
          <w:color w:val="000000"/>
          <w:sz w:val="28"/>
        </w:rPr>
        <w:t>
      К аппаратному обеспечению относятся физические компоненты компьютеризированной системы, состоящие из самого компьютера и периферийных компонентов.</w:t>
      </w:r>
    </w:p>
    <w:bookmarkEnd w:id="1102"/>
    <w:bookmarkStart w:name="z1119" w:id="1103"/>
    <w:p>
      <w:pPr>
        <w:spacing w:after="0"/>
        <w:ind w:left="0"/>
        <w:jc w:val="both"/>
      </w:pPr>
      <w:r>
        <w:rPr>
          <w:rFonts w:ascii="Times New Roman"/>
          <w:b w:val="false"/>
          <w:i w:val="false"/>
          <w:color w:val="000000"/>
          <w:sz w:val="28"/>
        </w:rPr>
        <w:t>
      Программное обеспечение представляет собой программу, управляющую функционированием компьютеризированной системы.</w:t>
      </w:r>
    </w:p>
    <w:bookmarkEnd w:id="1103"/>
    <w:bookmarkStart w:name="z1120" w:id="1104"/>
    <w:p>
      <w:pPr>
        <w:spacing w:after="0"/>
        <w:ind w:left="0"/>
        <w:jc w:val="both"/>
      </w:pPr>
      <w:r>
        <w:rPr>
          <w:rFonts w:ascii="Times New Roman"/>
          <w:b w:val="false"/>
          <w:i w:val="false"/>
          <w:color w:val="000000"/>
          <w:sz w:val="28"/>
        </w:rPr>
        <w:t>
      Все принципы Стандарта, применяемые к оборудованию, в равной степени применимы и к аппаратному, и программному обеспечению.</w:t>
      </w:r>
    </w:p>
    <w:bookmarkEnd w:id="1104"/>
    <w:bookmarkStart w:name="z1121" w:id="1105"/>
    <w:p>
      <w:pPr>
        <w:spacing w:after="0"/>
        <w:ind w:left="0"/>
        <w:jc w:val="both"/>
      </w:pPr>
      <w:r>
        <w:rPr>
          <w:rFonts w:ascii="Times New Roman"/>
          <w:b w:val="false"/>
          <w:i w:val="false"/>
          <w:color w:val="000000"/>
          <w:sz w:val="28"/>
        </w:rPr>
        <w:t>
      Коммуникации, относящиеся к компьютеризированным системам, делятся на две основные категории: коммуникации между компьютерами или между компьютерами и периферийными компонентами.</w:t>
      </w:r>
    </w:p>
    <w:bookmarkEnd w:id="1105"/>
    <w:bookmarkStart w:name="z1122" w:id="1106"/>
    <w:p>
      <w:pPr>
        <w:spacing w:after="0"/>
        <w:ind w:left="0"/>
        <w:jc w:val="both"/>
      </w:pPr>
      <w:r>
        <w:rPr>
          <w:rFonts w:ascii="Times New Roman"/>
          <w:b w:val="false"/>
          <w:i w:val="false"/>
          <w:color w:val="000000"/>
          <w:sz w:val="28"/>
        </w:rPr>
        <w:t>
      Все коммуникационные линии являются потенциальными источниками ошибок, которые приводят к потере или повреждению данных. Для обеспечения безопасности и целостности системы устанавливается соответствующий контроль процессов разработки, валидации, эксплуатации и технического обслуживания компьютеризированных систем.</w:t>
      </w:r>
    </w:p>
    <w:bookmarkEnd w:id="1106"/>
    <w:bookmarkStart w:name="z1123" w:id="1107"/>
    <w:p>
      <w:pPr>
        <w:spacing w:after="0"/>
        <w:ind w:left="0"/>
        <w:jc w:val="both"/>
      </w:pPr>
      <w:r>
        <w:rPr>
          <w:rFonts w:ascii="Times New Roman"/>
          <w:b w:val="false"/>
          <w:i w:val="false"/>
          <w:color w:val="000000"/>
          <w:sz w:val="28"/>
        </w:rPr>
        <w:t>
      6. Все компьютеризированные системы следует устанавливать и обслуживать таким образом, чтобы обеспечивать непрерывность работы:</w:t>
      </w:r>
    </w:p>
    <w:bookmarkEnd w:id="1107"/>
    <w:bookmarkStart w:name="z1124" w:id="1108"/>
    <w:p>
      <w:pPr>
        <w:spacing w:after="0"/>
        <w:ind w:left="0"/>
        <w:jc w:val="both"/>
      </w:pPr>
      <w:r>
        <w:rPr>
          <w:rFonts w:ascii="Times New Roman"/>
          <w:b w:val="false"/>
          <w:i w:val="false"/>
          <w:color w:val="000000"/>
          <w:sz w:val="28"/>
        </w:rPr>
        <w:t>
      1) техническое обслуживание. Обязательно наличие документированных процедур, охватывающих как плановое профилактическое обслуживание, так и устранение неисправностей. В этих процедурах четко определяется роль и уполномоченность вовлеченного в процесс технического обслуживания персонала. В случаях, когда такие операции по сопровождению требуют изменений аппаратного и (или) программного обеспечения, возникает необходимость повторной валидации системы. В течение повседневной работы записывается информация о любых проблемах и несоответствиях в системе и любые предпринятые действия по исправлению положения;</w:t>
      </w:r>
    </w:p>
    <w:bookmarkEnd w:id="1108"/>
    <w:bookmarkStart w:name="z1125" w:id="1109"/>
    <w:p>
      <w:pPr>
        <w:spacing w:after="0"/>
        <w:ind w:left="0"/>
        <w:jc w:val="both"/>
      </w:pPr>
      <w:r>
        <w:rPr>
          <w:rFonts w:ascii="Times New Roman"/>
          <w:b w:val="false"/>
          <w:i w:val="false"/>
          <w:color w:val="000000"/>
          <w:sz w:val="28"/>
        </w:rPr>
        <w:t>
      2) аварийное восстановление. Имеется место процедуры, описывающие меры, которые следует предпринять в случае частичного или полного отказа компьютеризированной системы. Меры варьируются от запланированного сокращения аппаратного оборудования до перехода в систему с бумажными носителями информации. Все планы действия в аварийных ситуациях тщательно документируются, валидированы; кроме того, они обеспечивают непрерывную целостность данных и не могут каким-либо образом угрожать исследованию. Персонал, вовлеченный в проведение исследования в соответствии с принципами Стандарта, осведомлен о наличии данных планов действия в аварийных ситуациях.</w:t>
      </w:r>
    </w:p>
    <w:bookmarkEnd w:id="1109"/>
    <w:bookmarkStart w:name="z1126" w:id="1110"/>
    <w:p>
      <w:pPr>
        <w:spacing w:after="0"/>
        <w:ind w:left="0"/>
        <w:jc w:val="both"/>
      </w:pPr>
      <w:r>
        <w:rPr>
          <w:rFonts w:ascii="Times New Roman"/>
          <w:b w:val="false"/>
          <w:i w:val="false"/>
          <w:color w:val="000000"/>
          <w:sz w:val="28"/>
        </w:rPr>
        <w:t>
      Процедуры восстановления компьютеризированной системы будут зависеть от критичности системы, поэтому так важно иметь в наличии резервные копии всех программ. Если процедуры восстановления влекут за собой изменения аппаратного или программного обеспечения, требуется повторная валидация системы.</w:t>
      </w:r>
    </w:p>
    <w:bookmarkEnd w:id="1110"/>
    <w:bookmarkStart w:name="z1127" w:id="1111"/>
    <w:p>
      <w:pPr>
        <w:spacing w:after="0"/>
        <w:ind w:left="0"/>
        <w:jc w:val="both"/>
      </w:pPr>
      <w:r>
        <w:rPr>
          <w:rFonts w:ascii="Times New Roman"/>
          <w:b w:val="false"/>
          <w:i w:val="false"/>
          <w:color w:val="000000"/>
          <w:sz w:val="28"/>
        </w:rPr>
        <w:t>
      7. Принципы Стандарта определяют первичные данные как оригиналы записей и документации, включая данные, напрямую введенные в компьютер через интерфейс прибора, которые являются результатами оригинальных наблюдений и действий в ходе исследования и нужны для формирования и оценки отчета о данном исследовании.</w:t>
      </w:r>
    </w:p>
    <w:bookmarkEnd w:id="1111"/>
    <w:bookmarkStart w:name="z1128" w:id="1112"/>
    <w:p>
      <w:pPr>
        <w:spacing w:after="0"/>
        <w:ind w:left="0"/>
        <w:jc w:val="both"/>
      </w:pPr>
      <w:r>
        <w:rPr>
          <w:rFonts w:ascii="Times New Roman"/>
          <w:b w:val="false"/>
          <w:i w:val="false"/>
          <w:color w:val="000000"/>
          <w:sz w:val="28"/>
        </w:rPr>
        <w:t>
      Компьютеризированные системы, работающие в соответствии с принципами Стандарта, связаны с первичными данными с использованием различных форм, таких как, например, электронных носителей информации, распечаток с компьютера или приборов, а также копий микрофильмов, микрофиш. Следует, чтобы первичные данные были определены для каждой компьютеризированной системы.</w:t>
      </w:r>
    </w:p>
    <w:bookmarkEnd w:id="1112"/>
    <w:bookmarkStart w:name="z1129" w:id="1113"/>
    <w:p>
      <w:pPr>
        <w:spacing w:after="0"/>
        <w:ind w:left="0"/>
        <w:jc w:val="both"/>
      </w:pPr>
      <w:r>
        <w:rPr>
          <w:rFonts w:ascii="Times New Roman"/>
          <w:b w:val="false"/>
          <w:i w:val="false"/>
          <w:color w:val="000000"/>
          <w:sz w:val="28"/>
        </w:rPr>
        <w:t>
      Если компьютеризированные системы используют для сбора, обработки, представления или хранения первичных данных в электронном виде, то конфигурация системы всегда обеспечивает сохранение аудиторских данных в полном объеме, чтобы была возможность показать все изменения данных, не скрывая первичных данных. Имеет возможность связать все изменения данных с лицами, которые внесли эти изменения при помощи своевременной и датированной (электронной) подписи. Причины внесения изменений указываются.</w:t>
      </w:r>
    </w:p>
    <w:bookmarkEnd w:id="1113"/>
    <w:bookmarkStart w:name="z1130" w:id="1114"/>
    <w:p>
      <w:pPr>
        <w:spacing w:after="0"/>
        <w:ind w:left="0"/>
        <w:jc w:val="both"/>
      </w:pPr>
      <w:r>
        <w:rPr>
          <w:rFonts w:ascii="Times New Roman"/>
          <w:b w:val="false"/>
          <w:i w:val="false"/>
          <w:color w:val="000000"/>
          <w:sz w:val="28"/>
        </w:rPr>
        <w:t>
      Если первичные данные хранятся на электронных носителях информации, то нужно обеспечить выполнение требований по их долгосрочному хранению в зависимости от типа хранимых данных и ожидаемого срока службы компьютеризированных систем. При изменении систем аппаратного и программного обеспечения предоставляется постоянный доступ к первичным данным и их безопасное хранение для гарантирования целостности данных. Вспомогательная информация, такая как журналы обслуживания оборудования и протоколы калибровки, которая нужна для подтверждения достоверности первичных данных или которая позволяет реконструировать процесс или исследование, сохраняется в архивах.</w:t>
      </w:r>
    </w:p>
    <w:bookmarkEnd w:id="1114"/>
    <w:bookmarkStart w:name="z1131" w:id="1115"/>
    <w:p>
      <w:pPr>
        <w:spacing w:after="0"/>
        <w:ind w:left="0"/>
        <w:jc w:val="both"/>
      </w:pPr>
      <w:r>
        <w:rPr>
          <w:rFonts w:ascii="Times New Roman"/>
          <w:b w:val="false"/>
          <w:i w:val="false"/>
          <w:color w:val="000000"/>
          <w:sz w:val="28"/>
        </w:rPr>
        <w:t>
      Процедуры для работы компьютеризированной системы также описывает альтернативные процедуры сбора данных, которым нужно следовать в случае сбоя системы. При таких обстоятельствах любые вручную записанные исходные данные, в дальнейшем вводимые в компьютер, четко обозначаются в качестве таковых и сохранены в качестве исходных записей. Процедуры по резервированию данных, проводимые вручную, могут свести к минимуму риск потери данных и гарантировать сохранение этих альтернативных записей.</w:t>
      </w:r>
    </w:p>
    <w:bookmarkEnd w:id="1115"/>
    <w:bookmarkStart w:name="z1132" w:id="1116"/>
    <w:p>
      <w:pPr>
        <w:spacing w:after="0"/>
        <w:ind w:left="0"/>
        <w:jc w:val="both"/>
      </w:pPr>
      <w:r>
        <w:rPr>
          <w:rFonts w:ascii="Times New Roman"/>
          <w:b w:val="false"/>
          <w:i w:val="false"/>
          <w:color w:val="000000"/>
          <w:sz w:val="28"/>
        </w:rPr>
        <w:t>
      Если в случае устаревания системы следует перевести электронные первичные данные из одной системы в другую, то данный процесс документируется надлежащим образом, а целостность данных подтверждена. В случаях, когда подобные миграции данных не осуществимы практически, первичные данные передаются на другой носитель и утверждаются в качестве точной копии до начала удаления оригинальных электронных записей.</w:t>
      </w:r>
    </w:p>
    <w:bookmarkEnd w:id="1116"/>
    <w:bookmarkStart w:name="z1133" w:id="1117"/>
    <w:p>
      <w:pPr>
        <w:spacing w:after="0"/>
        <w:ind w:left="0"/>
        <w:jc w:val="both"/>
      </w:pPr>
      <w:r>
        <w:rPr>
          <w:rFonts w:ascii="Times New Roman"/>
          <w:b w:val="false"/>
          <w:i w:val="false"/>
          <w:color w:val="000000"/>
          <w:sz w:val="28"/>
        </w:rPr>
        <w:t>
      8. Для защиты аппаратного оборудования, программного обеспечения и данных от повреждения, несанкционированного изменения или потери данных устанавливаются документированные процедуры безопасности.</w:t>
      </w:r>
    </w:p>
    <w:bookmarkEnd w:id="1117"/>
    <w:bookmarkStart w:name="z1134" w:id="1118"/>
    <w:p>
      <w:pPr>
        <w:spacing w:after="0"/>
        <w:ind w:left="0"/>
        <w:jc w:val="both"/>
      </w:pPr>
      <w:r>
        <w:rPr>
          <w:rFonts w:ascii="Times New Roman"/>
          <w:b w:val="false"/>
          <w:i w:val="false"/>
          <w:color w:val="000000"/>
          <w:sz w:val="28"/>
        </w:rPr>
        <w:t>
      В данном контексте "безопасность" означает предотвращение несанкционированного доступа или изменений, как компьютеризированной системы, так и данных, хранящихся в ней. Следует также принять во внимание вероятность повреждения данных вирусами или другими программами-агентами. Также предпринимаются меры безопасности, обеспечивающие целостность данных в случае как краткосрочных, так и долгосрочных сбоев системы.</w:t>
      </w:r>
    </w:p>
    <w:bookmarkEnd w:id="1118"/>
    <w:bookmarkStart w:name="z1135" w:id="1119"/>
    <w:p>
      <w:pPr>
        <w:spacing w:after="0"/>
        <w:ind w:left="0"/>
        <w:jc w:val="both"/>
      </w:pPr>
      <w:r>
        <w:rPr>
          <w:rFonts w:ascii="Times New Roman"/>
          <w:b w:val="false"/>
          <w:i w:val="false"/>
          <w:color w:val="000000"/>
          <w:sz w:val="28"/>
        </w:rPr>
        <w:t>
      Чтобы ограничить доступ к компьютерному и коммуникационному оборудованию, периферийным компонентам и электронным носителям информации только уполномоченным персоналом, нужно применять физические меры безопасности.</w:t>
      </w:r>
    </w:p>
    <w:bookmarkEnd w:id="1119"/>
    <w:bookmarkStart w:name="z1136" w:id="1120"/>
    <w:p>
      <w:pPr>
        <w:spacing w:after="0"/>
        <w:ind w:left="0"/>
        <w:jc w:val="both"/>
      </w:pPr>
      <w:r>
        <w:rPr>
          <w:rFonts w:ascii="Times New Roman"/>
          <w:b w:val="false"/>
          <w:i w:val="false"/>
          <w:color w:val="000000"/>
          <w:sz w:val="28"/>
        </w:rPr>
        <w:t>
      К оборудованию, которое не хранится в специальных "компьютерных помещениях" (например, персональным компьютерам и терминалам), могут применяться, как минимум, стандартные элементы контроля доступа, имеющиеся в испытательной лаборатории.</w:t>
      </w:r>
    </w:p>
    <w:bookmarkEnd w:id="1120"/>
    <w:bookmarkStart w:name="z1137" w:id="1121"/>
    <w:p>
      <w:pPr>
        <w:spacing w:after="0"/>
        <w:ind w:left="0"/>
        <w:jc w:val="both"/>
      </w:pPr>
      <w:r>
        <w:rPr>
          <w:rFonts w:ascii="Times New Roman"/>
          <w:b w:val="false"/>
          <w:i w:val="false"/>
          <w:color w:val="000000"/>
          <w:sz w:val="28"/>
        </w:rPr>
        <w:t>
      Однако там, где такое оборудование располагается удаленно (например, портативные компоненты и линии модемной связи), предпринимаются дополнительные меры.</w:t>
      </w:r>
    </w:p>
    <w:bookmarkEnd w:id="1121"/>
    <w:bookmarkStart w:name="z1138" w:id="1122"/>
    <w:p>
      <w:pPr>
        <w:spacing w:after="0"/>
        <w:ind w:left="0"/>
        <w:jc w:val="both"/>
      </w:pPr>
      <w:r>
        <w:rPr>
          <w:rFonts w:ascii="Times New Roman"/>
          <w:b w:val="false"/>
          <w:i w:val="false"/>
          <w:color w:val="000000"/>
          <w:sz w:val="28"/>
        </w:rPr>
        <w:t>
      Чтобы предотвратить несанкционированный доступ к компьютеризированной системе, приложениям и данным, требуется наличие мер логической безопасности для каждой компьютеризированной системы или приложения. Важно обеспечивать использование только утвержденных версий и валидированного программного обеспечения. Логическая безопасность включает в себя необходимость введения уникального идентификатора пользователя с соответствующим паролем. Любое введение данных или установку программного обеспечения из внешних источников следует контролировать. Эти элементы контроля обеспечиваются с помощью программного обеспечения операционной системы компьютера, специальных программ безопасности, встроенных в приложения процедур, или комбинаций всего вышеперечисленного.</w:t>
      </w:r>
    </w:p>
    <w:bookmarkEnd w:id="1122"/>
    <w:bookmarkStart w:name="z1139" w:id="1123"/>
    <w:p>
      <w:pPr>
        <w:spacing w:after="0"/>
        <w:ind w:left="0"/>
        <w:jc w:val="both"/>
      </w:pPr>
      <w:r>
        <w:rPr>
          <w:rFonts w:ascii="Times New Roman"/>
          <w:b w:val="false"/>
          <w:i w:val="false"/>
          <w:color w:val="000000"/>
          <w:sz w:val="28"/>
        </w:rPr>
        <w:t>
      Так как поддержание целостности данных является главной целью принципов Стандарта, важно, чтобы весь персонал, связанный с компьютеризированной системой, осознавал необходимость вышеизложенных мер безопасности. Руководство испытательной лаборатории гарантирует, чтобы персонал был осведомлен о важности обеспечения безопасности данных, доступных процедурах и особенностях системы, которые позволяют предоставить надлежащую безопасность, а также о последствиях нарушения безопасности.</w:t>
      </w:r>
    </w:p>
    <w:bookmarkEnd w:id="1123"/>
    <w:bookmarkStart w:name="z1140" w:id="1124"/>
    <w:p>
      <w:pPr>
        <w:spacing w:after="0"/>
        <w:ind w:left="0"/>
        <w:jc w:val="both"/>
      </w:pPr>
      <w:r>
        <w:rPr>
          <w:rFonts w:ascii="Times New Roman"/>
          <w:b w:val="false"/>
          <w:i w:val="false"/>
          <w:color w:val="000000"/>
          <w:sz w:val="28"/>
        </w:rPr>
        <w:t>
      Такие функции системы включают плановое наблюдение за доступом к системе, внедрение программ верификации файлов и отчетов об исключениях и (или) трендах.</w:t>
      </w:r>
    </w:p>
    <w:bookmarkEnd w:id="1124"/>
    <w:bookmarkStart w:name="z1141" w:id="1125"/>
    <w:p>
      <w:pPr>
        <w:spacing w:after="0"/>
        <w:ind w:left="0"/>
        <w:jc w:val="both"/>
      </w:pPr>
      <w:r>
        <w:rPr>
          <w:rFonts w:ascii="Times New Roman"/>
          <w:b w:val="false"/>
          <w:i w:val="false"/>
          <w:color w:val="000000"/>
          <w:sz w:val="28"/>
        </w:rPr>
        <w:t>
      Резервное копирование программного обеспечения и данных является стандартной практикой при работе с компьютеризированной системой, которое позволяет восстановить систему после любых неполадок (например, повреждения диска), ставящих под угрозу целостность системы. В данном случае подразумевается возможность превращения резервной копии в первичные данные, после чего они рассматриваются в качестве таковых.</w:t>
      </w:r>
    </w:p>
    <w:bookmarkEnd w:id="1125"/>
    <w:bookmarkStart w:name="z1142" w:id="1126"/>
    <w:p>
      <w:pPr>
        <w:spacing w:after="0"/>
        <w:ind w:left="0"/>
        <w:jc w:val="both"/>
      </w:pPr>
      <w:r>
        <w:rPr>
          <w:rFonts w:ascii="Times New Roman"/>
          <w:b w:val="false"/>
          <w:i w:val="false"/>
          <w:color w:val="000000"/>
          <w:sz w:val="28"/>
        </w:rPr>
        <w:t>
      9. Валидация компьютеризированных систем. Компьютеризированные системы пригодны для предусмотренного назначения. Рассматриваются следующие аспекты:</w:t>
      </w:r>
    </w:p>
    <w:bookmarkEnd w:id="1126"/>
    <w:bookmarkStart w:name="z1143" w:id="1127"/>
    <w:p>
      <w:pPr>
        <w:spacing w:after="0"/>
        <w:ind w:left="0"/>
        <w:jc w:val="both"/>
      </w:pPr>
      <w:r>
        <w:rPr>
          <w:rFonts w:ascii="Times New Roman"/>
          <w:b w:val="false"/>
          <w:i w:val="false"/>
          <w:color w:val="000000"/>
          <w:sz w:val="28"/>
        </w:rPr>
        <w:t>
      1) приемочные испытания. Компьютеризированные системы спроектированы так, чтобы удовлетворять принципам Стандарта. Они устанавливаются согласно предварительно разработанному плану. При этом требуется наличие соответствующей документации, подтверждающей, что каждая система была разработана под соответствующим контролем и (желательно) в соответствии с общепризнанными стандартами качества и техническими стандартами (например, ISO 9001). Кроме того, предоставляется доказательства того, что система была надлежащим образом протестирована испытательной лабораторией на соответствие критериям приемки до введения в повседневное использование.</w:t>
      </w:r>
    </w:p>
    <w:bookmarkEnd w:id="1127"/>
    <w:bookmarkStart w:name="z1144" w:id="1128"/>
    <w:p>
      <w:pPr>
        <w:spacing w:after="0"/>
        <w:ind w:left="0"/>
        <w:jc w:val="both"/>
      </w:pPr>
      <w:r>
        <w:rPr>
          <w:rFonts w:ascii="Times New Roman"/>
          <w:b w:val="false"/>
          <w:i w:val="false"/>
          <w:color w:val="000000"/>
          <w:sz w:val="28"/>
        </w:rPr>
        <w:t>
      Процедура официального приемочного испытания требует проведения испытаний в соответствии с заранее установленным планом и сохранения документированного свидетельства, содержащего следующую информацию: процедуры испытания, данные проведенного испытания, результаты испытаний, официальную сводку об испытании, записи об официальной приемке результатов испытания.</w:t>
      </w:r>
    </w:p>
    <w:bookmarkEnd w:id="1128"/>
    <w:bookmarkStart w:name="z1145" w:id="1129"/>
    <w:p>
      <w:pPr>
        <w:spacing w:after="0"/>
        <w:ind w:left="0"/>
        <w:jc w:val="both"/>
      </w:pPr>
      <w:r>
        <w:rPr>
          <w:rFonts w:ascii="Times New Roman"/>
          <w:b w:val="false"/>
          <w:i w:val="false"/>
          <w:color w:val="000000"/>
          <w:sz w:val="28"/>
        </w:rPr>
        <w:t>
      Вполне вероятно, что большая часть документации, относящейся к установленным производителем системам и созданной в процессе разработки систем, хранится на сайте производителя. В этом случае, данные официальной оценки и (или) аудита производителя имеется в наличии в испытательной лаборатории;</w:t>
      </w:r>
    </w:p>
    <w:bookmarkEnd w:id="1129"/>
    <w:bookmarkStart w:name="z1146" w:id="1130"/>
    <w:p>
      <w:pPr>
        <w:spacing w:after="0"/>
        <w:ind w:left="0"/>
        <w:jc w:val="both"/>
      </w:pPr>
      <w:r>
        <w:rPr>
          <w:rFonts w:ascii="Times New Roman"/>
          <w:b w:val="false"/>
          <w:i w:val="false"/>
          <w:color w:val="000000"/>
          <w:sz w:val="28"/>
        </w:rPr>
        <w:t>
      2) ретроспективная оценка. Имеются системы, для которых необходимость соблюдения принципов Стандарта не была предусмотрена или указана. В таких случаях требуется наличие документального обоснования использования данных систем, которое включает в себя ретроспективную оценку, используемую для определения пригодности системы.</w:t>
      </w:r>
    </w:p>
    <w:bookmarkEnd w:id="1130"/>
    <w:bookmarkStart w:name="z1147" w:id="1131"/>
    <w:p>
      <w:pPr>
        <w:spacing w:after="0"/>
        <w:ind w:left="0"/>
        <w:jc w:val="both"/>
      </w:pPr>
      <w:r>
        <w:rPr>
          <w:rFonts w:ascii="Times New Roman"/>
          <w:b w:val="false"/>
          <w:i w:val="false"/>
          <w:color w:val="000000"/>
          <w:sz w:val="28"/>
        </w:rPr>
        <w:t>
      Ретроспективная оценка начинается со сбора всех исторических записей, связанных с компьютеризированной системой. Затем данные записи рассматриваются, после чего составляется письменная сводка. В данной сводке ретроспективной оценки нужно указывать, что доказательства валидации доступны, а также, какие шаги следует предпринимать в будущем для обеспечения валидации компьютеризированной систем;</w:t>
      </w:r>
    </w:p>
    <w:bookmarkEnd w:id="1131"/>
    <w:bookmarkStart w:name="z1148" w:id="1132"/>
    <w:p>
      <w:pPr>
        <w:spacing w:after="0"/>
        <w:ind w:left="0"/>
        <w:jc w:val="both"/>
      </w:pPr>
      <w:r>
        <w:rPr>
          <w:rFonts w:ascii="Times New Roman"/>
          <w:b w:val="false"/>
          <w:i w:val="false"/>
          <w:color w:val="000000"/>
          <w:sz w:val="28"/>
        </w:rPr>
        <w:t>
      3) контроль изменений. Контроль изменений означает официальное утверждение и документирование любого изменения компьютеризированной системы в течение срока ее эксплуатации. Контроль изменений нужен в случаях, когда изменения влияют на статус валидации компьютеризированной системы. Процедуры контроля изменений вступают в силу сразу после подтверждения готовности к эксплуатации компьютеризированной системы.</w:t>
      </w:r>
    </w:p>
    <w:bookmarkEnd w:id="1132"/>
    <w:bookmarkStart w:name="z1149" w:id="1133"/>
    <w:p>
      <w:pPr>
        <w:spacing w:after="0"/>
        <w:ind w:left="0"/>
        <w:jc w:val="both"/>
      </w:pPr>
      <w:r>
        <w:rPr>
          <w:rFonts w:ascii="Times New Roman"/>
          <w:b w:val="false"/>
          <w:i w:val="false"/>
          <w:color w:val="000000"/>
          <w:sz w:val="28"/>
        </w:rPr>
        <w:t>
      В процедуре описывается метод оценки, призванный определять объем повторного испытания, требуемого для поддержания системы в валидированном состоянии. В рамках процедур контроля изменений определяются лица, отвечающие за определение необходимости и одобрение контроля изменений.</w:t>
      </w:r>
    </w:p>
    <w:bookmarkEnd w:id="1133"/>
    <w:bookmarkStart w:name="z1150" w:id="1134"/>
    <w:p>
      <w:pPr>
        <w:spacing w:after="0"/>
        <w:ind w:left="0"/>
        <w:jc w:val="both"/>
      </w:pPr>
      <w:r>
        <w:rPr>
          <w:rFonts w:ascii="Times New Roman"/>
          <w:b w:val="false"/>
          <w:i w:val="false"/>
          <w:color w:val="000000"/>
          <w:sz w:val="28"/>
        </w:rPr>
        <w:t>
      Независимо от источника происхождения изменения (поставленная вендором система или система собственной разработки) соответствующая информация представлена как часть процесса контроля изменений. Процедуры контроля изменений гарантирует целостность данных;</w:t>
      </w:r>
    </w:p>
    <w:bookmarkEnd w:id="1134"/>
    <w:bookmarkStart w:name="z1151" w:id="1135"/>
    <w:p>
      <w:pPr>
        <w:spacing w:after="0"/>
        <w:ind w:left="0"/>
        <w:jc w:val="both"/>
      </w:pPr>
      <w:r>
        <w:rPr>
          <w:rFonts w:ascii="Times New Roman"/>
          <w:b w:val="false"/>
          <w:i w:val="false"/>
          <w:color w:val="000000"/>
          <w:sz w:val="28"/>
        </w:rPr>
        <w:t>
      4) механизм поддержки. В целях обеспечения соответствия компьютеризированной системы предусмотренному назначению создаются механизмы поддержки, обеспечивающие корректное функционирование и использование системы. Они включают в себя систему управления, обучение, обслуживание, техническую поддержку, аудит и (или) оценку эксплуатационных показателей. Оценка эксплуатационных показателей означает номинальный просмотр системы через определенные промежутки времени с целью подтверждения соответствия установленным критериям функционирования, например, надежности, чувствительности, производственной мощности.</w:t>
      </w:r>
    </w:p>
    <w:bookmarkEnd w:id="1135"/>
    <w:bookmarkStart w:name="z1152" w:id="1136"/>
    <w:p>
      <w:pPr>
        <w:spacing w:after="0"/>
        <w:ind w:left="0"/>
        <w:jc w:val="both"/>
      </w:pPr>
      <w:r>
        <w:rPr>
          <w:rFonts w:ascii="Times New Roman"/>
          <w:b w:val="false"/>
          <w:i w:val="false"/>
          <w:color w:val="000000"/>
          <w:sz w:val="28"/>
        </w:rPr>
        <w:t>
      10. Перечисленные ниже пункты представляют собой руководство по подбору минимальной документации для разработки, валидации, эксплуатации и техническому обслуживанию компьютеризированных систем:</w:t>
      </w:r>
    </w:p>
    <w:bookmarkEnd w:id="1136"/>
    <w:bookmarkStart w:name="z1153" w:id="1137"/>
    <w:p>
      <w:pPr>
        <w:spacing w:after="0"/>
        <w:ind w:left="0"/>
        <w:jc w:val="both"/>
      </w:pPr>
      <w:r>
        <w:rPr>
          <w:rFonts w:ascii="Times New Roman"/>
          <w:b w:val="false"/>
          <w:i w:val="false"/>
          <w:color w:val="000000"/>
          <w:sz w:val="28"/>
        </w:rPr>
        <w:t>
      1) порядок действий. Необходимо наличие письменно зафиксированных принципов административного управления, описывающих помимо прочего процесс приобретения, требования, проектирование, валидацию, испытание, установку, эксплуатацию, техническое обслуживание, подбор персонала, контроль, аудит, мониторинг и изъятие из обращения компьютеризированных систем.</w:t>
      </w:r>
    </w:p>
    <w:bookmarkEnd w:id="1137"/>
    <w:bookmarkStart w:name="z1154" w:id="1138"/>
    <w:p>
      <w:pPr>
        <w:spacing w:after="0"/>
        <w:ind w:left="0"/>
        <w:jc w:val="both"/>
      </w:pPr>
      <w:r>
        <w:rPr>
          <w:rFonts w:ascii="Times New Roman"/>
          <w:b w:val="false"/>
          <w:i w:val="false"/>
          <w:color w:val="000000"/>
          <w:sz w:val="28"/>
        </w:rPr>
        <w:t>
      2) описание приложения (прикладного программного обеспечения). Каждое приложение сопровождается документацией, в которой полностью описывается:</w:t>
      </w:r>
    </w:p>
    <w:bookmarkEnd w:id="1138"/>
    <w:bookmarkStart w:name="z1155" w:id="1139"/>
    <w:p>
      <w:pPr>
        <w:spacing w:after="0"/>
        <w:ind w:left="0"/>
        <w:jc w:val="both"/>
      </w:pPr>
      <w:r>
        <w:rPr>
          <w:rFonts w:ascii="Times New Roman"/>
          <w:b w:val="false"/>
          <w:i w:val="false"/>
          <w:color w:val="000000"/>
          <w:sz w:val="28"/>
        </w:rPr>
        <w:t>
      наименование приложения или идентификационного кода и подробное и четкое описание целей приложения;</w:t>
      </w:r>
    </w:p>
    <w:bookmarkEnd w:id="1139"/>
    <w:bookmarkStart w:name="z1156" w:id="1140"/>
    <w:p>
      <w:pPr>
        <w:spacing w:after="0"/>
        <w:ind w:left="0"/>
        <w:jc w:val="both"/>
      </w:pPr>
      <w:r>
        <w:rPr>
          <w:rFonts w:ascii="Times New Roman"/>
          <w:b w:val="false"/>
          <w:i w:val="false"/>
          <w:color w:val="000000"/>
          <w:sz w:val="28"/>
        </w:rPr>
        <w:t>
      аппаратное обеспечение (с номерами моделей), на которое установлено приложение;</w:t>
      </w:r>
    </w:p>
    <w:bookmarkEnd w:id="1140"/>
    <w:bookmarkStart w:name="z1157" w:id="1141"/>
    <w:p>
      <w:pPr>
        <w:spacing w:after="0"/>
        <w:ind w:left="0"/>
        <w:jc w:val="both"/>
      </w:pPr>
      <w:r>
        <w:rPr>
          <w:rFonts w:ascii="Times New Roman"/>
          <w:b w:val="false"/>
          <w:i w:val="false"/>
          <w:color w:val="000000"/>
          <w:sz w:val="28"/>
        </w:rPr>
        <w:t>
      программное обеспечение операционной и другой системы (например, инструментов), используемое в сочетании с приложением;</w:t>
      </w:r>
    </w:p>
    <w:bookmarkEnd w:id="1141"/>
    <w:bookmarkStart w:name="z1158" w:id="1142"/>
    <w:p>
      <w:pPr>
        <w:spacing w:after="0"/>
        <w:ind w:left="0"/>
        <w:jc w:val="both"/>
      </w:pPr>
      <w:r>
        <w:rPr>
          <w:rFonts w:ascii="Times New Roman"/>
          <w:b w:val="false"/>
          <w:i w:val="false"/>
          <w:color w:val="000000"/>
          <w:sz w:val="28"/>
        </w:rPr>
        <w:t>
      используемый программируемый язык приложения и (или) инструментов базы данных;</w:t>
      </w:r>
    </w:p>
    <w:bookmarkEnd w:id="1142"/>
    <w:bookmarkStart w:name="z1159" w:id="1143"/>
    <w:p>
      <w:pPr>
        <w:spacing w:after="0"/>
        <w:ind w:left="0"/>
        <w:jc w:val="both"/>
      </w:pPr>
      <w:r>
        <w:rPr>
          <w:rFonts w:ascii="Times New Roman"/>
          <w:b w:val="false"/>
          <w:i w:val="false"/>
          <w:color w:val="000000"/>
          <w:sz w:val="28"/>
        </w:rPr>
        <w:t>
      основные функции, выполняемые приложением;</w:t>
      </w:r>
    </w:p>
    <w:bookmarkEnd w:id="1143"/>
    <w:bookmarkStart w:name="z1160" w:id="1144"/>
    <w:p>
      <w:pPr>
        <w:spacing w:after="0"/>
        <w:ind w:left="0"/>
        <w:jc w:val="both"/>
      </w:pPr>
      <w:r>
        <w:rPr>
          <w:rFonts w:ascii="Times New Roman"/>
          <w:b w:val="false"/>
          <w:i w:val="false"/>
          <w:color w:val="000000"/>
          <w:sz w:val="28"/>
        </w:rPr>
        <w:t>
      обзор типов и потоколов данных, дизайна баз данных, связанных с приложением;</w:t>
      </w:r>
    </w:p>
    <w:bookmarkEnd w:id="1144"/>
    <w:bookmarkStart w:name="z1161" w:id="1145"/>
    <w:p>
      <w:pPr>
        <w:spacing w:after="0"/>
        <w:ind w:left="0"/>
        <w:jc w:val="both"/>
      </w:pPr>
      <w:r>
        <w:rPr>
          <w:rFonts w:ascii="Times New Roman"/>
          <w:b w:val="false"/>
          <w:i w:val="false"/>
          <w:color w:val="000000"/>
          <w:sz w:val="28"/>
        </w:rPr>
        <w:t>
      структуры файлов, сообщения об ошибках и авариях, а также алгоритмы, связанные с приложением;</w:t>
      </w:r>
    </w:p>
    <w:bookmarkEnd w:id="1145"/>
    <w:bookmarkStart w:name="z1162" w:id="1146"/>
    <w:p>
      <w:pPr>
        <w:spacing w:after="0"/>
        <w:ind w:left="0"/>
        <w:jc w:val="both"/>
      </w:pPr>
      <w:r>
        <w:rPr>
          <w:rFonts w:ascii="Times New Roman"/>
          <w:b w:val="false"/>
          <w:i w:val="false"/>
          <w:color w:val="000000"/>
          <w:sz w:val="28"/>
        </w:rPr>
        <w:t>
      компоненты прикладного программного обеспечения с указанием номеров версий;</w:t>
      </w:r>
    </w:p>
    <w:bookmarkEnd w:id="1146"/>
    <w:bookmarkStart w:name="z1163" w:id="1147"/>
    <w:p>
      <w:pPr>
        <w:spacing w:after="0"/>
        <w:ind w:left="0"/>
        <w:jc w:val="both"/>
      </w:pPr>
      <w:r>
        <w:rPr>
          <w:rFonts w:ascii="Times New Roman"/>
          <w:b w:val="false"/>
          <w:i w:val="false"/>
          <w:color w:val="000000"/>
          <w:sz w:val="28"/>
        </w:rPr>
        <w:t>
      конфигурация и коммуникационные связи между модулями приложения, а также оборудованием и другими системами.</w:t>
      </w:r>
    </w:p>
    <w:bookmarkEnd w:id="1147"/>
    <w:bookmarkStart w:name="z1164" w:id="1148"/>
    <w:p>
      <w:pPr>
        <w:spacing w:after="0"/>
        <w:ind w:left="0"/>
        <w:jc w:val="both"/>
      </w:pPr>
      <w:r>
        <w:rPr>
          <w:rFonts w:ascii="Times New Roman"/>
          <w:b w:val="false"/>
          <w:i w:val="false"/>
          <w:color w:val="000000"/>
          <w:sz w:val="28"/>
        </w:rPr>
        <w:t>
      3) стандартные операционные процедуры. Большая часть документации, охватывающей использование компьютеризированных систем, представляется в форме СОП. Данные СОП охватывают следующие процедуры, но не ограничиваются ими:</w:t>
      </w:r>
    </w:p>
    <w:bookmarkEnd w:id="1148"/>
    <w:bookmarkStart w:name="z1165" w:id="1149"/>
    <w:p>
      <w:pPr>
        <w:spacing w:after="0"/>
        <w:ind w:left="0"/>
        <w:jc w:val="both"/>
      </w:pPr>
      <w:r>
        <w:rPr>
          <w:rFonts w:ascii="Times New Roman"/>
          <w:b w:val="false"/>
          <w:i w:val="false"/>
          <w:color w:val="000000"/>
          <w:sz w:val="28"/>
        </w:rPr>
        <w:t>
      процедуры по работе с компьютеризированными системами (аппаратные средства, программное обеспечение) и обязанности, уполномоченность вовлеченного персонала;</w:t>
      </w:r>
    </w:p>
    <w:bookmarkEnd w:id="1149"/>
    <w:bookmarkStart w:name="z1166" w:id="1150"/>
    <w:p>
      <w:pPr>
        <w:spacing w:after="0"/>
        <w:ind w:left="0"/>
        <w:jc w:val="both"/>
      </w:pPr>
      <w:r>
        <w:rPr>
          <w:rFonts w:ascii="Times New Roman"/>
          <w:b w:val="false"/>
          <w:i w:val="false"/>
          <w:color w:val="000000"/>
          <w:sz w:val="28"/>
        </w:rPr>
        <w:t>
      процедуры по обеспечению мер безопасности, используемых для обнаружения и предотвращения несанкционированного доступа к программе и внесения в нее изменений;</w:t>
      </w:r>
    </w:p>
    <w:bookmarkEnd w:id="1150"/>
    <w:bookmarkStart w:name="z1167" w:id="1151"/>
    <w:p>
      <w:pPr>
        <w:spacing w:after="0"/>
        <w:ind w:left="0"/>
        <w:jc w:val="both"/>
      </w:pPr>
      <w:r>
        <w:rPr>
          <w:rFonts w:ascii="Times New Roman"/>
          <w:b w:val="false"/>
          <w:i w:val="false"/>
          <w:color w:val="000000"/>
          <w:sz w:val="28"/>
        </w:rPr>
        <w:t>
      процедуры по внесению изменений в программу, их авторизации и записи изменений;</w:t>
      </w:r>
    </w:p>
    <w:bookmarkEnd w:id="1151"/>
    <w:bookmarkStart w:name="z1168" w:id="1152"/>
    <w:p>
      <w:pPr>
        <w:spacing w:after="0"/>
        <w:ind w:left="0"/>
        <w:jc w:val="both"/>
      </w:pPr>
      <w:r>
        <w:rPr>
          <w:rFonts w:ascii="Times New Roman"/>
          <w:b w:val="false"/>
          <w:i w:val="false"/>
          <w:color w:val="000000"/>
          <w:sz w:val="28"/>
        </w:rPr>
        <w:t>
      процедуры по внесению изменений в оборудование (аппаратные средства, программное обеспечение) и их авторизации, в том числе, в случае необходимости, проведение испытаний перед использованием оборудования;</w:t>
      </w:r>
    </w:p>
    <w:bookmarkEnd w:id="1152"/>
    <w:bookmarkStart w:name="z1169" w:id="1153"/>
    <w:p>
      <w:pPr>
        <w:spacing w:after="0"/>
        <w:ind w:left="0"/>
        <w:jc w:val="both"/>
      </w:pPr>
      <w:r>
        <w:rPr>
          <w:rFonts w:ascii="Times New Roman"/>
          <w:b w:val="false"/>
          <w:i w:val="false"/>
          <w:color w:val="000000"/>
          <w:sz w:val="28"/>
        </w:rPr>
        <w:t>
      процедуры по проведению периодического испытания надлежащего функционирования всей системы или ее составных частей и записи данных испытаний;</w:t>
      </w:r>
    </w:p>
    <w:bookmarkEnd w:id="1153"/>
    <w:bookmarkStart w:name="z1170" w:id="1154"/>
    <w:p>
      <w:pPr>
        <w:spacing w:after="0"/>
        <w:ind w:left="0"/>
        <w:jc w:val="both"/>
      </w:pPr>
      <w:r>
        <w:rPr>
          <w:rFonts w:ascii="Times New Roman"/>
          <w:b w:val="false"/>
          <w:i w:val="false"/>
          <w:color w:val="000000"/>
          <w:sz w:val="28"/>
        </w:rPr>
        <w:t>
      процедуры обслуживания компьютеризированных систем и любого сопутствующего оборудования;</w:t>
      </w:r>
    </w:p>
    <w:bookmarkEnd w:id="1154"/>
    <w:bookmarkStart w:name="z1171" w:id="1155"/>
    <w:p>
      <w:pPr>
        <w:spacing w:after="0"/>
        <w:ind w:left="0"/>
        <w:jc w:val="both"/>
      </w:pPr>
      <w:r>
        <w:rPr>
          <w:rFonts w:ascii="Times New Roman"/>
          <w:b w:val="false"/>
          <w:i w:val="false"/>
          <w:color w:val="000000"/>
          <w:sz w:val="28"/>
        </w:rPr>
        <w:t>
      процедуры разработки программного обеспечения и приемочных испытаний, а также записи всех приемочных испытаний;</w:t>
      </w:r>
    </w:p>
    <w:bookmarkEnd w:id="1155"/>
    <w:bookmarkStart w:name="z1172" w:id="1156"/>
    <w:p>
      <w:pPr>
        <w:spacing w:after="0"/>
        <w:ind w:left="0"/>
        <w:jc w:val="both"/>
      </w:pPr>
      <w:r>
        <w:rPr>
          <w:rFonts w:ascii="Times New Roman"/>
          <w:b w:val="false"/>
          <w:i w:val="false"/>
          <w:color w:val="000000"/>
          <w:sz w:val="28"/>
        </w:rPr>
        <w:t>
      процедуры по резервному копированию всех хранимых данных, а также планы действия в случае поломки;</w:t>
      </w:r>
    </w:p>
    <w:bookmarkEnd w:id="1156"/>
    <w:bookmarkStart w:name="z1173" w:id="1157"/>
    <w:p>
      <w:pPr>
        <w:spacing w:after="0"/>
        <w:ind w:left="0"/>
        <w:jc w:val="both"/>
      </w:pPr>
      <w:r>
        <w:rPr>
          <w:rFonts w:ascii="Times New Roman"/>
          <w:b w:val="false"/>
          <w:i w:val="false"/>
          <w:color w:val="000000"/>
          <w:sz w:val="28"/>
        </w:rPr>
        <w:t>
      процедуры архивирования и извлечения всех документов, программного обеспечения и компьютерных данных;</w:t>
      </w:r>
    </w:p>
    <w:bookmarkEnd w:id="1157"/>
    <w:bookmarkStart w:name="z1174" w:id="1158"/>
    <w:p>
      <w:pPr>
        <w:spacing w:after="0"/>
        <w:ind w:left="0"/>
        <w:jc w:val="both"/>
      </w:pPr>
      <w:r>
        <w:rPr>
          <w:rFonts w:ascii="Times New Roman"/>
          <w:b w:val="false"/>
          <w:i w:val="false"/>
          <w:color w:val="000000"/>
          <w:sz w:val="28"/>
        </w:rPr>
        <w:t>
      процедуры мониторинга и аудита компьютеризированных систем.</w:t>
      </w:r>
    </w:p>
    <w:bookmarkEnd w:id="1158"/>
    <w:bookmarkStart w:name="z1175" w:id="1159"/>
    <w:p>
      <w:pPr>
        <w:spacing w:after="0"/>
        <w:ind w:left="0"/>
        <w:jc w:val="both"/>
      </w:pPr>
      <w:r>
        <w:rPr>
          <w:rFonts w:ascii="Times New Roman"/>
          <w:b w:val="false"/>
          <w:i w:val="false"/>
          <w:color w:val="000000"/>
          <w:sz w:val="28"/>
        </w:rPr>
        <w:t>
      11. Принципы Стандарта по архивированию данных следует применять последовательно ко всем типам данных. Поэтому очень важно, чтобы электронные данные хранились на том же уровне контроля доступа, индексирования и соответствующего извлечения, как и другие типы данных.</w:t>
      </w:r>
    </w:p>
    <w:bookmarkEnd w:id="1159"/>
    <w:bookmarkStart w:name="z1176" w:id="1160"/>
    <w:p>
      <w:pPr>
        <w:spacing w:after="0"/>
        <w:ind w:left="0"/>
        <w:jc w:val="both"/>
      </w:pPr>
      <w:r>
        <w:rPr>
          <w:rFonts w:ascii="Times New Roman"/>
          <w:b w:val="false"/>
          <w:i w:val="false"/>
          <w:color w:val="000000"/>
          <w:sz w:val="28"/>
        </w:rPr>
        <w:t>
      Если электронные данные о нескольких исследованиях хранятся на одном носителе информации (диске или магнитной ленте), требуется создание подробного указателя. Он нужен для обеспечения испытательных лабораторий средствами контроля окружающей среды, чтобы гарантировать целостность хранимых электронных данных. Если существует необходимость в создании дополнительных архивных помещений, то руководство испытательной лаборатории обеспечивает, чтобы персонал, отвечающий за управление архивами, был идентифицирован, и чтобы доступ к архиву был возможен только уполномоченному персоналу. Также нужно будет внедрить процедуры, гарантирующие, что целостность хранящихся в электронном виде в течение длительного времени данных не будет нарушена.</w:t>
      </w:r>
    </w:p>
    <w:bookmarkEnd w:id="1160"/>
    <w:bookmarkStart w:name="z1177" w:id="1161"/>
    <w:p>
      <w:pPr>
        <w:spacing w:after="0"/>
        <w:ind w:left="0"/>
        <w:jc w:val="both"/>
      </w:pPr>
      <w:r>
        <w:rPr>
          <w:rFonts w:ascii="Times New Roman"/>
          <w:b w:val="false"/>
          <w:i w:val="false"/>
          <w:color w:val="000000"/>
          <w:sz w:val="28"/>
        </w:rPr>
        <w:t>
      Нужно создание процедур, обеспечивающих непрерывную считываемость данных в случаях, когда предполагается возникновение проблем с долгосрочным доступом к данным или возникает необходимость изъятия компьютеризированных систем из употребления. Такие процедуры включают, например, производство твердых копий в форме распечатки с принтера или перенос данных в другую систему.</w:t>
      </w:r>
    </w:p>
    <w:bookmarkEnd w:id="1161"/>
    <w:bookmarkStart w:name="z1178" w:id="1162"/>
    <w:p>
      <w:pPr>
        <w:spacing w:after="0"/>
        <w:ind w:left="0"/>
        <w:jc w:val="both"/>
      </w:pPr>
      <w:r>
        <w:rPr>
          <w:rFonts w:ascii="Times New Roman"/>
          <w:b w:val="false"/>
          <w:i w:val="false"/>
          <w:color w:val="000000"/>
          <w:sz w:val="28"/>
        </w:rPr>
        <w:t>
      Хранящиеся в электронном виде данные не следует уничтожать без разрешения руководства испытательной лаборатории и соответствующего документирования. Другие данные, хранящиеся в поддержку компьютеризированных систем, такие как исходный код и записи о разработке, валидации, эксплуатации, обслуживании и мониторинге, следует хранить, по крайней мере, в течение того же срока, как и записи об исследовании, связанные с данными системами.</w:t>
      </w:r>
    </w:p>
    <w:bookmarkEnd w:id="1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1180" w:id="1163"/>
    <w:p>
      <w:pPr>
        <w:spacing w:after="0"/>
        <w:ind w:left="0"/>
        <w:jc w:val="left"/>
      </w:pPr>
      <w:r>
        <w:rPr>
          <w:rFonts w:ascii="Times New Roman"/>
          <w:b/>
          <w:i w:val="false"/>
          <w:color w:val="000000"/>
        </w:rPr>
        <w:t xml:space="preserve"> Руководство по обмену информацией в отношении программ контроля соблюдения принципов Стандарта</w:t>
      </w:r>
    </w:p>
    <w:bookmarkEnd w:id="1163"/>
    <w:bookmarkStart w:name="z1181" w:id="1164"/>
    <w:p>
      <w:pPr>
        <w:spacing w:after="0"/>
        <w:ind w:left="0"/>
        <w:jc w:val="both"/>
      </w:pPr>
      <w:r>
        <w:rPr>
          <w:rFonts w:ascii="Times New Roman"/>
          <w:b w:val="false"/>
          <w:i w:val="false"/>
          <w:color w:val="000000"/>
          <w:sz w:val="28"/>
        </w:rPr>
        <w:t>
      1. В данном приложении содержится информация, которой уполномоченный орган обменивается при проведении программ контроля соблюдения Стандарта. Эта информация включает:</w:t>
      </w:r>
    </w:p>
    <w:bookmarkEnd w:id="1164"/>
    <w:bookmarkStart w:name="z1182" w:id="1165"/>
    <w:p>
      <w:pPr>
        <w:spacing w:after="0"/>
        <w:ind w:left="0"/>
        <w:jc w:val="both"/>
      </w:pPr>
      <w:r>
        <w:rPr>
          <w:rFonts w:ascii="Times New Roman"/>
          <w:b w:val="false"/>
          <w:i w:val="false"/>
          <w:color w:val="000000"/>
          <w:sz w:val="28"/>
        </w:rPr>
        <w:t>
      1) название, правовой статус и организационная структура уполномоченного органа;</w:t>
      </w:r>
    </w:p>
    <w:bookmarkEnd w:id="1165"/>
    <w:bookmarkStart w:name="z1183" w:id="1166"/>
    <w:p>
      <w:pPr>
        <w:spacing w:after="0"/>
        <w:ind w:left="0"/>
        <w:jc w:val="both"/>
      </w:pPr>
      <w:r>
        <w:rPr>
          <w:rFonts w:ascii="Times New Roman"/>
          <w:b w:val="false"/>
          <w:i w:val="false"/>
          <w:color w:val="000000"/>
          <w:sz w:val="28"/>
        </w:rPr>
        <w:t>
      2) процедуры, проводимые в ходе инспекций лабораторий и аудитов исследований, периодичность инспекций и (или) критерии графиков инспекций;</w:t>
      </w:r>
    </w:p>
    <w:bookmarkEnd w:id="1166"/>
    <w:bookmarkStart w:name="z1184" w:id="1167"/>
    <w:p>
      <w:pPr>
        <w:spacing w:after="0"/>
        <w:ind w:left="0"/>
        <w:jc w:val="both"/>
      </w:pPr>
      <w:r>
        <w:rPr>
          <w:rFonts w:ascii="Times New Roman"/>
          <w:b w:val="false"/>
          <w:i w:val="false"/>
          <w:color w:val="000000"/>
          <w:sz w:val="28"/>
        </w:rPr>
        <w:t>
      3) количество и квалификации инспекторов;</w:t>
      </w:r>
    </w:p>
    <w:bookmarkEnd w:id="1167"/>
    <w:bookmarkStart w:name="z1185" w:id="1168"/>
    <w:p>
      <w:pPr>
        <w:spacing w:after="0"/>
        <w:ind w:left="0"/>
        <w:jc w:val="both"/>
      </w:pPr>
      <w:r>
        <w:rPr>
          <w:rFonts w:ascii="Times New Roman"/>
          <w:b w:val="false"/>
          <w:i w:val="false"/>
          <w:color w:val="000000"/>
          <w:sz w:val="28"/>
        </w:rPr>
        <w:t>
      4) действия, предпринимаемые уполномоченным органом в случае обнаружения несоответствия, включая возможность сообщать другим странам, при необходимости, о результатах инспекций лабораторий и аудитов исследований;</w:t>
      </w:r>
    </w:p>
    <w:bookmarkEnd w:id="1168"/>
    <w:bookmarkStart w:name="z1186" w:id="1169"/>
    <w:p>
      <w:pPr>
        <w:spacing w:after="0"/>
        <w:ind w:left="0"/>
        <w:jc w:val="both"/>
      </w:pPr>
      <w:r>
        <w:rPr>
          <w:rFonts w:ascii="Times New Roman"/>
          <w:b w:val="false"/>
          <w:i w:val="false"/>
          <w:color w:val="000000"/>
          <w:sz w:val="28"/>
        </w:rPr>
        <w:t>
      5) договоренности о защите конфиденциальности информации;</w:t>
      </w:r>
    </w:p>
    <w:bookmarkEnd w:id="1169"/>
    <w:bookmarkStart w:name="z1187" w:id="1170"/>
    <w:p>
      <w:pPr>
        <w:spacing w:after="0"/>
        <w:ind w:left="0"/>
        <w:jc w:val="both"/>
      </w:pPr>
      <w:r>
        <w:rPr>
          <w:rFonts w:ascii="Times New Roman"/>
          <w:b w:val="false"/>
          <w:i w:val="false"/>
          <w:color w:val="000000"/>
          <w:sz w:val="28"/>
        </w:rPr>
        <w:t>
      6) процедуры начала, проведения и подготовки отчета об инспекциях лабораторий и аудитах исследований по запросу других стран;</w:t>
      </w:r>
    </w:p>
    <w:bookmarkEnd w:id="1170"/>
    <w:bookmarkStart w:name="z1188" w:id="1171"/>
    <w:p>
      <w:pPr>
        <w:spacing w:after="0"/>
        <w:ind w:left="0"/>
        <w:jc w:val="both"/>
      </w:pPr>
      <w:r>
        <w:rPr>
          <w:rFonts w:ascii="Times New Roman"/>
          <w:b w:val="false"/>
          <w:i w:val="false"/>
          <w:color w:val="000000"/>
          <w:sz w:val="28"/>
        </w:rPr>
        <w:t>
      7) процедуры получения информации о лабораториях, которые прошли инспекцию со стороны уполномоченного органа другой страны, включая статус соответствия таких лабораторий;</w:t>
      </w:r>
    </w:p>
    <w:bookmarkEnd w:id="1171"/>
    <w:bookmarkStart w:name="z1189" w:id="1172"/>
    <w:p>
      <w:pPr>
        <w:spacing w:after="0"/>
        <w:ind w:left="0"/>
        <w:jc w:val="both"/>
      </w:pPr>
      <w:r>
        <w:rPr>
          <w:rFonts w:ascii="Times New Roman"/>
          <w:b w:val="false"/>
          <w:i w:val="false"/>
          <w:color w:val="000000"/>
          <w:sz w:val="28"/>
        </w:rPr>
        <w:t>
      8) сертификаты лаборатории о том, что исследования проводились в соответствии со Стандартом.</w:t>
      </w:r>
    </w:p>
    <w:bookmarkEnd w:id="1172"/>
    <w:bookmarkStart w:name="z1190" w:id="1173"/>
    <w:p>
      <w:pPr>
        <w:spacing w:after="0"/>
        <w:ind w:left="0"/>
        <w:jc w:val="both"/>
      </w:pPr>
      <w:r>
        <w:rPr>
          <w:rFonts w:ascii="Times New Roman"/>
          <w:b w:val="false"/>
          <w:i w:val="false"/>
          <w:color w:val="000000"/>
          <w:sz w:val="28"/>
        </w:rPr>
        <w:t>
      2. В случае обнаружения серьезных отклонений, которые влияют на специфические исследования, уполномоченный орган при необходимости, сообщает о результатах соответствующим уполномоченным органам в других странах.</w:t>
      </w:r>
    </w:p>
    <w:bookmarkEnd w:id="1173"/>
    <w:bookmarkStart w:name="z1191" w:id="1174"/>
    <w:p>
      <w:pPr>
        <w:spacing w:after="0"/>
        <w:ind w:left="0"/>
        <w:jc w:val="both"/>
      </w:pPr>
      <w:r>
        <w:rPr>
          <w:rFonts w:ascii="Times New Roman"/>
          <w:b w:val="false"/>
          <w:i w:val="false"/>
          <w:color w:val="000000"/>
          <w:sz w:val="28"/>
        </w:rPr>
        <w:t>
      3. Названия лабораторий, подлежащих инспекциям в рамках программы контроля соблюдения Стандарта, степень соответствия принципам Стандарта и дата проведения инспекций ежегодно по запросу предоставляется в уполномоченные органы в других странах.</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надлежащей</w:t>
            </w:r>
            <w:r>
              <w:br/>
            </w:r>
            <w:r>
              <w:rPr>
                <w:rFonts w:ascii="Times New Roman"/>
                <w:b w:val="false"/>
                <w:i w:val="false"/>
                <w:color w:val="000000"/>
                <w:sz w:val="20"/>
              </w:rPr>
              <w:t>лабораторной практики (GLP)</w:t>
            </w:r>
          </w:p>
        </w:tc>
      </w:tr>
    </w:tbl>
    <w:bookmarkStart w:name="z1193" w:id="1175"/>
    <w:p>
      <w:pPr>
        <w:spacing w:after="0"/>
        <w:ind w:left="0"/>
        <w:jc w:val="left"/>
      </w:pPr>
      <w:r>
        <w:rPr>
          <w:rFonts w:ascii="Times New Roman"/>
          <w:b/>
          <w:i w:val="false"/>
          <w:color w:val="000000"/>
        </w:rPr>
        <w:t xml:space="preserve"> Руководство для органов по контролю соблюдения Стандарта по подготовке ежегодных обзоров проверенных испытательных лабораторий</w:t>
      </w:r>
    </w:p>
    <w:bookmarkEnd w:id="1175"/>
    <w:bookmarkStart w:name="z1194" w:id="1176"/>
    <w:p>
      <w:pPr>
        <w:spacing w:after="0"/>
        <w:ind w:left="0"/>
        <w:jc w:val="both"/>
      </w:pPr>
      <w:r>
        <w:rPr>
          <w:rFonts w:ascii="Times New Roman"/>
          <w:b w:val="false"/>
          <w:i w:val="false"/>
          <w:color w:val="000000"/>
          <w:sz w:val="28"/>
        </w:rPr>
        <w:t>
      Следующая минимальная информация позволяет согласование кратких обзоров, передаваемых инспекторами для уполномоченного органа:</w:t>
      </w:r>
    </w:p>
    <w:bookmarkEnd w:id="1176"/>
    <w:bookmarkStart w:name="z1195" w:id="1177"/>
    <w:p>
      <w:pPr>
        <w:spacing w:after="0"/>
        <w:ind w:left="0"/>
        <w:jc w:val="both"/>
      </w:pPr>
      <w:r>
        <w:rPr>
          <w:rFonts w:ascii="Times New Roman"/>
          <w:b w:val="false"/>
          <w:i w:val="false"/>
          <w:color w:val="000000"/>
          <w:sz w:val="28"/>
        </w:rPr>
        <w:t>
      1. указание названия проверенной лаборатории: отражается достаточная информация для недвусмысленной идентификации лаборатории (название лаборатории, города и страны, в которой она находится, включая инспекции за границей);</w:t>
      </w:r>
    </w:p>
    <w:bookmarkEnd w:id="1177"/>
    <w:bookmarkStart w:name="z1196" w:id="1178"/>
    <w:p>
      <w:pPr>
        <w:spacing w:after="0"/>
        <w:ind w:left="0"/>
        <w:jc w:val="both"/>
      </w:pPr>
      <w:r>
        <w:rPr>
          <w:rFonts w:ascii="Times New Roman"/>
          <w:b w:val="false"/>
          <w:i w:val="false"/>
          <w:color w:val="000000"/>
          <w:sz w:val="28"/>
        </w:rPr>
        <w:t>
      2. даты инспекций и заключение: месяц и год проведения инспекции и в соответствующих случаях дата вынесения последнего заключения о статусе соответствия Стандарту;</w:t>
      </w:r>
    </w:p>
    <w:bookmarkEnd w:id="1178"/>
    <w:bookmarkStart w:name="z1197" w:id="1179"/>
    <w:p>
      <w:pPr>
        <w:spacing w:after="0"/>
        <w:ind w:left="0"/>
        <w:jc w:val="both"/>
      </w:pPr>
      <w:r>
        <w:rPr>
          <w:rFonts w:ascii="Times New Roman"/>
          <w:b w:val="false"/>
          <w:i w:val="false"/>
          <w:color w:val="000000"/>
          <w:sz w:val="28"/>
        </w:rPr>
        <w:t>
      3. описание инспекции: четко отражается, что было проведено: инспекция соблюдения Стандарта и (или) аудит исследования, была ли инспекция стандартной или нестандартной, участвовали ли в инспекции другие органы;</w:t>
      </w:r>
    </w:p>
    <w:bookmarkEnd w:id="1179"/>
    <w:bookmarkStart w:name="z1198" w:id="1180"/>
    <w:p>
      <w:pPr>
        <w:spacing w:after="0"/>
        <w:ind w:left="0"/>
        <w:jc w:val="both"/>
      </w:pPr>
      <w:r>
        <w:rPr>
          <w:rFonts w:ascii="Times New Roman"/>
          <w:b w:val="false"/>
          <w:i w:val="false"/>
          <w:color w:val="000000"/>
          <w:sz w:val="28"/>
        </w:rPr>
        <w:t>
      4. специализация проверенной лаборатории: Так как соответствие Стандарту связано с исследованиями, проводимыми лабораториями, специализация проверяемых лабораторий включается в ежегодный краткий обзор, например:</w:t>
      </w:r>
    </w:p>
    <w:bookmarkEnd w:id="1180"/>
    <w:bookmarkStart w:name="z1199" w:id="1181"/>
    <w:p>
      <w:pPr>
        <w:spacing w:after="0"/>
        <w:ind w:left="0"/>
        <w:jc w:val="both"/>
      </w:pPr>
      <w:r>
        <w:rPr>
          <w:rFonts w:ascii="Times New Roman"/>
          <w:b w:val="false"/>
          <w:i w:val="false"/>
          <w:color w:val="000000"/>
          <w:sz w:val="28"/>
        </w:rPr>
        <w:t>
      1) физико-химическое исследование;</w:t>
      </w:r>
    </w:p>
    <w:bookmarkEnd w:id="1181"/>
    <w:bookmarkStart w:name="z1200" w:id="1182"/>
    <w:p>
      <w:pPr>
        <w:spacing w:after="0"/>
        <w:ind w:left="0"/>
        <w:jc w:val="both"/>
      </w:pPr>
      <w:r>
        <w:rPr>
          <w:rFonts w:ascii="Times New Roman"/>
          <w:b w:val="false"/>
          <w:i w:val="false"/>
          <w:color w:val="000000"/>
          <w:sz w:val="28"/>
        </w:rPr>
        <w:t>
      2) исследования токсичности;</w:t>
      </w:r>
    </w:p>
    <w:bookmarkEnd w:id="1182"/>
    <w:bookmarkStart w:name="z1201" w:id="1183"/>
    <w:p>
      <w:pPr>
        <w:spacing w:after="0"/>
        <w:ind w:left="0"/>
        <w:jc w:val="both"/>
      </w:pPr>
      <w:r>
        <w:rPr>
          <w:rFonts w:ascii="Times New Roman"/>
          <w:b w:val="false"/>
          <w:i w:val="false"/>
          <w:color w:val="000000"/>
          <w:sz w:val="28"/>
        </w:rPr>
        <w:t>
      3) исследования мутагенности;</w:t>
      </w:r>
    </w:p>
    <w:bookmarkEnd w:id="1183"/>
    <w:bookmarkStart w:name="z1202" w:id="1184"/>
    <w:p>
      <w:pPr>
        <w:spacing w:after="0"/>
        <w:ind w:left="0"/>
        <w:jc w:val="both"/>
      </w:pPr>
      <w:r>
        <w:rPr>
          <w:rFonts w:ascii="Times New Roman"/>
          <w:b w:val="false"/>
          <w:i w:val="false"/>
          <w:color w:val="000000"/>
          <w:sz w:val="28"/>
        </w:rPr>
        <w:t>
      4) аналитические и клинические химические исследования;</w:t>
      </w:r>
    </w:p>
    <w:bookmarkEnd w:id="1184"/>
    <w:bookmarkStart w:name="z1203" w:id="1185"/>
    <w:p>
      <w:pPr>
        <w:spacing w:after="0"/>
        <w:ind w:left="0"/>
        <w:jc w:val="both"/>
      </w:pPr>
      <w:r>
        <w:rPr>
          <w:rFonts w:ascii="Times New Roman"/>
          <w:b w:val="false"/>
          <w:i w:val="false"/>
          <w:color w:val="000000"/>
          <w:sz w:val="28"/>
        </w:rPr>
        <w:t>
      5) другие исследования, указать.</w:t>
      </w:r>
    </w:p>
    <w:bookmarkEnd w:id="1185"/>
    <w:bookmarkStart w:name="z1204" w:id="1186"/>
    <w:p>
      <w:pPr>
        <w:spacing w:after="0"/>
        <w:ind w:left="0"/>
        <w:jc w:val="both"/>
      </w:pPr>
      <w:r>
        <w:rPr>
          <w:rFonts w:ascii="Times New Roman"/>
          <w:b w:val="false"/>
          <w:i w:val="false"/>
          <w:color w:val="000000"/>
          <w:sz w:val="28"/>
        </w:rPr>
        <w:t>
      Следует обратить внимание, что эти виды исследований могут использоваться в свободном режиме в зависимости от конкретного случая, и целью является предоставление информации о соответствии Стандарту, которая будет полезна для других регуляторных органов.</w:t>
      </w:r>
    </w:p>
    <w:bookmarkEnd w:id="1186"/>
    <w:bookmarkStart w:name="z1205" w:id="1187"/>
    <w:p>
      <w:pPr>
        <w:spacing w:after="0"/>
        <w:ind w:left="0"/>
        <w:jc w:val="both"/>
      </w:pPr>
      <w:r>
        <w:rPr>
          <w:rFonts w:ascii="Times New Roman"/>
          <w:b w:val="false"/>
          <w:i w:val="false"/>
          <w:color w:val="000000"/>
          <w:sz w:val="28"/>
        </w:rPr>
        <w:t>
      5. Статус соответствия: Для указания статуса соответствия лабораторий используют три категории:</w:t>
      </w:r>
    </w:p>
    <w:bookmarkEnd w:id="1187"/>
    <w:bookmarkStart w:name="z1206" w:id="1188"/>
    <w:p>
      <w:pPr>
        <w:spacing w:after="0"/>
        <w:ind w:left="0"/>
        <w:jc w:val="both"/>
      </w:pPr>
      <w:r>
        <w:rPr>
          <w:rFonts w:ascii="Times New Roman"/>
          <w:b w:val="false"/>
          <w:i w:val="false"/>
          <w:color w:val="000000"/>
          <w:sz w:val="28"/>
        </w:rPr>
        <w:t>
      1) соответствует;</w:t>
      </w:r>
    </w:p>
    <w:bookmarkEnd w:id="1188"/>
    <w:bookmarkStart w:name="z1207" w:id="1189"/>
    <w:p>
      <w:pPr>
        <w:spacing w:after="0"/>
        <w:ind w:left="0"/>
        <w:jc w:val="both"/>
      </w:pPr>
      <w:r>
        <w:rPr>
          <w:rFonts w:ascii="Times New Roman"/>
          <w:b w:val="false"/>
          <w:i w:val="false"/>
          <w:color w:val="000000"/>
          <w:sz w:val="28"/>
        </w:rPr>
        <w:t>
      2) не соответствует;</w:t>
      </w:r>
    </w:p>
    <w:bookmarkEnd w:id="1189"/>
    <w:bookmarkStart w:name="z1208" w:id="1190"/>
    <w:p>
      <w:pPr>
        <w:spacing w:after="0"/>
        <w:ind w:left="0"/>
        <w:jc w:val="both"/>
      </w:pPr>
      <w:r>
        <w:rPr>
          <w:rFonts w:ascii="Times New Roman"/>
          <w:b w:val="false"/>
          <w:i w:val="false"/>
          <w:color w:val="000000"/>
          <w:sz w:val="28"/>
        </w:rPr>
        <w:t>
      3) не закончено (с указание причины).</w:t>
      </w:r>
    </w:p>
    <w:bookmarkEnd w:id="1190"/>
    <w:bookmarkStart w:name="z1209" w:id="1191"/>
    <w:p>
      <w:pPr>
        <w:spacing w:after="0"/>
        <w:ind w:left="0"/>
        <w:jc w:val="both"/>
      </w:pPr>
      <w:r>
        <w:rPr>
          <w:rFonts w:ascii="Times New Roman"/>
          <w:b w:val="false"/>
          <w:i w:val="false"/>
          <w:color w:val="000000"/>
          <w:sz w:val="28"/>
        </w:rPr>
        <w:t>
      Для того чтобы термин "не закончено" не был истолкован по-разному, его применение сопровождается объяснениями в обзоре. Такие объяснения включает "повторная инспекция не закончена", "отложенный ответ из лаборатории", "административная процедура не завершена".</w:t>
      </w:r>
    </w:p>
    <w:bookmarkEnd w:id="1191"/>
    <w:bookmarkStart w:name="z1210" w:id="1192"/>
    <w:p>
      <w:pPr>
        <w:spacing w:after="0"/>
        <w:ind w:left="0"/>
        <w:jc w:val="both"/>
      </w:pPr>
      <w:r>
        <w:rPr>
          <w:rFonts w:ascii="Times New Roman"/>
          <w:b w:val="false"/>
          <w:i w:val="false"/>
          <w:color w:val="000000"/>
          <w:sz w:val="28"/>
        </w:rPr>
        <w:t>
      6. Комментарии: При необходимости делаются дополнительные комментарии.</w:t>
      </w:r>
    </w:p>
    <w:bookmarkEnd w:id="1192"/>
    <w:bookmarkStart w:name="z1211" w:id="1193"/>
    <w:p>
      <w:pPr>
        <w:spacing w:after="0"/>
        <w:ind w:left="0"/>
        <w:jc w:val="both"/>
      </w:pPr>
      <w:r>
        <w:rPr>
          <w:rFonts w:ascii="Times New Roman"/>
          <w:b w:val="false"/>
          <w:i w:val="false"/>
          <w:color w:val="000000"/>
          <w:sz w:val="28"/>
        </w:rPr>
        <w:t xml:space="preserve">
      7. Серьезные отклонения: В ежегодных обзорах проверенных лабораторий отражаются сообщения об отдельных исследованиях, в результате аудита которых были обнаружены серьезные отклонения соблюдения Стандарта и которые впоследствии были признаны уполномоченным органом недействительными. Так как многие исследования одновременно направляются в уполномоченный орган разных стран, рекомендуется, чтобы эта информация была распространена среди регуляторных органов как можно быстрее в дополнение к ежегодным обзорам. </w:t>
      </w:r>
    </w:p>
    <w:bookmarkEnd w:id="1193"/>
    <w:bookmarkStart w:name="z1212" w:id="1194"/>
    <w:p>
      <w:pPr>
        <w:spacing w:after="0"/>
        <w:ind w:left="0"/>
        <w:jc w:val="both"/>
      </w:pPr>
      <w:r>
        <w:rPr>
          <w:rFonts w:ascii="Times New Roman"/>
          <w:b w:val="false"/>
          <w:i w:val="false"/>
          <w:color w:val="000000"/>
          <w:sz w:val="28"/>
        </w:rPr>
        <w:t>
      8. Заключение о соответствии: При направлении уполномоченным органом заключения о соответствии, в них используются та же терминология и категории, что и в ежегодных обзорах.</w:t>
      </w:r>
    </w:p>
    <w:bookmarkEnd w:id="1194"/>
    <w:bookmarkStart w:name="z1213" w:id="1195"/>
    <w:p>
      <w:pPr>
        <w:spacing w:after="0"/>
        <w:ind w:left="0"/>
        <w:jc w:val="both"/>
      </w:pPr>
      <w:r>
        <w:rPr>
          <w:rFonts w:ascii="Times New Roman"/>
          <w:b w:val="false"/>
          <w:i w:val="false"/>
          <w:color w:val="000000"/>
          <w:sz w:val="28"/>
        </w:rPr>
        <w:t>
      9. Распространение ежегодных обзоров: Обзоры по запросу предоставляются общественности по решению уполномоченного органа.</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2021 года</w:t>
            </w:r>
            <w:r>
              <w:br/>
            </w:r>
            <w:r>
              <w:rPr>
                <w:rFonts w:ascii="Times New Roman"/>
                <w:b w:val="false"/>
                <w:i w:val="false"/>
                <w:color w:val="000000"/>
                <w:sz w:val="20"/>
              </w:rPr>
              <w:t>№ ҚР ДСМ-15</w:t>
            </w:r>
          </w:p>
        </w:tc>
      </w:tr>
    </w:tbl>
    <w:bookmarkStart w:name="z1215" w:id="1196"/>
    <w:p>
      <w:pPr>
        <w:spacing w:after="0"/>
        <w:ind w:left="0"/>
        <w:jc w:val="left"/>
      </w:pPr>
      <w:r>
        <w:rPr>
          <w:rFonts w:ascii="Times New Roman"/>
          <w:b/>
          <w:i w:val="false"/>
          <w:color w:val="000000"/>
        </w:rPr>
        <w:t xml:space="preserve"> Cтандарт надлежащей клинической практики (GCP)</w:t>
      </w:r>
    </w:p>
    <w:bookmarkEnd w:id="1196"/>
    <w:bookmarkStart w:name="z1216" w:id="1197"/>
    <w:p>
      <w:pPr>
        <w:spacing w:after="0"/>
        <w:ind w:left="0"/>
        <w:jc w:val="left"/>
      </w:pPr>
      <w:r>
        <w:rPr>
          <w:rFonts w:ascii="Times New Roman"/>
          <w:b/>
          <w:i w:val="false"/>
          <w:color w:val="000000"/>
        </w:rPr>
        <w:t xml:space="preserve"> Глава 1. Общие положения</w:t>
      </w:r>
    </w:p>
    <w:bookmarkEnd w:id="1197"/>
    <w:bookmarkStart w:name="z1217" w:id="1198"/>
    <w:p>
      <w:pPr>
        <w:spacing w:after="0"/>
        <w:ind w:left="0"/>
        <w:jc w:val="both"/>
      </w:pPr>
      <w:r>
        <w:rPr>
          <w:rFonts w:ascii="Times New Roman"/>
          <w:b w:val="false"/>
          <w:i w:val="false"/>
          <w:color w:val="000000"/>
          <w:sz w:val="28"/>
        </w:rPr>
        <w:t xml:space="preserve">
      1. Настоящий Стандарт надлежащей клинической практики (далее – Стандарт) разработан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10 Кодекса Республики Казахстан "О здоровье народа и системе здравоохранения" и определяет требования надлежащей клинической практики.</w:t>
      </w:r>
    </w:p>
    <w:bookmarkEnd w:id="1198"/>
    <w:p>
      <w:pPr>
        <w:spacing w:after="0"/>
        <w:ind w:left="0"/>
        <w:jc w:val="both"/>
      </w:pPr>
      <w:r>
        <w:rPr>
          <w:rFonts w:ascii="Times New Roman"/>
          <w:b w:val="false"/>
          <w:i w:val="false"/>
          <w:color w:val="000000"/>
          <w:sz w:val="28"/>
        </w:rPr>
        <w:t>
      Стандарт является частью системы обеспечения качества и устанавливает правила проведения исследований с участием человека в качестве субъекта, а также документального оформления и представления результатов таких исследований.</w:t>
      </w:r>
    </w:p>
    <w:p>
      <w:pPr>
        <w:spacing w:after="0"/>
        <w:ind w:left="0"/>
        <w:jc w:val="both"/>
      </w:pPr>
      <w:r>
        <w:rPr>
          <w:rFonts w:ascii="Times New Roman"/>
          <w:b w:val="false"/>
          <w:i w:val="false"/>
          <w:color w:val="000000"/>
          <w:sz w:val="28"/>
        </w:rPr>
        <w:t>
      Принципы, установленные настоящим Стандартом, применимы также и к клиническим исследованиям, которые оказывают влияние на безопасность и благополучие человека, выступающего в качестве субъекта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0" w:id="1199"/>
    <w:p>
      <w:pPr>
        <w:spacing w:after="0"/>
        <w:ind w:left="0"/>
        <w:jc w:val="both"/>
      </w:pPr>
      <w:r>
        <w:rPr>
          <w:rFonts w:ascii="Times New Roman"/>
          <w:b w:val="false"/>
          <w:i w:val="false"/>
          <w:color w:val="000000"/>
          <w:sz w:val="28"/>
        </w:rPr>
        <w:t>
      2. В настоящем Стандарте применяются следующие термины:</w:t>
      </w:r>
    </w:p>
    <w:bookmarkEnd w:id="1199"/>
    <w:bookmarkStart w:name="z1221" w:id="1200"/>
    <w:p>
      <w:pPr>
        <w:spacing w:after="0"/>
        <w:ind w:left="0"/>
        <w:jc w:val="both"/>
      </w:pPr>
      <w:r>
        <w:rPr>
          <w:rFonts w:ascii="Times New Roman"/>
          <w:b w:val="false"/>
          <w:i w:val="false"/>
          <w:color w:val="000000"/>
          <w:sz w:val="28"/>
        </w:rPr>
        <w:t>
      1) аудит -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стандартным операционным процедурам спонсора, надлежащей клинической практике и нормативным требованиям;</w:t>
      </w:r>
    </w:p>
    <w:bookmarkEnd w:id="1200"/>
    <w:bookmarkStart w:name="z1222" w:id="1201"/>
    <w:p>
      <w:pPr>
        <w:spacing w:after="0"/>
        <w:ind w:left="0"/>
        <w:jc w:val="both"/>
      </w:pPr>
      <w:r>
        <w:rPr>
          <w:rFonts w:ascii="Times New Roman"/>
          <w:b w:val="false"/>
          <w:i w:val="false"/>
          <w:color w:val="000000"/>
          <w:sz w:val="28"/>
        </w:rPr>
        <w:t>
      2) отчет об аудите - письменное заключение аудитора спонсора о результатах аудита;</w:t>
      </w:r>
    </w:p>
    <w:bookmarkEnd w:id="1201"/>
    <w:bookmarkStart w:name="z1223" w:id="1202"/>
    <w:p>
      <w:pPr>
        <w:spacing w:after="0"/>
        <w:ind w:left="0"/>
        <w:jc w:val="both"/>
      </w:pPr>
      <w:r>
        <w:rPr>
          <w:rFonts w:ascii="Times New Roman"/>
          <w:b w:val="false"/>
          <w:i w:val="false"/>
          <w:color w:val="000000"/>
          <w:sz w:val="28"/>
        </w:rPr>
        <w:t>
      3) сертификат аудита - документ, составленный аудитором в подтверждение факта проведения аудита;</w:t>
      </w:r>
    </w:p>
    <w:bookmarkEnd w:id="1202"/>
    <w:bookmarkStart w:name="z1224" w:id="1203"/>
    <w:p>
      <w:pPr>
        <w:spacing w:after="0"/>
        <w:ind w:left="0"/>
        <w:jc w:val="both"/>
      </w:pPr>
      <w:r>
        <w:rPr>
          <w:rFonts w:ascii="Times New Roman"/>
          <w:b w:val="false"/>
          <w:i w:val="false"/>
          <w:color w:val="000000"/>
          <w:sz w:val="28"/>
        </w:rPr>
        <w:t>
      4) первичные данные - информация, представленная в подлинниках или их заверенных копиях, описывающая результаты клинических наблюдений, обследований, позволяющая воссоздать и оценить ход клинического исследования. Первичные данные содержатся в первичной документации;</w:t>
      </w:r>
    </w:p>
    <w:bookmarkEnd w:id="1203"/>
    <w:bookmarkStart w:name="z1225" w:id="1204"/>
    <w:p>
      <w:pPr>
        <w:spacing w:after="0"/>
        <w:ind w:left="0"/>
        <w:jc w:val="both"/>
      </w:pPr>
      <w:r>
        <w:rPr>
          <w:rFonts w:ascii="Times New Roman"/>
          <w:b w:val="false"/>
          <w:i w:val="false"/>
          <w:color w:val="000000"/>
          <w:sz w:val="28"/>
        </w:rPr>
        <w:t xml:space="preserve">
      5) первичная документация - исходные документы, данные и записи, используемые в клиническом исследовании; </w:t>
      </w:r>
    </w:p>
    <w:bookmarkEnd w:id="1204"/>
    <w:bookmarkStart w:name="z1226" w:id="1205"/>
    <w:p>
      <w:pPr>
        <w:spacing w:after="0"/>
        <w:ind w:left="0"/>
        <w:jc w:val="both"/>
      </w:pPr>
      <w:r>
        <w:rPr>
          <w:rFonts w:ascii="Times New Roman"/>
          <w:b w:val="false"/>
          <w:i w:val="false"/>
          <w:color w:val="000000"/>
          <w:sz w:val="28"/>
        </w:rPr>
        <w:t>
      6)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205"/>
    <w:bookmarkStart w:name="z1227" w:id="1206"/>
    <w:p>
      <w:pPr>
        <w:spacing w:after="0"/>
        <w:ind w:left="0"/>
        <w:jc w:val="both"/>
      </w:pPr>
      <w:r>
        <w:rPr>
          <w:rFonts w:ascii="Times New Roman"/>
          <w:b w:val="false"/>
          <w:i w:val="false"/>
          <w:color w:val="000000"/>
          <w:sz w:val="28"/>
        </w:rPr>
        <w:t xml:space="preserve">
      7) спонсор - физическое или юридическое лицо, являющееся инициатором клинического исследования и отвечающее за его организацию и (или) финансирование; </w:t>
      </w:r>
    </w:p>
    <w:bookmarkEnd w:id="1206"/>
    <w:bookmarkStart w:name="z1228" w:id="1207"/>
    <w:p>
      <w:pPr>
        <w:spacing w:after="0"/>
        <w:ind w:left="0"/>
        <w:jc w:val="both"/>
      </w:pPr>
      <w:r>
        <w:rPr>
          <w:rFonts w:ascii="Times New Roman"/>
          <w:b w:val="false"/>
          <w:i w:val="false"/>
          <w:color w:val="000000"/>
          <w:sz w:val="28"/>
        </w:rPr>
        <w:t>
      8) спонсор-исследователь -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назначают, либо выдают субъекту исследования, либо последний принимает его;</w:t>
      </w:r>
    </w:p>
    <w:bookmarkEnd w:id="1207"/>
    <w:bookmarkStart w:name="z1229" w:id="1208"/>
    <w:p>
      <w:pPr>
        <w:spacing w:after="0"/>
        <w:ind w:left="0"/>
        <w:jc w:val="both"/>
      </w:pPr>
      <w:r>
        <w:rPr>
          <w:rFonts w:ascii="Times New Roman"/>
          <w:b w:val="false"/>
          <w:i w:val="false"/>
          <w:color w:val="000000"/>
          <w:sz w:val="28"/>
        </w:rPr>
        <w:t>
      9) индивидуальная регистрационная карта (далее - ИРК) - 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bookmarkEnd w:id="1208"/>
    <w:bookmarkStart w:name="z1230" w:id="1209"/>
    <w:p>
      <w:pPr>
        <w:spacing w:after="0"/>
        <w:ind w:left="0"/>
        <w:jc w:val="both"/>
      </w:pPr>
      <w:r>
        <w:rPr>
          <w:rFonts w:ascii="Times New Roman"/>
          <w:b w:val="false"/>
          <w:i w:val="false"/>
          <w:color w:val="000000"/>
          <w:sz w:val="28"/>
        </w:rPr>
        <w:t>
      10) независимая группа по мониторингу данных - группа специалистов, создаваемая спонсором,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p>
    <w:bookmarkEnd w:id="1209"/>
    <w:bookmarkStart w:name="z1231" w:id="1210"/>
    <w:p>
      <w:pPr>
        <w:spacing w:after="0"/>
        <w:ind w:left="0"/>
        <w:jc w:val="both"/>
      </w:pPr>
      <w:r>
        <w:rPr>
          <w:rFonts w:ascii="Times New Roman"/>
          <w:b w:val="false"/>
          <w:i w:val="false"/>
          <w:color w:val="000000"/>
          <w:sz w:val="28"/>
        </w:rPr>
        <w:t>
      11) серьезное нежелательное явление (далее - СНЯ) и (или) серьезная нежелательная реакция (далее - СНР)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p>
    <w:bookmarkEnd w:id="1210"/>
    <w:bookmarkStart w:name="z1232" w:id="1211"/>
    <w:p>
      <w:pPr>
        <w:spacing w:after="0"/>
        <w:ind w:left="0"/>
        <w:jc w:val="both"/>
      </w:pPr>
      <w:r>
        <w:rPr>
          <w:rFonts w:ascii="Times New Roman"/>
          <w:b w:val="false"/>
          <w:i w:val="false"/>
          <w:color w:val="000000"/>
          <w:sz w:val="28"/>
        </w:rPr>
        <w:t>
      12) нежелательное явление - любое неблагоприятное и непреднамеренное изменение в состоянии здоровья пациента или субъекта клинического исследования (испытания), которому назначался лекарственный препарат, независимо от причинно-следственной связи с его применением;</w:t>
      </w:r>
    </w:p>
    <w:bookmarkEnd w:id="1211"/>
    <w:bookmarkStart w:name="z1233" w:id="1212"/>
    <w:p>
      <w:pPr>
        <w:spacing w:after="0"/>
        <w:ind w:left="0"/>
        <w:jc w:val="both"/>
      </w:pPr>
      <w:r>
        <w:rPr>
          <w:rFonts w:ascii="Times New Roman"/>
          <w:b w:val="false"/>
          <w:i w:val="false"/>
          <w:color w:val="000000"/>
          <w:sz w:val="28"/>
        </w:rPr>
        <w:t>
      13) нежелательная реакция - непреднамеренная неблагоприятная реакция организма, связанная с применением лекарственного средства (исследуемого препарата), предполагающая наличие, как минимум, возможной взаимосвязи с применением подозреваемого лекарственного препарата (исследуемого препарата);</w:t>
      </w:r>
    </w:p>
    <w:bookmarkEnd w:id="1212"/>
    <w:bookmarkStart w:name="z1234" w:id="1213"/>
    <w:p>
      <w:pPr>
        <w:spacing w:after="0"/>
        <w:ind w:left="0"/>
        <w:jc w:val="both"/>
      </w:pPr>
      <w:r>
        <w:rPr>
          <w:rFonts w:ascii="Times New Roman"/>
          <w:b w:val="false"/>
          <w:i w:val="false"/>
          <w:color w:val="000000"/>
          <w:sz w:val="28"/>
        </w:rPr>
        <w:t>
      14) слепой метод и (или) маскировка -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w:t>
      </w:r>
    </w:p>
    <w:bookmarkEnd w:id="1213"/>
    <w:bookmarkStart w:name="z1235" w:id="1214"/>
    <w:p>
      <w:pPr>
        <w:spacing w:after="0"/>
        <w:ind w:left="0"/>
        <w:jc w:val="both"/>
      </w:pPr>
      <w:r>
        <w:rPr>
          <w:rFonts w:ascii="Times New Roman"/>
          <w:b w:val="false"/>
          <w:i w:val="false"/>
          <w:color w:val="000000"/>
          <w:sz w:val="28"/>
        </w:rPr>
        <w:t>
      15) законный представитель - физическое или юридическое лицо, или иной субъект права, дающий согласие на участие в клиническом исследовании от имени потенциального субъекта исследования;</w:t>
      </w:r>
    </w:p>
    <w:bookmarkEnd w:id="1214"/>
    <w:bookmarkStart w:name="z1236" w:id="1215"/>
    <w:p>
      <w:pPr>
        <w:spacing w:after="0"/>
        <w:ind w:left="0"/>
        <w:jc w:val="both"/>
      </w:pPr>
      <w:r>
        <w:rPr>
          <w:rFonts w:ascii="Times New Roman"/>
          <w:b w:val="false"/>
          <w:i w:val="false"/>
          <w:color w:val="000000"/>
          <w:sz w:val="28"/>
        </w:rPr>
        <w:t>
      16) исследуемый препарат - лекарственная форма активного вещества или плацебо, изучаемая или используемая для контроля в клиническом исследовании, в том числе зарегистрированный лекарственный препарат в случае, если способ его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bookmarkEnd w:id="1215"/>
    <w:bookmarkStart w:name="z1237" w:id="1216"/>
    <w:p>
      <w:pPr>
        <w:spacing w:after="0"/>
        <w:ind w:left="0"/>
        <w:jc w:val="both"/>
      </w:pPr>
      <w:r>
        <w:rPr>
          <w:rFonts w:ascii="Times New Roman"/>
          <w:b w:val="false"/>
          <w:i w:val="false"/>
          <w:color w:val="000000"/>
          <w:sz w:val="28"/>
        </w:rPr>
        <w:t>
      17) благополучие субъектов исследования (пациентов) - физическое и психическое здоровье субъектов, участвующих в клиническом исследовании;</w:t>
      </w:r>
    </w:p>
    <w:bookmarkEnd w:id="1216"/>
    <w:bookmarkStart w:name="z1238" w:id="1217"/>
    <w:p>
      <w:pPr>
        <w:spacing w:after="0"/>
        <w:ind w:left="0"/>
        <w:jc w:val="both"/>
      </w:pPr>
      <w:r>
        <w:rPr>
          <w:rFonts w:ascii="Times New Roman"/>
          <w:b w:val="false"/>
          <w:i w:val="false"/>
          <w:color w:val="000000"/>
          <w:sz w:val="28"/>
        </w:rPr>
        <w:t>
      18) исследователь - физическое лицо, отвечающее за проведение клинического исследования в исследовательском центре. В случае проведения исследования на клинической базе группой лиц исследователем (главным исследователем) является руководитель группы;</w:t>
      </w:r>
    </w:p>
    <w:bookmarkEnd w:id="1217"/>
    <w:bookmarkStart w:name="z1239" w:id="1218"/>
    <w:p>
      <w:pPr>
        <w:spacing w:after="0"/>
        <w:ind w:left="0"/>
        <w:jc w:val="both"/>
      </w:pPr>
      <w:r>
        <w:rPr>
          <w:rFonts w:ascii="Times New Roman"/>
          <w:b w:val="false"/>
          <w:i w:val="false"/>
          <w:color w:val="000000"/>
          <w:sz w:val="28"/>
        </w:rPr>
        <w:t>
      19) брошюра исследователя (далее - БИ) - сводное изложение результатов клинического и доклинического изучения исследуемого препарата, значимых для его исследования на человеке;</w:t>
      </w:r>
    </w:p>
    <w:bookmarkEnd w:id="1218"/>
    <w:bookmarkStart w:name="z1240" w:id="1219"/>
    <w:p>
      <w:pPr>
        <w:spacing w:after="0"/>
        <w:ind w:left="0"/>
        <w:jc w:val="both"/>
      </w:pPr>
      <w:r>
        <w:rPr>
          <w:rFonts w:ascii="Times New Roman"/>
          <w:b w:val="false"/>
          <w:i w:val="false"/>
          <w:color w:val="000000"/>
          <w:sz w:val="28"/>
        </w:rPr>
        <w:t>
      20) исследователь-координатор -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bookmarkEnd w:id="1219"/>
    <w:bookmarkStart w:name="z1241" w:id="1220"/>
    <w:p>
      <w:pPr>
        <w:spacing w:after="0"/>
        <w:ind w:left="0"/>
        <w:jc w:val="both"/>
      </w:pPr>
      <w:r>
        <w:rPr>
          <w:rFonts w:ascii="Times New Roman"/>
          <w:b w:val="false"/>
          <w:i w:val="false"/>
          <w:color w:val="000000"/>
          <w:sz w:val="28"/>
        </w:rPr>
        <w:t>
      21) исследователь или медицинская организация - термин, обозначающий исследователя или организацию;</w:t>
      </w:r>
    </w:p>
    <w:bookmarkEnd w:id="1220"/>
    <w:bookmarkStart w:name="z1242" w:id="1221"/>
    <w:p>
      <w:pPr>
        <w:spacing w:after="0"/>
        <w:ind w:left="0"/>
        <w:jc w:val="both"/>
      </w:pPr>
      <w:r>
        <w:rPr>
          <w:rFonts w:ascii="Times New Roman"/>
          <w:b w:val="false"/>
          <w:i w:val="false"/>
          <w:color w:val="000000"/>
          <w:sz w:val="28"/>
        </w:rPr>
        <w:t>
      22) инспекция (проверка) - действие уполномоченного органа в области здравоохранения, заключающееся в официальной проверке с привлечением экспертной организации в сфере обращения лекарственных средств и медицинских изделий документации, оборудования, материалов, имеющих отношение к клиническому исследованию и находящихся в исследовательском центре, в помещениях спонсора и (или) контрактной исследовательской организации, а также иных организациях, имеющих отношение к исследованию;</w:t>
      </w:r>
    </w:p>
    <w:bookmarkEnd w:id="1221"/>
    <w:bookmarkStart w:name="z1243" w:id="1222"/>
    <w:p>
      <w:pPr>
        <w:spacing w:after="0"/>
        <w:ind w:left="0"/>
        <w:jc w:val="both"/>
      </w:pPr>
      <w:r>
        <w:rPr>
          <w:rFonts w:ascii="Times New Roman"/>
          <w:b w:val="false"/>
          <w:i w:val="false"/>
          <w:color w:val="000000"/>
          <w:sz w:val="28"/>
        </w:rPr>
        <w:t>
      23) договор - датированное и подписанное соглашение между двумя или более сторонами, которое устанавливает договоренности, касающиеся распределения объема работ при проведении клинического исследования, а также финансовых вопросов, основой договора служит протокол исследования;</w:t>
      </w:r>
    </w:p>
    <w:bookmarkEnd w:id="1222"/>
    <w:bookmarkStart w:name="z1244" w:id="1223"/>
    <w:p>
      <w:pPr>
        <w:spacing w:after="0"/>
        <w:ind w:left="0"/>
        <w:jc w:val="both"/>
      </w:pPr>
      <w:r>
        <w:rPr>
          <w:rFonts w:ascii="Times New Roman"/>
          <w:b w:val="false"/>
          <w:i w:val="false"/>
          <w:color w:val="000000"/>
          <w:sz w:val="28"/>
        </w:rPr>
        <w:t>
      24) контрактная исследовательская организация - физическое лицо (организация), выполняющее в рамках договора со спонсором одну или более из его функций, связанных с проведением клинического исследования;</w:t>
      </w:r>
    </w:p>
    <w:bookmarkEnd w:id="1223"/>
    <w:bookmarkStart w:name="z1245" w:id="1224"/>
    <w:p>
      <w:pPr>
        <w:spacing w:after="0"/>
        <w:ind w:left="0"/>
        <w:jc w:val="both"/>
      </w:pPr>
      <w:r>
        <w:rPr>
          <w:rFonts w:ascii="Times New Roman"/>
          <w:b w:val="false"/>
          <w:i w:val="false"/>
          <w:color w:val="000000"/>
          <w:sz w:val="28"/>
        </w:rPr>
        <w:t>
      25) доклинические исследования - биомедицинские исследования, проводимые без участия человека в качестве субъекта;</w:t>
      </w:r>
    </w:p>
    <w:bookmarkEnd w:id="1224"/>
    <w:bookmarkStart w:name="z1246" w:id="1225"/>
    <w:p>
      <w:pPr>
        <w:spacing w:after="0"/>
        <w:ind w:left="0"/>
        <w:jc w:val="both"/>
      </w:pPr>
      <w:r>
        <w:rPr>
          <w:rFonts w:ascii="Times New Roman"/>
          <w:b w:val="false"/>
          <w:i w:val="false"/>
          <w:color w:val="000000"/>
          <w:sz w:val="28"/>
        </w:rPr>
        <w:t>
      26) клиническая база - фактическое место проведения клинического исследования;</w:t>
      </w:r>
    </w:p>
    <w:bookmarkEnd w:id="1225"/>
    <w:bookmarkStart w:name="z1247" w:id="1226"/>
    <w:p>
      <w:pPr>
        <w:spacing w:after="0"/>
        <w:ind w:left="0"/>
        <w:jc w:val="both"/>
      </w:pPr>
      <w:r>
        <w:rPr>
          <w:rFonts w:ascii="Times New Roman"/>
          <w:b w:val="false"/>
          <w:i w:val="false"/>
          <w:color w:val="000000"/>
          <w:sz w:val="28"/>
        </w:rPr>
        <w:t>
      27) клиническое исследование (испытание) - любое исследование (испытание), проводимое с участием человека в качестве субъекта для выявления или подтверждения клинических и (или) фармакологических эффектов исследуемых препаратов и (или) выявления нежелательных реакций на исследуемые препараты, и (или) изучения их всасывания, распределения, метаболизма и выведения с целью выполнения оценки безопасности и (или) эффективности;</w:t>
      </w:r>
    </w:p>
    <w:bookmarkEnd w:id="1226"/>
    <w:bookmarkStart w:name="z1248" w:id="1227"/>
    <w:p>
      <w:pPr>
        <w:spacing w:after="0"/>
        <w:ind w:left="0"/>
        <w:jc w:val="both"/>
      </w:pPr>
      <w:r>
        <w:rPr>
          <w:rFonts w:ascii="Times New Roman"/>
          <w:b w:val="false"/>
          <w:i w:val="false"/>
          <w:color w:val="000000"/>
          <w:sz w:val="28"/>
        </w:rPr>
        <w:t>
      28) промежуточный отчет о клиническом исследовании (испытании) - отчет о промежуточных результатах и их оценке, основанный на проведенном в ходе клинического исследования анализе данных;</w:t>
      </w:r>
    </w:p>
    <w:bookmarkEnd w:id="1227"/>
    <w:bookmarkStart w:name="z1249" w:id="1228"/>
    <w:p>
      <w:pPr>
        <w:spacing w:after="0"/>
        <w:ind w:left="0"/>
        <w:jc w:val="both"/>
      </w:pPr>
      <w:r>
        <w:rPr>
          <w:rFonts w:ascii="Times New Roman"/>
          <w:b w:val="false"/>
          <w:i w:val="false"/>
          <w:color w:val="000000"/>
          <w:sz w:val="28"/>
        </w:rPr>
        <w:t>
      29) отчет о клиническом исследовании (испытании) - описание в письменной форме клинического исследования терапевтического, профилактического или диагностического средства с участием человека в качестве субъекта, объединяющее клиническое и статистическое описания, представление данных и их анализ;</w:t>
      </w:r>
    </w:p>
    <w:bookmarkEnd w:id="1228"/>
    <w:bookmarkStart w:name="z1250" w:id="1229"/>
    <w:p>
      <w:pPr>
        <w:spacing w:after="0"/>
        <w:ind w:left="0"/>
        <w:jc w:val="both"/>
      </w:pPr>
      <w:r>
        <w:rPr>
          <w:rFonts w:ascii="Times New Roman"/>
          <w:b w:val="false"/>
          <w:i w:val="false"/>
          <w:color w:val="000000"/>
          <w:sz w:val="28"/>
        </w:rPr>
        <w:t>
      30) протокол клинического исследования (далее - протокол) - документ, описывающий цели, дизайн, методологию, статистические аспекты и организацию исследования;</w:t>
      </w:r>
    </w:p>
    <w:bookmarkEnd w:id="1229"/>
    <w:bookmarkStart w:name="z1251" w:id="1230"/>
    <w:p>
      <w:pPr>
        <w:spacing w:after="0"/>
        <w:ind w:left="0"/>
        <w:jc w:val="both"/>
      </w:pPr>
      <w:r>
        <w:rPr>
          <w:rFonts w:ascii="Times New Roman"/>
          <w:b w:val="false"/>
          <w:i w:val="false"/>
          <w:color w:val="000000"/>
          <w:sz w:val="28"/>
        </w:rPr>
        <w:t>
      31) соблюдение требований применительно к клиническим исследованиям - следование требованиям настоящего Стандарта, протоколу клинического исследования</w:t>
      </w:r>
    </w:p>
    <w:bookmarkEnd w:id="1230"/>
    <w:bookmarkStart w:name="z1252" w:id="1231"/>
    <w:p>
      <w:pPr>
        <w:spacing w:after="0"/>
        <w:ind w:left="0"/>
        <w:jc w:val="both"/>
      </w:pPr>
      <w:r>
        <w:rPr>
          <w:rFonts w:ascii="Times New Roman"/>
          <w:b w:val="false"/>
          <w:i w:val="false"/>
          <w:color w:val="000000"/>
          <w:sz w:val="28"/>
        </w:rPr>
        <w:t>
      32) координационная группа - группа, организуемая спонсором, для координации проведения многоцентрового клинического исследования;</w:t>
      </w:r>
    </w:p>
    <w:bookmarkEnd w:id="1231"/>
    <w:bookmarkStart w:name="z1253" w:id="1232"/>
    <w:p>
      <w:pPr>
        <w:spacing w:after="0"/>
        <w:ind w:left="0"/>
        <w:jc w:val="both"/>
      </w:pPr>
      <w:r>
        <w:rPr>
          <w:rFonts w:ascii="Times New Roman"/>
          <w:b w:val="false"/>
          <w:i w:val="false"/>
          <w:color w:val="000000"/>
          <w:sz w:val="28"/>
        </w:rPr>
        <w:t>
      33) многоцентровое клиническое исследование - клиническое исследование, проводимое по единому протоколу более чем в одном исследовательском центре и более чем одним исследователем;</w:t>
      </w:r>
    </w:p>
    <w:bookmarkEnd w:id="1232"/>
    <w:bookmarkStart w:name="z1254" w:id="1233"/>
    <w:p>
      <w:pPr>
        <w:spacing w:after="0"/>
        <w:ind w:left="0"/>
        <w:jc w:val="both"/>
      </w:pPr>
      <w:r>
        <w:rPr>
          <w:rFonts w:ascii="Times New Roman"/>
          <w:b w:val="false"/>
          <w:i w:val="false"/>
          <w:color w:val="000000"/>
          <w:sz w:val="28"/>
        </w:rPr>
        <w:t>
      34) непредвиденная нежелательная реакция - нежелательная реакция, характер, степень тяжести или исход которой не соответствуют информации действующей инструкции по медицинскому применению лекарственного препарата либо брошюре исследователя для незарегистрированного лекарственного препарата;</w:t>
      </w:r>
    </w:p>
    <w:bookmarkEnd w:id="1233"/>
    <w:bookmarkStart w:name="z1255" w:id="1234"/>
    <w:p>
      <w:pPr>
        <w:spacing w:after="0"/>
        <w:ind w:left="0"/>
        <w:jc w:val="both"/>
      </w:pPr>
      <w:r>
        <w:rPr>
          <w:rFonts w:ascii="Times New Roman"/>
          <w:b w:val="false"/>
          <w:i w:val="false"/>
          <w:color w:val="000000"/>
          <w:sz w:val="28"/>
        </w:rPr>
        <w:t>
      35) уязвимые субъекты исследования - лица, на чье желание участвовать в клиническом исследовании оказывает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w:t>
      </w:r>
    </w:p>
    <w:bookmarkEnd w:id="1234"/>
    <w:bookmarkStart w:name="z1256" w:id="1235"/>
    <w:p>
      <w:pPr>
        <w:spacing w:after="0"/>
        <w:ind w:left="0"/>
        <w:jc w:val="both"/>
      </w:pPr>
      <w:r>
        <w:rPr>
          <w:rFonts w:ascii="Times New Roman"/>
          <w:b w:val="false"/>
          <w:i w:val="false"/>
          <w:color w:val="000000"/>
          <w:sz w:val="28"/>
        </w:rPr>
        <w:t>
      36) соисследователь - любой член исследовательского коллектива, назначенный исследователем и осуществляющий под его контролем значимые процедуры клинического исследования на клинической базе;</w:t>
      </w:r>
    </w:p>
    <w:bookmarkEnd w:id="1235"/>
    <w:bookmarkStart w:name="z1257" w:id="1236"/>
    <w:p>
      <w:pPr>
        <w:spacing w:after="0"/>
        <w:ind w:left="0"/>
        <w:jc w:val="both"/>
      </w:pPr>
      <w:r>
        <w:rPr>
          <w:rFonts w:ascii="Times New Roman"/>
          <w:b w:val="false"/>
          <w:i w:val="false"/>
          <w:color w:val="000000"/>
          <w:sz w:val="28"/>
        </w:rPr>
        <w:t>
      37) документальный след - документация, позволяющая восстановить ход событий;</w:t>
      </w:r>
    </w:p>
    <w:bookmarkEnd w:id="1236"/>
    <w:bookmarkStart w:name="z1258" w:id="1237"/>
    <w:p>
      <w:pPr>
        <w:spacing w:after="0"/>
        <w:ind w:left="0"/>
        <w:jc w:val="both"/>
      </w:pPr>
      <w:r>
        <w:rPr>
          <w:rFonts w:ascii="Times New Roman"/>
          <w:b w:val="false"/>
          <w:i w:val="false"/>
          <w:color w:val="000000"/>
          <w:sz w:val="28"/>
        </w:rPr>
        <w:t>
      38) документация -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описывающие либо регистрирующие методы, организацию и (или) результаты клинического исследования, а также влияющие на исследование факторы и принятые меры;</w:t>
      </w:r>
    </w:p>
    <w:bookmarkEnd w:id="1237"/>
    <w:bookmarkStart w:name="z1259" w:id="1238"/>
    <w:p>
      <w:pPr>
        <w:spacing w:after="0"/>
        <w:ind w:left="0"/>
        <w:jc w:val="both"/>
      </w:pPr>
      <w:r>
        <w:rPr>
          <w:rFonts w:ascii="Times New Roman"/>
          <w:b w:val="false"/>
          <w:i w:val="false"/>
          <w:color w:val="000000"/>
          <w:sz w:val="28"/>
        </w:rPr>
        <w:t>
      39) конфиденциальность - сохранение втайне от неуполномоченных лиц информации, принадлежащей спонсору, или информации, позволяющей идентифицировать субъекта исследования;</w:t>
      </w:r>
    </w:p>
    <w:bookmarkEnd w:id="1238"/>
    <w:bookmarkStart w:name="z1260" w:id="1239"/>
    <w:p>
      <w:pPr>
        <w:spacing w:after="0"/>
        <w:ind w:left="0"/>
        <w:jc w:val="both"/>
      </w:pPr>
      <w:r>
        <w:rPr>
          <w:rFonts w:ascii="Times New Roman"/>
          <w:b w:val="false"/>
          <w:i w:val="false"/>
          <w:color w:val="000000"/>
          <w:sz w:val="28"/>
        </w:rPr>
        <w:t xml:space="preserve">
      40) медицинская организация - медицинская организация вне зависимости от ее организационно-правовой формы, на базе которой разрешено проводить клиническое исследование; </w:t>
      </w:r>
    </w:p>
    <w:bookmarkEnd w:id="1239"/>
    <w:bookmarkStart w:name="z1261" w:id="1240"/>
    <w:p>
      <w:pPr>
        <w:spacing w:after="0"/>
        <w:ind w:left="0"/>
        <w:jc w:val="both"/>
      </w:pPr>
      <w:r>
        <w:rPr>
          <w:rFonts w:ascii="Times New Roman"/>
          <w:b w:val="false"/>
          <w:i w:val="false"/>
          <w:color w:val="000000"/>
          <w:sz w:val="28"/>
        </w:rPr>
        <w:t>
      41) мониторинг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утвержденными документами: протоколом, стандартными операционными процедурами, настоящим Стандартом;</w:t>
      </w:r>
    </w:p>
    <w:bookmarkEnd w:id="1240"/>
    <w:bookmarkStart w:name="z1262" w:id="1241"/>
    <w:p>
      <w:pPr>
        <w:spacing w:after="0"/>
        <w:ind w:left="0"/>
        <w:jc w:val="both"/>
      </w:pPr>
      <w:r>
        <w:rPr>
          <w:rFonts w:ascii="Times New Roman"/>
          <w:b w:val="false"/>
          <w:i w:val="false"/>
          <w:color w:val="000000"/>
          <w:sz w:val="28"/>
        </w:rPr>
        <w:t>
      42) отчет монитора - письменный отчет монитора спонсору после каждого визита клинической базы и (или) контакта с исследователями в соответствии со стандартными операционными процедурами спонсора;</w:t>
      </w:r>
    </w:p>
    <w:bookmarkEnd w:id="1241"/>
    <w:bookmarkStart w:name="z1263" w:id="1242"/>
    <w:p>
      <w:pPr>
        <w:spacing w:after="0"/>
        <w:ind w:left="0"/>
        <w:jc w:val="both"/>
      </w:pPr>
      <w:r>
        <w:rPr>
          <w:rFonts w:ascii="Times New Roman"/>
          <w:b w:val="false"/>
          <w:i w:val="false"/>
          <w:color w:val="000000"/>
          <w:sz w:val="28"/>
        </w:rPr>
        <w:t xml:space="preserve">
      43) незаинтересованный свидетель - физическое лицо, не причастное к проведению клинического исследования, - оказывающее содействие субъекту исследования, в том числе в зачитывании предоставляемых ему письменных материалов; </w:t>
      </w:r>
    </w:p>
    <w:bookmarkEnd w:id="1242"/>
    <w:bookmarkStart w:name="z1264" w:id="1243"/>
    <w:p>
      <w:pPr>
        <w:spacing w:after="0"/>
        <w:ind w:left="0"/>
        <w:jc w:val="both"/>
      </w:pPr>
      <w:r>
        <w:rPr>
          <w:rFonts w:ascii="Times New Roman"/>
          <w:b w:val="false"/>
          <w:i w:val="false"/>
          <w:color w:val="000000"/>
          <w:sz w:val="28"/>
        </w:rPr>
        <w:t>
      44) основные документы - документы, которые в совокупности или по отдельности позволяют оценить ход клинического исследования и качество полученных данных;</w:t>
      </w:r>
    </w:p>
    <w:bookmarkEnd w:id="1243"/>
    <w:bookmarkStart w:name="z1265" w:id="1244"/>
    <w:p>
      <w:pPr>
        <w:spacing w:after="0"/>
        <w:ind w:left="0"/>
        <w:jc w:val="both"/>
      </w:pPr>
      <w:r>
        <w:rPr>
          <w:rFonts w:ascii="Times New Roman"/>
          <w:b w:val="false"/>
          <w:i w:val="false"/>
          <w:color w:val="000000"/>
          <w:sz w:val="28"/>
        </w:rPr>
        <w:t>
      45) нормативные требования - нормы действующего законодательства, регулирующие проведения клинических исследований исследуемых препаратов;</w:t>
      </w:r>
    </w:p>
    <w:bookmarkEnd w:id="1244"/>
    <w:bookmarkStart w:name="z1266" w:id="1245"/>
    <w:p>
      <w:pPr>
        <w:spacing w:after="0"/>
        <w:ind w:left="0"/>
        <w:jc w:val="both"/>
      </w:pPr>
      <w:r>
        <w:rPr>
          <w:rFonts w:ascii="Times New Roman"/>
          <w:b w:val="false"/>
          <w:i w:val="false"/>
          <w:color w:val="000000"/>
          <w:sz w:val="28"/>
        </w:rPr>
        <w:t>
      46) рандомизация - процесс распределения субъектов исследования по группам лечения или контроля случайным образом, позволяющий свести к минимуму субъективность;</w:t>
      </w:r>
    </w:p>
    <w:bookmarkEnd w:id="1245"/>
    <w:bookmarkStart w:name="z1267" w:id="1246"/>
    <w:p>
      <w:pPr>
        <w:spacing w:after="0"/>
        <w:ind w:left="0"/>
        <w:jc w:val="both"/>
      </w:pPr>
      <w:r>
        <w:rPr>
          <w:rFonts w:ascii="Times New Roman"/>
          <w:b w:val="false"/>
          <w:i w:val="false"/>
          <w:color w:val="000000"/>
          <w:sz w:val="28"/>
        </w:rPr>
        <w:t>
      47) препарат сравнения - зарегистрированный лекарственный препарат либо плацебо, используемый как контроль в клиническом исследовании;</w:t>
      </w:r>
    </w:p>
    <w:bookmarkEnd w:id="1246"/>
    <w:bookmarkStart w:name="z1268" w:id="1247"/>
    <w:p>
      <w:pPr>
        <w:spacing w:after="0"/>
        <w:ind w:left="0"/>
        <w:jc w:val="both"/>
      </w:pPr>
      <w:r>
        <w:rPr>
          <w:rFonts w:ascii="Times New Roman"/>
          <w:b w:val="false"/>
          <w:i w:val="false"/>
          <w:color w:val="000000"/>
          <w:sz w:val="28"/>
        </w:rPr>
        <w:t>
      48) контроль качества -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bookmarkEnd w:id="1247"/>
    <w:bookmarkStart w:name="z1269" w:id="1248"/>
    <w:p>
      <w:pPr>
        <w:spacing w:after="0"/>
        <w:ind w:left="0"/>
        <w:jc w:val="both"/>
      </w:pPr>
      <w:r>
        <w:rPr>
          <w:rFonts w:ascii="Times New Roman"/>
          <w:b w:val="false"/>
          <w:i w:val="false"/>
          <w:color w:val="000000"/>
          <w:sz w:val="28"/>
        </w:rPr>
        <w:t>
      49) обеспечение качества - совокупность систематических и планомерных действий, которые обеспечивают соответствие проведения исследования, сбора, регистрации и представление данных надлежащей клинической практике;</w:t>
      </w:r>
    </w:p>
    <w:bookmarkEnd w:id="1248"/>
    <w:bookmarkStart w:name="z1270" w:id="1249"/>
    <w:p>
      <w:pPr>
        <w:spacing w:after="0"/>
        <w:ind w:left="0"/>
        <w:jc w:val="both"/>
      </w:pPr>
      <w:r>
        <w:rPr>
          <w:rFonts w:ascii="Times New Roman"/>
          <w:b w:val="false"/>
          <w:i w:val="false"/>
          <w:color w:val="000000"/>
          <w:sz w:val="28"/>
        </w:rPr>
        <w:t>
      50) стандартные операционные процедуры (далее - СОП) - подробные письменные инструкции, предназначенные для достижения единообразия при осуществлении определенной деятельности;</w:t>
      </w:r>
    </w:p>
    <w:bookmarkEnd w:id="1249"/>
    <w:bookmarkStart w:name="z1271" w:id="1250"/>
    <w:p>
      <w:pPr>
        <w:spacing w:after="0"/>
        <w:ind w:left="0"/>
        <w:jc w:val="both"/>
      </w:pPr>
      <w:r>
        <w:rPr>
          <w:rFonts w:ascii="Times New Roman"/>
          <w:b w:val="false"/>
          <w:i w:val="false"/>
          <w:color w:val="000000"/>
          <w:sz w:val="28"/>
        </w:rPr>
        <w:t>
      51) субъект (субъект исследования) - физическое лицо, участвующее в клиническом исследовании в составе группы, получающей исследуемый препарат, либо в составе контрольной группы;</w:t>
      </w:r>
    </w:p>
    <w:bookmarkEnd w:id="1250"/>
    <w:bookmarkStart w:name="z1272" w:id="1251"/>
    <w:p>
      <w:pPr>
        <w:spacing w:after="0"/>
        <w:ind w:left="0"/>
        <w:jc w:val="both"/>
      </w:pPr>
      <w:r>
        <w:rPr>
          <w:rFonts w:ascii="Times New Roman"/>
          <w:b w:val="false"/>
          <w:i w:val="false"/>
          <w:color w:val="000000"/>
          <w:sz w:val="28"/>
        </w:rPr>
        <w:t>
      52) идентификационный код субъекта - уникальный код, присваиваемый исследователем каждому субъекту исследования для обеспечения конфиденциальности личных данных субъекта и используемый вместо имени субъекта в отчетах по нежелательным явлениям и (или) данных, относящихся к исследованию;</w:t>
      </w:r>
    </w:p>
    <w:bookmarkEnd w:id="1251"/>
    <w:bookmarkStart w:name="z1273" w:id="1252"/>
    <w:p>
      <w:pPr>
        <w:spacing w:after="0"/>
        <w:ind w:left="0"/>
        <w:jc w:val="both"/>
      </w:pPr>
      <w:r>
        <w:rPr>
          <w:rFonts w:ascii="Times New Roman"/>
          <w:b w:val="false"/>
          <w:i w:val="false"/>
          <w:color w:val="000000"/>
          <w:sz w:val="28"/>
        </w:rPr>
        <w:t>
      53) надлежащая клиническая практика - стандарт планирования, организации, проведения, мониторинга, аудита, документирования клинических исследований, а также анализа и представления их результатов, служащий гарантией достоверности и точности полученных данных и представленных результатов, а также обеспечивающий защиту прав, здоровья и конфиденциальности субъектов исследования;</w:t>
      </w:r>
    </w:p>
    <w:bookmarkEnd w:id="1252"/>
    <w:bookmarkStart w:name="z1274" w:id="1253"/>
    <w:p>
      <w:pPr>
        <w:spacing w:after="0"/>
        <w:ind w:left="0"/>
        <w:jc w:val="both"/>
      </w:pPr>
      <w:r>
        <w:rPr>
          <w:rFonts w:ascii="Times New Roman"/>
          <w:b w:val="false"/>
          <w:i w:val="false"/>
          <w:color w:val="000000"/>
          <w:sz w:val="28"/>
        </w:rPr>
        <w:t>
      54) оригинальные медицинские записи - исходные документы, данные и записи, используемые в клиническом исследовании;</w:t>
      </w:r>
    </w:p>
    <w:bookmarkEnd w:id="1253"/>
    <w:bookmarkStart w:name="z1275" w:id="1254"/>
    <w:p>
      <w:pPr>
        <w:spacing w:after="0"/>
        <w:ind w:left="0"/>
        <w:jc w:val="both"/>
      </w:pPr>
      <w:r>
        <w:rPr>
          <w:rFonts w:ascii="Times New Roman"/>
          <w:b w:val="false"/>
          <w:i w:val="false"/>
          <w:color w:val="000000"/>
          <w:sz w:val="28"/>
        </w:rPr>
        <w:t xml:space="preserve">
      55) прямой доступ - разрешение на изучение, анализ, проверку и копирование любых записей и отчетов, необходимых для оценки клинического исследования; </w:t>
      </w:r>
    </w:p>
    <w:bookmarkEnd w:id="1254"/>
    <w:bookmarkStart w:name="z1276" w:id="1255"/>
    <w:p>
      <w:pPr>
        <w:spacing w:after="0"/>
        <w:ind w:left="0"/>
        <w:jc w:val="both"/>
      </w:pPr>
      <w:r>
        <w:rPr>
          <w:rFonts w:ascii="Times New Roman"/>
          <w:b w:val="false"/>
          <w:i w:val="false"/>
          <w:color w:val="000000"/>
          <w:sz w:val="28"/>
        </w:rPr>
        <w:t>
      56) уполномоченный орган - государственный орган в сфере обращения лекарственных средств и медицинских изделий, выдающий разрешение на проведение клинического исследования на основании заключения государственной экспертной организации в сфере обращения лекарственных средств и медицинских изделий (далее - экспертная организация) и проводящий инспекции;</w:t>
      </w:r>
    </w:p>
    <w:bookmarkEnd w:id="1255"/>
    <w:bookmarkStart w:name="z1277" w:id="1256"/>
    <w:p>
      <w:pPr>
        <w:spacing w:after="0"/>
        <w:ind w:left="0"/>
        <w:jc w:val="both"/>
      </w:pPr>
      <w:r>
        <w:rPr>
          <w:rFonts w:ascii="Times New Roman"/>
          <w:b w:val="false"/>
          <w:i w:val="false"/>
          <w:color w:val="000000"/>
          <w:sz w:val="28"/>
        </w:rPr>
        <w:t>
      57) информированное согласие - 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согласие документируется посредством подписания и датирования формы информированного согласия;</w:t>
      </w:r>
    </w:p>
    <w:bookmarkEnd w:id="1256"/>
    <w:bookmarkStart w:name="z1278" w:id="1257"/>
    <w:p>
      <w:pPr>
        <w:spacing w:after="0"/>
        <w:ind w:left="0"/>
        <w:jc w:val="both"/>
      </w:pPr>
      <w:r>
        <w:rPr>
          <w:rFonts w:ascii="Times New Roman"/>
          <w:b w:val="false"/>
          <w:i w:val="false"/>
          <w:color w:val="000000"/>
          <w:sz w:val="28"/>
        </w:rPr>
        <w:t>
      58) поправка к протоколу - оформленные в письменном виде изменения, разъяснения протокола или сообщение о вносимых изменениях;</w:t>
      </w:r>
    </w:p>
    <w:bookmarkEnd w:id="1257"/>
    <w:bookmarkStart w:name="z1279" w:id="1258"/>
    <w:p>
      <w:pPr>
        <w:spacing w:after="0"/>
        <w:ind w:left="0"/>
        <w:jc w:val="both"/>
      </w:pPr>
      <w:r>
        <w:rPr>
          <w:rFonts w:ascii="Times New Roman"/>
          <w:b w:val="false"/>
          <w:i w:val="false"/>
          <w:color w:val="000000"/>
          <w:sz w:val="28"/>
        </w:rPr>
        <w:t>
      59) комиссия по вопросам этики - консультативно-совещательный орган, образуемый на республиканском уровне, а также на уровне медицинской организации, в состав которого входят специалисты в области здравоохранения, науки, представители общественных организаций, осуществляющий защиту прав, безопасности и благополучия субъектов исследования и исследователей, а также этическую и нравственно-правовую оценку материалов клинического исследования;</w:t>
      </w:r>
    </w:p>
    <w:bookmarkEnd w:id="1258"/>
    <w:bookmarkStart w:name="z1280" w:id="1259"/>
    <w:p>
      <w:pPr>
        <w:spacing w:after="0"/>
        <w:ind w:left="0"/>
        <w:jc w:val="both"/>
      </w:pPr>
      <w:r>
        <w:rPr>
          <w:rFonts w:ascii="Times New Roman"/>
          <w:b w:val="false"/>
          <w:i w:val="false"/>
          <w:color w:val="000000"/>
          <w:sz w:val="28"/>
        </w:rPr>
        <w:t>
      60) заключение комиссии по вопросам этики - заключение, принятое комиссией по вопросам этики, подтверждающее проведения экспертизы материалов клинического исследования и являющееся разрешением на его проведение в данной организации.</w:t>
      </w:r>
    </w:p>
    <w:bookmarkEnd w:id="1259"/>
    <w:bookmarkStart w:name="z1281" w:id="1260"/>
    <w:p>
      <w:pPr>
        <w:spacing w:after="0"/>
        <w:ind w:left="0"/>
        <w:jc w:val="left"/>
      </w:pPr>
      <w:r>
        <w:rPr>
          <w:rFonts w:ascii="Times New Roman"/>
          <w:b/>
          <w:i w:val="false"/>
          <w:color w:val="000000"/>
        </w:rPr>
        <w:t xml:space="preserve"> Глава 2. Принципы надлежащей клинической практики</w:t>
      </w:r>
    </w:p>
    <w:bookmarkEnd w:id="1260"/>
    <w:bookmarkStart w:name="z1282" w:id="1261"/>
    <w:p>
      <w:pPr>
        <w:spacing w:after="0"/>
        <w:ind w:left="0"/>
        <w:jc w:val="both"/>
      </w:pPr>
      <w:r>
        <w:rPr>
          <w:rFonts w:ascii="Times New Roman"/>
          <w:b w:val="false"/>
          <w:i w:val="false"/>
          <w:color w:val="000000"/>
          <w:sz w:val="28"/>
        </w:rPr>
        <w:t>
      3. Клинические исследования проводятся в соответствии с этическими принципами, заложенными Хельсинкской декларацией Всемирной медицинской ассоциации 1964 года и отраженными в настоящем Стандарте и нормативных требованиях.</w:t>
      </w:r>
    </w:p>
    <w:bookmarkEnd w:id="1261"/>
    <w:bookmarkStart w:name="z1283" w:id="1262"/>
    <w:p>
      <w:pPr>
        <w:spacing w:after="0"/>
        <w:ind w:left="0"/>
        <w:jc w:val="both"/>
      </w:pPr>
      <w:r>
        <w:rPr>
          <w:rFonts w:ascii="Times New Roman"/>
          <w:b w:val="false"/>
          <w:i w:val="false"/>
          <w:color w:val="000000"/>
          <w:sz w:val="28"/>
        </w:rPr>
        <w:t>
      4. До начала исследования экспертной организацией проводится оценка соотношения предвидимого (предсказуемого) риска и неудобств с ожидаемой пользой для субъекта исследования и общества. Исследование начинают и продолжают только в том случае, если ожидаемая польза оправдывает риск.</w:t>
      </w:r>
    </w:p>
    <w:bookmarkEnd w:id="1262"/>
    <w:bookmarkStart w:name="z1284" w:id="1263"/>
    <w:p>
      <w:pPr>
        <w:spacing w:after="0"/>
        <w:ind w:left="0"/>
        <w:jc w:val="both"/>
      </w:pPr>
      <w:r>
        <w:rPr>
          <w:rFonts w:ascii="Times New Roman"/>
          <w:b w:val="false"/>
          <w:i w:val="false"/>
          <w:color w:val="000000"/>
          <w:sz w:val="28"/>
        </w:rPr>
        <w:t>
      5. Права, безопасность и благополучие субъектов исследования имеют первостепенное значение и превалируют над интересами науки и общества.</w:t>
      </w:r>
    </w:p>
    <w:bookmarkEnd w:id="1263"/>
    <w:bookmarkStart w:name="z1285" w:id="1264"/>
    <w:p>
      <w:pPr>
        <w:spacing w:after="0"/>
        <w:ind w:left="0"/>
        <w:jc w:val="both"/>
      </w:pPr>
      <w:r>
        <w:rPr>
          <w:rFonts w:ascii="Times New Roman"/>
          <w:b w:val="false"/>
          <w:i w:val="false"/>
          <w:color w:val="000000"/>
          <w:sz w:val="28"/>
        </w:rPr>
        <w:t>
      6. Информация (доклиническая и клиническая) об исследуемом препарате предоставляется в достаточном объеме для обоснования предполагаемого клинического исследования.</w:t>
      </w:r>
    </w:p>
    <w:bookmarkEnd w:id="1264"/>
    <w:bookmarkStart w:name="z1286" w:id="1265"/>
    <w:p>
      <w:pPr>
        <w:spacing w:after="0"/>
        <w:ind w:left="0"/>
        <w:jc w:val="both"/>
      </w:pPr>
      <w:r>
        <w:rPr>
          <w:rFonts w:ascii="Times New Roman"/>
          <w:b w:val="false"/>
          <w:i w:val="false"/>
          <w:color w:val="000000"/>
          <w:sz w:val="28"/>
        </w:rPr>
        <w:t>
      7. Клинические исследования отвечают научным требованиям и четко и подробно описываются в протоколе.</w:t>
      </w:r>
    </w:p>
    <w:bookmarkEnd w:id="1265"/>
    <w:bookmarkStart w:name="z1287" w:id="1266"/>
    <w:p>
      <w:pPr>
        <w:spacing w:after="0"/>
        <w:ind w:left="0"/>
        <w:jc w:val="both"/>
      </w:pPr>
      <w:r>
        <w:rPr>
          <w:rFonts w:ascii="Times New Roman"/>
          <w:b w:val="false"/>
          <w:i w:val="false"/>
          <w:color w:val="000000"/>
          <w:sz w:val="28"/>
        </w:rPr>
        <w:t>
      8. Клиническое исследование проводится в соответствии с протоколом, одобренным комиссией по вопросам этики.</w:t>
      </w:r>
    </w:p>
    <w:bookmarkEnd w:id="1266"/>
    <w:bookmarkStart w:name="z1288" w:id="1267"/>
    <w:p>
      <w:pPr>
        <w:spacing w:after="0"/>
        <w:ind w:left="0"/>
        <w:jc w:val="both"/>
      </w:pPr>
      <w:r>
        <w:rPr>
          <w:rFonts w:ascii="Times New Roman"/>
          <w:b w:val="false"/>
          <w:i w:val="false"/>
          <w:color w:val="000000"/>
          <w:sz w:val="28"/>
        </w:rPr>
        <w:t>
      9. Врач отвечает за оказываемую субъекту медицинскую помощь и принятие решений медицинского характера.</w:t>
      </w:r>
    </w:p>
    <w:bookmarkEnd w:id="1267"/>
    <w:bookmarkStart w:name="z1289" w:id="1268"/>
    <w:p>
      <w:pPr>
        <w:spacing w:after="0"/>
        <w:ind w:left="0"/>
        <w:jc w:val="both"/>
      </w:pPr>
      <w:r>
        <w:rPr>
          <w:rFonts w:ascii="Times New Roman"/>
          <w:b w:val="false"/>
          <w:i w:val="false"/>
          <w:color w:val="000000"/>
          <w:sz w:val="28"/>
        </w:rPr>
        <w:t>
      10. Все привлекаемые к проведению исследования лица имеют соответствующие образование, подготовку и опыт для выполнения возложенных на них задач.</w:t>
      </w:r>
    </w:p>
    <w:bookmarkEnd w:id="1268"/>
    <w:bookmarkStart w:name="z1290" w:id="1269"/>
    <w:p>
      <w:pPr>
        <w:spacing w:after="0"/>
        <w:ind w:left="0"/>
        <w:jc w:val="both"/>
      </w:pPr>
      <w:r>
        <w:rPr>
          <w:rFonts w:ascii="Times New Roman"/>
          <w:b w:val="false"/>
          <w:i w:val="false"/>
          <w:color w:val="000000"/>
          <w:sz w:val="28"/>
        </w:rPr>
        <w:t>
      11. Добровольное информированное согласие получают у каждого субъекта до его включения в исследование.</w:t>
      </w:r>
    </w:p>
    <w:bookmarkEnd w:id="1269"/>
    <w:bookmarkStart w:name="z1291" w:id="1270"/>
    <w:p>
      <w:pPr>
        <w:spacing w:after="0"/>
        <w:ind w:left="0"/>
        <w:jc w:val="both"/>
      </w:pPr>
      <w:r>
        <w:rPr>
          <w:rFonts w:ascii="Times New Roman"/>
          <w:b w:val="false"/>
          <w:i w:val="false"/>
          <w:color w:val="000000"/>
          <w:sz w:val="28"/>
        </w:rPr>
        <w:t>
      12. Полученную в клиническом исследовании информацию регистрируют, передают и хранят с обеспечением точности и правильности ее представления, интерпретации и верификации.</w:t>
      </w:r>
    </w:p>
    <w:bookmarkEnd w:id="1270"/>
    <w:bookmarkStart w:name="z1292" w:id="1271"/>
    <w:p>
      <w:pPr>
        <w:spacing w:after="0"/>
        <w:ind w:left="0"/>
        <w:jc w:val="both"/>
      </w:pPr>
      <w:r>
        <w:rPr>
          <w:rFonts w:ascii="Times New Roman"/>
          <w:b w:val="false"/>
          <w:i w:val="false"/>
          <w:color w:val="000000"/>
          <w:sz w:val="28"/>
        </w:rPr>
        <w:t>
      13. Конфиденциальность записей, позволяющих идентифицировать субъектов исследования, обеспечивается с соблюдением права на частную жизнь и защиту конфиденциальности.</w:t>
      </w:r>
    </w:p>
    <w:bookmarkEnd w:id="1271"/>
    <w:bookmarkStart w:name="z1293" w:id="1272"/>
    <w:p>
      <w:pPr>
        <w:spacing w:after="0"/>
        <w:ind w:left="0"/>
        <w:jc w:val="both"/>
      </w:pPr>
      <w:r>
        <w:rPr>
          <w:rFonts w:ascii="Times New Roman"/>
          <w:b w:val="false"/>
          <w:i w:val="false"/>
          <w:color w:val="000000"/>
          <w:sz w:val="28"/>
        </w:rPr>
        <w:t>
      14. Производство и хранение исследуемых препаратов, а также обращение с ними осуществляется в соответствии с требованиями законодательства Республики Казахстан. Исследуемые препараты применяются в соответствии с утвержденным протоколом клинического исследования.</w:t>
      </w:r>
    </w:p>
    <w:bookmarkEnd w:id="1272"/>
    <w:bookmarkStart w:name="z1294" w:id="1273"/>
    <w:p>
      <w:pPr>
        <w:spacing w:after="0"/>
        <w:ind w:left="0"/>
        <w:jc w:val="both"/>
      </w:pPr>
      <w:r>
        <w:rPr>
          <w:rFonts w:ascii="Times New Roman"/>
          <w:b w:val="false"/>
          <w:i w:val="false"/>
          <w:color w:val="000000"/>
          <w:sz w:val="28"/>
        </w:rPr>
        <w:t>
      15. Для обеспечения качества каждого аспекта исследования внедряются соответствующие системы и операционные процедуры.</w:t>
      </w:r>
    </w:p>
    <w:bookmarkEnd w:id="1273"/>
    <w:bookmarkStart w:name="z1295" w:id="1274"/>
    <w:p>
      <w:pPr>
        <w:spacing w:after="0"/>
        <w:ind w:left="0"/>
        <w:jc w:val="left"/>
      </w:pPr>
      <w:r>
        <w:rPr>
          <w:rFonts w:ascii="Times New Roman"/>
          <w:b/>
          <w:i w:val="false"/>
          <w:color w:val="000000"/>
        </w:rPr>
        <w:t xml:space="preserve"> Глава 3. Комиссия по вопросам этики</w:t>
      </w:r>
    </w:p>
    <w:bookmarkEnd w:id="1274"/>
    <w:bookmarkStart w:name="z1296" w:id="1275"/>
    <w:p>
      <w:pPr>
        <w:spacing w:after="0"/>
        <w:ind w:left="0"/>
        <w:jc w:val="left"/>
      </w:pPr>
      <w:r>
        <w:rPr>
          <w:rFonts w:ascii="Times New Roman"/>
          <w:b/>
          <w:i w:val="false"/>
          <w:color w:val="000000"/>
        </w:rPr>
        <w:t xml:space="preserve"> Параграф 1. Комиссия по вопросам этики</w:t>
      </w:r>
    </w:p>
    <w:bookmarkEnd w:id="1275"/>
    <w:bookmarkStart w:name="z1297" w:id="1276"/>
    <w:p>
      <w:pPr>
        <w:spacing w:after="0"/>
        <w:ind w:left="0"/>
        <w:jc w:val="both"/>
      </w:pPr>
      <w:r>
        <w:rPr>
          <w:rFonts w:ascii="Times New Roman"/>
          <w:b w:val="false"/>
          <w:i w:val="false"/>
          <w:color w:val="000000"/>
          <w:sz w:val="28"/>
        </w:rPr>
        <w:t>
      16. Комиссия по вопросам этики защищает права, безопасность и благополучие всех субъектов исследования. Исследованиям с участием уязвимых субъектов уделяется особое внимание.</w:t>
      </w:r>
    </w:p>
    <w:bookmarkEnd w:id="1276"/>
    <w:bookmarkStart w:name="z1298" w:id="1277"/>
    <w:p>
      <w:pPr>
        <w:spacing w:after="0"/>
        <w:ind w:left="0"/>
        <w:jc w:val="both"/>
      </w:pPr>
      <w:r>
        <w:rPr>
          <w:rFonts w:ascii="Times New Roman"/>
          <w:b w:val="false"/>
          <w:i w:val="false"/>
          <w:color w:val="000000"/>
          <w:sz w:val="28"/>
        </w:rPr>
        <w:t>
      17. Комиссия по вопросам этики получает на рассмотрение следующие документы:</w:t>
      </w:r>
    </w:p>
    <w:bookmarkEnd w:id="1277"/>
    <w:bookmarkStart w:name="z1299" w:id="1278"/>
    <w:p>
      <w:pPr>
        <w:spacing w:after="0"/>
        <w:ind w:left="0"/>
        <w:jc w:val="both"/>
      </w:pPr>
      <w:r>
        <w:rPr>
          <w:rFonts w:ascii="Times New Roman"/>
          <w:b w:val="false"/>
          <w:i w:val="false"/>
          <w:color w:val="000000"/>
          <w:sz w:val="28"/>
        </w:rPr>
        <w:t>
      1) протокол исследования (поправки) к протоколу;</w:t>
      </w:r>
    </w:p>
    <w:bookmarkEnd w:id="1278"/>
    <w:bookmarkStart w:name="z1300" w:id="1279"/>
    <w:p>
      <w:pPr>
        <w:spacing w:after="0"/>
        <w:ind w:left="0"/>
        <w:jc w:val="both"/>
      </w:pPr>
      <w:r>
        <w:rPr>
          <w:rFonts w:ascii="Times New Roman"/>
          <w:b w:val="false"/>
          <w:i w:val="false"/>
          <w:color w:val="000000"/>
          <w:sz w:val="28"/>
        </w:rPr>
        <w:t>
      2) письменную форму информированного согласия и ее последующие редакции, предлагаемые исследователем для использования в исследовании;</w:t>
      </w:r>
    </w:p>
    <w:bookmarkEnd w:id="1279"/>
    <w:bookmarkStart w:name="z1301" w:id="1280"/>
    <w:p>
      <w:pPr>
        <w:spacing w:after="0"/>
        <w:ind w:left="0"/>
        <w:jc w:val="both"/>
      </w:pPr>
      <w:r>
        <w:rPr>
          <w:rFonts w:ascii="Times New Roman"/>
          <w:b w:val="false"/>
          <w:i w:val="false"/>
          <w:color w:val="000000"/>
          <w:sz w:val="28"/>
        </w:rPr>
        <w:t>
      3) описание действий, направленных на привлечение субъектов к участию в исследовании, в том числе через рекламные объявления;</w:t>
      </w:r>
    </w:p>
    <w:bookmarkEnd w:id="1280"/>
    <w:bookmarkStart w:name="z1302" w:id="1281"/>
    <w:p>
      <w:pPr>
        <w:spacing w:after="0"/>
        <w:ind w:left="0"/>
        <w:jc w:val="both"/>
      </w:pPr>
      <w:r>
        <w:rPr>
          <w:rFonts w:ascii="Times New Roman"/>
          <w:b w:val="false"/>
          <w:i w:val="false"/>
          <w:color w:val="000000"/>
          <w:sz w:val="28"/>
        </w:rPr>
        <w:t>
      4) письменные материалы, которые будут предоставлены субъектам;</w:t>
      </w:r>
    </w:p>
    <w:bookmarkEnd w:id="1281"/>
    <w:bookmarkStart w:name="z1303" w:id="1282"/>
    <w:p>
      <w:pPr>
        <w:spacing w:after="0"/>
        <w:ind w:left="0"/>
        <w:jc w:val="both"/>
      </w:pPr>
      <w:r>
        <w:rPr>
          <w:rFonts w:ascii="Times New Roman"/>
          <w:b w:val="false"/>
          <w:i w:val="false"/>
          <w:color w:val="000000"/>
          <w:sz w:val="28"/>
        </w:rPr>
        <w:t>
      5) брошюру исследователя;</w:t>
      </w:r>
    </w:p>
    <w:bookmarkEnd w:id="1282"/>
    <w:bookmarkStart w:name="z1304" w:id="1283"/>
    <w:p>
      <w:pPr>
        <w:spacing w:after="0"/>
        <w:ind w:left="0"/>
        <w:jc w:val="both"/>
      </w:pPr>
      <w:r>
        <w:rPr>
          <w:rFonts w:ascii="Times New Roman"/>
          <w:b w:val="false"/>
          <w:i w:val="false"/>
          <w:color w:val="000000"/>
          <w:sz w:val="28"/>
        </w:rPr>
        <w:t>
      6) известную информацию, касающуюся безопасности;</w:t>
      </w:r>
    </w:p>
    <w:bookmarkEnd w:id="1283"/>
    <w:bookmarkStart w:name="z1305" w:id="1284"/>
    <w:p>
      <w:pPr>
        <w:spacing w:after="0"/>
        <w:ind w:left="0"/>
        <w:jc w:val="both"/>
      </w:pPr>
      <w:r>
        <w:rPr>
          <w:rFonts w:ascii="Times New Roman"/>
          <w:b w:val="false"/>
          <w:i w:val="false"/>
          <w:color w:val="000000"/>
          <w:sz w:val="28"/>
        </w:rPr>
        <w:t>
      7) информацию о выплатах и компенсациях субъектам исследования;</w:t>
      </w:r>
    </w:p>
    <w:bookmarkEnd w:id="1284"/>
    <w:bookmarkStart w:name="z1306" w:id="1285"/>
    <w:p>
      <w:pPr>
        <w:spacing w:after="0"/>
        <w:ind w:left="0"/>
        <w:jc w:val="both"/>
      </w:pPr>
      <w:r>
        <w:rPr>
          <w:rFonts w:ascii="Times New Roman"/>
          <w:b w:val="false"/>
          <w:i w:val="false"/>
          <w:color w:val="000000"/>
          <w:sz w:val="28"/>
        </w:rPr>
        <w:t>
      8) текущую редакцию резюме исследователя и (или) другие материалы, подтверждающие его квалификацию;</w:t>
      </w:r>
    </w:p>
    <w:bookmarkEnd w:id="1285"/>
    <w:bookmarkStart w:name="z1307" w:id="1286"/>
    <w:p>
      <w:pPr>
        <w:spacing w:after="0"/>
        <w:ind w:left="0"/>
        <w:jc w:val="both"/>
      </w:pPr>
      <w:r>
        <w:rPr>
          <w:rFonts w:ascii="Times New Roman"/>
          <w:b w:val="false"/>
          <w:i w:val="false"/>
          <w:color w:val="000000"/>
          <w:sz w:val="28"/>
        </w:rPr>
        <w:t>
      9) дополнительные документы для проведения этической и нравственно-правовой оценки материалов.</w:t>
      </w:r>
    </w:p>
    <w:bookmarkEnd w:id="1286"/>
    <w:bookmarkStart w:name="z1308" w:id="1287"/>
    <w:p>
      <w:pPr>
        <w:spacing w:after="0"/>
        <w:ind w:left="0"/>
        <w:jc w:val="both"/>
      </w:pPr>
      <w:r>
        <w:rPr>
          <w:rFonts w:ascii="Times New Roman"/>
          <w:b w:val="false"/>
          <w:i w:val="false"/>
          <w:color w:val="000000"/>
          <w:sz w:val="28"/>
        </w:rPr>
        <w:t>
      Комиссия по вопросам этики рассматривает вопрос о проведении предлагаемого клинического исследования в соответствующие сроки и дает заключение в письменном виде, четко идентифицируя исследование, рассмотренные документы и даты при вынесении следующих возможных решений:</w:t>
      </w:r>
    </w:p>
    <w:bookmarkEnd w:id="1287"/>
    <w:bookmarkStart w:name="z1309" w:id="1288"/>
    <w:p>
      <w:pPr>
        <w:spacing w:after="0"/>
        <w:ind w:left="0"/>
        <w:jc w:val="both"/>
      </w:pPr>
      <w:r>
        <w:rPr>
          <w:rFonts w:ascii="Times New Roman"/>
          <w:b w:val="false"/>
          <w:i w:val="false"/>
          <w:color w:val="000000"/>
          <w:sz w:val="28"/>
        </w:rPr>
        <w:t>
      1) одобрения или выдачи заключения на проведение исследования;</w:t>
      </w:r>
    </w:p>
    <w:bookmarkEnd w:id="1288"/>
    <w:bookmarkStart w:name="z1310" w:id="1289"/>
    <w:p>
      <w:pPr>
        <w:spacing w:after="0"/>
        <w:ind w:left="0"/>
        <w:jc w:val="both"/>
      </w:pPr>
      <w:r>
        <w:rPr>
          <w:rFonts w:ascii="Times New Roman"/>
          <w:b w:val="false"/>
          <w:i w:val="false"/>
          <w:color w:val="000000"/>
          <w:sz w:val="28"/>
        </w:rPr>
        <w:t>
      2) требования о внесении изменений, в представленную документацию, до получения одобрения или выдачи заключения на проведение исследования;</w:t>
      </w:r>
    </w:p>
    <w:bookmarkEnd w:id="1289"/>
    <w:bookmarkStart w:name="z1311" w:id="1290"/>
    <w:p>
      <w:pPr>
        <w:spacing w:after="0"/>
        <w:ind w:left="0"/>
        <w:jc w:val="both"/>
      </w:pPr>
      <w:r>
        <w:rPr>
          <w:rFonts w:ascii="Times New Roman"/>
          <w:b w:val="false"/>
          <w:i w:val="false"/>
          <w:color w:val="000000"/>
          <w:sz w:val="28"/>
        </w:rPr>
        <w:t>
      3) отказа в одобрении или выдаче заключения на проведение исследования;</w:t>
      </w:r>
    </w:p>
    <w:bookmarkEnd w:id="1290"/>
    <w:bookmarkStart w:name="z1312" w:id="1291"/>
    <w:p>
      <w:pPr>
        <w:spacing w:after="0"/>
        <w:ind w:left="0"/>
        <w:jc w:val="both"/>
      </w:pPr>
      <w:r>
        <w:rPr>
          <w:rFonts w:ascii="Times New Roman"/>
          <w:b w:val="false"/>
          <w:i w:val="false"/>
          <w:color w:val="000000"/>
          <w:sz w:val="28"/>
        </w:rPr>
        <w:t>
      4) отмены (приостановки) сделанного ранее одобрения или выданного заключения на проведение исследования.</w:t>
      </w:r>
    </w:p>
    <w:bookmarkEnd w:id="1291"/>
    <w:bookmarkStart w:name="z1313" w:id="1292"/>
    <w:p>
      <w:pPr>
        <w:spacing w:after="0"/>
        <w:ind w:left="0"/>
        <w:jc w:val="both"/>
      </w:pPr>
      <w:r>
        <w:rPr>
          <w:rFonts w:ascii="Times New Roman"/>
          <w:b w:val="false"/>
          <w:i w:val="false"/>
          <w:color w:val="000000"/>
          <w:sz w:val="28"/>
        </w:rPr>
        <w:t>
      18. Комиссия по вопросам этики оценивает соответствие квалификации исследователя предлагаемому исследованию на основании текущей редакции резюме исследователя и (или) другой соответствующей документации, запрошенной Комиссией по вопросам этики.</w:t>
      </w:r>
    </w:p>
    <w:bookmarkEnd w:id="1292"/>
    <w:bookmarkStart w:name="z1314" w:id="1293"/>
    <w:p>
      <w:pPr>
        <w:spacing w:after="0"/>
        <w:ind w:left="0"/>
        <w:jc w:val="both"/>
      </w:pPr>
      <w:r>
        <w:rPr>
          <w:rFonts w:ascii="Times New Roman"/>
          <w:b w:val="false"/>
          <w:i w:val="false"/>
          <w:color w:val="000000"/>
          <w:sz w:val="28"/>
        </w:rPr>
        <w:t>
      19. Комиссия по вопросам этики периодически рассматривает документацию каждого текущего исследования с частотой, зависящей от степени риска, которому подвергаются субъекты исследования, но не реже одного раза в год.</w:t>
      </w:r>
    </w:p>
    <w:bookmarkEnd w:id="1293"/>
    <w:bookmarkStart w:name="z1315" w:id="1294"/>
    <w:p>
      <w:pPr>
        <w:spacing w:after="0"/>
        <w:ind w:left="0"/>
        <w:jc w:val="both"/>
      </w:pPr>
      <w:r>
        <w:rPr>
          <w:rFonts w:ascii="Times New Roman"/>
          <w:b w:val="false"/>
          <w:i w:val="false"/>
          <w:color w:val="000000"/>
          <w:sz w:val="28"/>
        </w:rPr>
        <w:t>
      20. Комиссия по вопросам этики при определенных обстоятельствах запрашивает дополнительную информацию для ее предоставления субъектам исследования для защиты их прав и здоровья, а также для гарантии безопасности субъектов.</w:t>
      </w:r>
    </w:p>
    <w:bookmarkEnd w:id="1294"/>
    <w:bookmarkStart w:name="z1316" w:id="1295"/>
    <w:p>
      <w:pPr>
        <w:spacing w:after="0"/>
        <w:ind w:left="0"/>
        <w:jc w:val="both"/>
      </w:pPr>
      <w:r>
        <w:rPr>
          <w:rFonts w:ascii="Times New Roman"/>
          <w:b w:val="false"/>
          <w:i w:val="false"/>
          <w:color w:val="000000"/>
          <w:sz w:val="28"/>
        </w:rPr>
        <w:t>
      21. В случае, когда согласие на участие субъекта в исследовании, не связанным с лечением, предоставлено его законным представителем, Комиссия по вопросам этики оценивает предоставленный протокол и (или) другую документацию на предмет полноты отражения клинических вопросов и соблюдения соответствующих этических и действующих нормативных требований к подобным клиническим исследованиям.</w:t>
      </w:r>
    </w:p>
    <w:bookmarkEnd w:id="1295"/>
    <w:bookmarkStart w:name="z1317" w:id="1296"/>
    <w:p>
      <w:pPr>
        <w:spacing w:after="0"/>
        <w:ind w:left="0"/>
        <w:jc w:val="both"/>
      </w:pPr>
      <w:r>
        <w:rPr>
          <w:rFonts w:ascii="Times New Roman"/>
          <w:b w:val="false"/>
          <w:i w:val="false"/>
          <w:color w:val="000000"/>
          <w:sz w:val="28"/>
        </w:rPr>
        <w:t>
      22. В случае, если протокол указывает на невозможность получения согласия на участие в исследовании у субъекта исследования или законного представителя субъекта до момента включения субъекта в исследование, Комиссия по вопросам этики убеждается в том, что предоставленный протокол и (или) другая документация полностью отражает клинические вопросы и удовлетворяет - этическим и действующим нормативным требованиям к подобным клиническим исследованиям.</w:t>
      </w:r>
    </w:p>
    <w:bookmarkEnd w:id="1296"/>
    <w:bookmarkStart w:name="z1318" w:id="1297"/>
    <w:p>
      <w:pPr>
        <w:spacing w:after="0"/>
        <w:ind w:left="0"/>
        <w:jc w:val="both"/>
      </w:pPr>
      <w:r>
        <w:rPr>
          <w:rFonts w:ascii="Times New Roman"/>
          <w:b w:val="false"/>
          <w:i w:val="false"/>
          <w:color w:val="000000"/>
          <w:sz w:val="28"/>
        </w:rPr>
        <w:t>
      23. Комиссия по вопросам этики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пропорционален их участию в испытании, и не зависит исключительно от того, завершил субъект исследование полностью или нет.</w:t>
      </w:r>
    </w:p>
    <w:bookmarkEnd w:id="1297"/>
    <w:bookmarkStart w:name="z1319" w:id="1298"/>
    <w:p>
      <w:pPr>
        <w:spacing w:after="0"/>
        <w:ind w:left="0"/>
        <w:jc w:val="both"/>
      </w:pPr>
      <w:r>
        <w:rPr>
          <w:rFonts w:ascii="Times New Roman"/>
          <w:b w:val="false"/>
          <w:i w:val="false"/>
          <w:color w:val="000000"/>
          <w:sz w:val="28"/>
        </w:rPr>
        <w:t>
      24. Комиссия по вопросам этики убеждается в том, что информация, касающаяся выплат субъектам исследования, включая способы, размер и порядок проведения выплат, отражена в письменной форме информированного согласия и в любых других предоставляемых субъектам материалах. Указывается, каким образом будет определен размер выплат.</w:t>
      </w:r>
    </w:p>
    <w:bookmarkEnd w:id="1298"/>
    <w:bookmarkStart w:name="z1320" w:id="1299"/>
    <w:p>
      <w:pPr>
        <w:spacing w:after="0"/>
        <w:ind w:left="0"/>
        <w:jc w:val="left"/>
      </w:pPr>
      <w:r>
        <w:rPr>
          <w:rFonts w:ascii="Times New Roman"/>
          <w:b/>
          <w:i w:val="false"/>
          <w:color w:val="000000"/>
        </w:rPr>
        <w:t xml:space="preserve"> Параграф 2. Состав, функции и порядок работы</w:t>
      </w:r>
    </w:p>
    <w:bookmarkEnd w:id="1299"/>
    <w:bookmarkStart w:name="z1321" w:id="1300"/>
    <w:p>
      <w:pPr>
        <w:spacing w:after="0"/>
        <w:ind w:left="0"/>
        <w:jc w:val="both"/>
      </w:pPr>
      <w:r>
        <w:rPr>
          <w:rFonts w:ascii="Times New Roman"/>
          <w:b w:val="false"/>
          <w:i w:val="false"/>
          <w:color w:val="000000"/>
          <w:sz w:val="28"/>
        </w:rPr>
        <w:t>
      25. В состав Комиссии по вопросам этики входит достаточное число лиц, обладающих в совокупности квалификацией и опытом для рассмотрения и экспертной оценки научных, медицинских и этических аспектов планируемого исследования. В состав Комиссии по вопросам этики включают:</w:t>
      </w:r>
    </w:p>
    <w:bookmarkEnd w:id="1300"/>
    <w:bookmarkStart w:name="z1322" w:id="1301"/>
    <w:p>
      <w:pPr>
        <w:spacing w:after="0"/>
        <w:ind w:left="0"/>
        <w:jc w:val="both"/>
      </w:pPr>
      <w:r>
        <w:rPr>
          <w:rFonts w:ascii="Times New Roman"/>
          <w:b w:val="false"/>
          <w:i w:val="false"/>
          <w:color w:val="000000"/>
          <w:sz w:val="28"/>
        </w:rPr>
        <w:t>
      1) не менее пяти человек;</w:t>
      </w:r>
    </w:p>
    <w:bookmarkEnd w:id="1301"/>
    <w:bookmarkStart w:name="z1323" w:id="1302"/>
    <w:p>
      <w:pPr>
        <w:spacing w:after="0"/>
        <w:ind w:left="0"/>
        <w:jc w:val="both"/>
      </w:pPr>
      <w:r>
        <w:rPr>
          <w:rFonts w:ascii="Times New Roman"/>
          <w:b w:val="false"/>
          <w:i w:val="false"/>
          <w:color w:val="000000"/>
          <w:sz w:val="28"/>
        </w:rPr>
        <w:t>
      2) не менее одного человека, не специализирующегося в области научных исследований (деятельности);</w:t>
      </w:r>
    </w:p>
    <w:bookmarkEnd w:id="1302"/>
    <w:bookmarkStart w:name="z1324" w:id="1303"/>
    <w:p>
      <w:pPr>
        <w:spacing w:after="0"/>
        <w:ind w:left="0"/>
        <w:jc w:val="both"/>
      </w:pPr>
      <w:r>
        <w:rPr>
          <w:rFonts w:ascii="Times New Roman"/>
          <w:b w:val="false"/>
          <w:i w:val="false"/>
          <w:color w:val="000000"/>
          <w:sz w:val="28"/>
        </w:rPr>
        <w:t>
      3) не менее одного человека, не являющегося сотрудником медицинской организации или клинической базы, в котором проводится исследование.</w:t>
      </w:r>
    </w:p>
    <w:bookmarkEnd w:id="1303"/>
    <w:bookmarkStart w:name="z1325" w:id="1304"/>
    <w:p>
      <w:pPr>
        <w:spacing w:after="0"/>
        <w:ind w:left="0"/>
        <w:jc w:val="both"/>
      </w:pPr>
      <w:r>
        <w:rPr>
          <w:rFonts w:ascii="Times New Roman"/>
          <w:b w:val="false"/>
          <w:i w:val="false"/>
          <w:color w:val="000000"/>
          <w:sz w:val="28"/>
        </w:rPr>
        <w:t>
      Только члены Комиссии по вопросам этики, не являющиеся сотрудниками исследователя или спонсора исследования, участвуют в голосовании (обсуждении) вопросов, связанных с проведением клинического исследования. Комиссия по вопросам этики составляет список своих членов с указанием их квалификации.</w:t>
      </w:r>
    </w:p>
    <w:bookmarkEnd w:id="1304"/>
    <w:bookmarkStart w:name="z1326" w:id="1305"/>
    <w:p>
      <w:pPr>
        <w:spacing w:after="0"/>
        <w:ind w:left="0"/>
        <w:jc w:val="both"/>
      </w:pPr>
      <w:r>
        <w:rPr>
          <w:rFonts w:ascii="Times New Roman"/>
          <w:b w:val="false"/>
          <w:i w:val="false"/>
          <w:color w:val="000000"/>
          <w:sz w:val="28"/>
        </w:rPr>
        <w:t xml:space="preserve">
      26. Комиссия по вопросам этики осуществляет деятельность в соответствии с операционными процедурами, документирует свою работу и ведет протоколы заседаний. </w:t>
      </w:r>
    </w:p>
    <w:bookmarkEnd w:id="1305"/>
    <w:bookmarkStart w:name="z1327" w:id="1306"/>
    <w:p>
      <w:pPr>
        <w:spacing w:after="0"/>
        <w:ind w:left="0"/>
        <w:jc w:val="both"/>
      </w:pPr>
      <w:r>
        <w:rPr>
          <w:rFonts w:ascii="Times New Roman"/>
          <w:b w:val="false"/>
          <w:i w:val="false"/>
          <w:color w:val="000000"/>
          <w:sz w:val="28"/>
        </w:rPr>
        <w:t>
      27. Комиссия по вопросам этики принимает решения на официальных заседаниях при наличии кворума, определенного рабочими процедурами.</w:t>
      </w:r>
    </w:p>
    <w:bookmarkEnd w:id="1306"/>
    <w:bookmarkStart w:name="z1328" w:id="1307"/>
    <w:p>
      <w:pPr>
        <w:spacing w:after="0"/>
        <w:ind w:left="0"/>
        <w:jc w:val="both"/>
      </w:pPr>
      <w:r>
        <w:rPr>
          <w:rFonts w:ascii="Times New Roman"/>
          <w:b w:val="false"/>
          <w:i w:val="false"/>
          <w:color w:val="000000"/>
          <w:sz w:val="28"/>
        </w:rPr>
        <w:t>
      28. Только члены Комиссии по вопросам этики, принимающие непосредственное участие в рассмотрении и обсуждении документации по исследованию, участвуют в голосовании и (или) высказывают свое мнение и (или) рекомендацию.</w:t>
      </w:r>
    </w:p>
    <w:bookmarkEnd w:id="1307"/>
    <w:bookmarkStart w:name="z1329" w:id="1308"/>
    <w:p>
      <w:pPr>
        <w:spacing w:after="0"/>
        <w:ind w:left="0"/>
        <w:jc w:val="both"/>
      </w:pPr>
      <w:r>
        <w:rPr>
          <w:rFonts w:ascii="Times New Roman"/>
          <w:b w:val="false"/>
          <w:i w:val="false"/>
          <w:color w:val="000000"/>
          <w:sz w:val="28"/>
        </w:rPr>
        <w:t>
      29. Исследователь предоставляет информацию по любым аспектам исследования, но не участвует в прениях или в голосовании (выработке) мнения Комиссии по вопросам этики.</w:t>
      </w:r>
    </w:p>
    <w:bookmarkEnd w:id="1308"/>
    <w:bookmarkStart w:name="z1330" w:id="1309"/>
    <w:p>
      <w:pPr>
        <w:spacing w:after="0"/>
        <w:ind w:left="0"/>
        <w:jc w:val="both"/>
      </w:pPr>
      <w:r>
        <w:rPr>
          <w:rFonts w:ascii="Times New Roman"/>
          <w:b w:val="false"/>
          <w:i w:val="false"/>
          <w:color w:val="000000"/>
          <w:sz w:val="28"/>
        </w:rPr>
        <w:t>
      30. Комиссия по вопросам этики привлекает независимых экспертов по специальным вопросам.</w:t>
      </w:r>
    </w:p>
    <w:bookmarkEnd w:id="1309"/>
    <w:bookmarkStart w:name="z1331" w:id="1310"/>
    <w:p>
      <w:pPr>
        <w:spacing w:after="0"/>
        <w:ind w:left="0"/>
        <w:jc w:val="left"/>
      </w:pPr>
      <w:r>
        <w:rPr>
          <w:rFonts w:ascii="Times New Roman"/>
          <w:b/>
          <w:i w:val="false"/>
          <w:color w:val="000000"/>
        </w:rPr>
        <w:t xml:space="preserve"> Параграф 3. Процедуры</w:t>
      </w:r>
    </w:p>
    <w:bookmarkEnd w:id="1310"/>
    <w:bookmarkStart w:name="z1332" w:id="1311"/>
    <w:p>
      <w:pPr>
        <w:spacing w:after="0"/>
        <w:ind w:left="0"/>
        <w:jc w:val="both"/>
      </w:pPr>
      <w:r>
        <w:rPr>
          <w:rFonts w:ascii="Times New Roman"/>
          <w:b w:val="false"/>
          <w:i w:val="false"/>
          <w:color w:val="000000"/>
          <w:sz w:val="28"/>
        </w:rPr>
        <w:t>
      31. Комиссия по вопросам этики разрабатывает, документально оформляет и соблюдает стандартные рабочие процедуры, регламентирующие:</w:t>
      </w:r>
    </w:p>
    <w:bookmarkEnd w:id="1311"/>
    <w:bookmarkStart w:name="z1333" w:id="1312"/>
    <w:p>
      <w:pPr>
        <w:spacing w:after="0"/>
        <w:ind w:left="0"/>
        <w:jc w:val="both"/>
      </w:pPr>
      <w:r>
        <w:rPr>
          <w:rFonts w:ascii="Times New Roman"/>
          <w:b w:val="false"/>
          <w:i w:val="false"/>
          <w:color w:val="000000"/>
          <w:sz w:val="28"/>
        </w:rPr>
        <w:t>
      1) состав (фамилии и квалификацию членов) и учредивший его орган;</w:t>
      </w:r>
    </w:p>
    <w:bookmarkEnd w:id="1312"/>
    <w:bookmarkStart w:name="z1334" w:id="1313"/>
    <w:p>
      <w:pPr>
        <w:spacing w:after="0"/>
        <w:ind w:left="0"/>
        <w:jc w:val="both"/>
      </w:pPr>
      <w:r>
        <w:rPr>
          <w:rFonts w:ascii="Times New Roman"/>
          <w:b w:val="false"/>
          <w:i w:val="false"/>
          <w:color w:val="000000"/>
          <w:sz w:val="28"/>
        </w:rPr>
        <w:t>
      2) порядок назначения заседаний, оповещения его членов о предстоящих заседаниях, а также организация заседаний;</w:t>
      </w:r>
    </w:p>
    <w:bookmarkEnd w:id="1313"/>
    <w:bookmarkStart w:name="z1335" w:id="1314"/>
    <w:p>
      <w:pPr>
        <w:spacing w:after="0"/>
        <w:ind w:left="0"/>
        <w:jc w:val="both"/>
      </w:pPr>
      <w:r>
        <w:rPr>
          <w:rFonts w:ascii="Times New Roman"/>
          <w:b w:val="false"/>
          <w:i w:val="false"/>
          <w:color w:val="000000"/>
          <w:sz w:val="28"/>
        </w:rPr>
        <w:t>
      3) порядок первичного и последующего рассмотрения документации по исследованию;</w:t>
      </w:r>
    </w:p>
    <w:bookmarkEnd w:id="1314"/>
    <w:bookmarkStart w:name="z1336" w:id="1315"/>
    <w:p>
      <w:pPr>
        <w:spacing w:after="0"/>
        <w:ind w:left="0"/>
        <w:jc w:val="both"/>
      </w:pPr>
      <w:r>
        <w:rPr>
          <w:rFonts w:ascii="Times New Roman"/>
          <w:b w:val="false"/>
          <w:i w:val="false"/>
          <w:color w:val="000000"/>
          <w:sz w:val="28"/>
        </w:rPr>
        <w:t>
      4) периодичность последующего рассмотрения документации по исследованию;</w:t>
      </w:r>
    </w:p>
    <w:bookmarkEnd w:id="1315"/>
    <w:bookmarkStart w:name="z1337" w:id="1316"/>
    <w:p>
      <w:pPr>
        <w:spacing w:after="0"/>
        <w:ind w:left="0"/>
        <w:jc w:val="both"/>
      </w:pPr>
      <w:r>
        <w:rPr>
          <w:rFonts w:ascii="Times New Roman"/>
          <w:b w:val="false"/>
          <w:i w:val="false"/>
          <w:color w:val="000000"/>
          <w:sz w:val="28"/>
        </w:rPr>
        <w:t>
      5) порядок ускоренного рассмотрения документации, в соответствии с нормативными требованиями, для одобрения/выдачи заключения при незначительном изменении в текущих исследованиях, уже получивших одобрение (заключение) Комиссии по вопросам этики;</w:t>
      </w:r>
    </w:p>
    <w:bookmarkEnd w:id="1316"/>
    <w:bookmarkStart w:name="z1338" w:id="1317"/>
    <w:p>
      <w:pPr>
        <w:spacing w:after="0"/>
        <w:ind w:left="0"/>
        <w:jc w:val="both"/>
      </w:pPr>
      <w:r>
        <w:rPr>
          <w:rFonts w:ascii="Times New Roman"/>
          <w:b w:val="false"/>
          <w:i w:val="false"/>
          <w:color w:val="000000"/>
          <w:sz w:val="28"/>
        </w:rPr>
        <w:t>
      6) недопустимость включения субъектов в исследование до того, как Комиссия по вопросам этики выдаст письменное одобрение (заключение) на проведение исследования;</w:t>
      </w:r>
    </w:p>
    <w:bookmarkEnd w:id="1317"/>
    <w:bookmarkStart w:name="z1339" w:id="1318"/>
    <w:p>
      <w:pPr>
        <w:spacing w:after="0"/>
        <w:ind w:left="0"/>
        <w:jc w:val="both"/>
      </w:pPr>
      <w:r>
        <w:rPr>
          <w:rFonts w:ascii="Times New Roman"/>
          <w:b w:val="false"/>
          <w:i w:val="false"/>
          <w:color w:val="000000"/>
          <w:sz w:val="28"/>
        </w:rPr>
        <w:t>
      7) недопустимость отклонений от протокола или его изменения без предварительного письменного одобрения (заключения) поправок Комиссией по вопросам этики,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w:t>
      </w:r>
    </w:p>
    <w:bookmarkEnd w:id="1318"/>
    <w:bookmarkStart w:name="z1340" w:id="1319"/>
    <w:p>
      <w:pPr>
        <w:spacing w:after="0"/>
        <w:ind w:left="0"/>
        <w:jc w:val="both"/>
      </w:pPr>
      <w:r>
        <w:rPr>
          <w:rFonts w:ascii="Times New Roman"/>
          <w:b w:val="false"/>
          <w:i w:val="false"/>
          <w:color w:val="000000"/>
          <w:sz w:val="28"/>
        </w:rPr>
        <w:t>
      32. Исследователь незамедлительно сообщает в Комиссию по вопросам этики:</w:t>
      </w:r>
    </w:p>
    <w:bookmarkEnd w:id="1319"/>
    <w:bookmarkStart w:name="z1341" w:id="1320"/>
    <w:p>
      <w:pPr>
        <w:spacing w:after="0"/>
        <w:ind w:left="0"/>
        <w:jc w:val="both"/>
      </w:pPr>
      <w:r>
        <w:rPr>
          <w:rFonts w:ascii="Times New Roman"/>
          <w:b w:val="false"/>
          <w:i w:val="false"/>
          <w:color w:val="000000"/>
          <w:sz w:val="28"/>
        </w:rPr>
        <w:t>
      1) об отклонениях от протокола или изменениях протокола, произведенных для устранения непосредственной угрозы субъектам исследования;</w:t>
      </w:r>
    </w:p>
    <w:bookmarkEnd w:id="1320"/>
    <w:bookmarkStart w:name="z1342" w:id="1321"/>
    <w:p>
      <w:pPr>
        <w:spacing w:after="0"/>
        <w:ind w:left="0"/>
        <w:jc w:val="both"/>
      </w:pPr>
      <w:r>
        <w:rPr>
          <w:rFonts w:ascii="Times New Roman"/>
          <w:b w:val="false"/>
          <w:i w:val="false"/>
          <w:color w:val="000000"/>
          <w:sz w:val="28"/>
        </w:rPr>
        <w:t>
      2) об изменениях, увеличивающих риск для субъектов и (или) существенно влияющих на проведение исследования;</w:t>
      </w:r>
    </w:p>
    <w:bookmarkEnd w:id="1321"/>
    <w:bookmarkStart w:name="z1343" w:id="1322"/>
    <w:p>
      <w:pPr>
        <w:spacing w:after="0"/>
        <w:ind w:left="0"/>
        <w:jc w:val="both"/>
      </w:pPr>
      <w:r>
        <w:rPr>
          <w:rFonts w:ascii="Times New Roman"/>
          <w:b w:val="false"/>
          <w:i w:val="false"/>
          <w:color w:val="000000"/>
          <w:sz w:val="28"/>
        </w:rPr>
        <w:t>
      3) обо всех непредвиденных серьезных нежелательных лекарственных реакциях;</w:t>
      </w:r>
    </w:p>
    <w:bookmarkEnd w:id="1322"/>
    <w:bookmarkStart w:name="z1344" w:id="1323"/>
    <w:p>
      <w:pPr>
        <w:spacing w:after="0"/>
        <w:ind w:left="0"/>
        <w:jc w:val="both"/>
      </w:pPr>
      <w:r>
        <w:rPr>
          <w:rFonts w:ascii="Times New Roman"/>
          <w:b w:val="false"/>
          <w:i w:val="false"/>
          <w:color w:val="000000"/>
          <w:sz w:val="28"/>
        </w:rPr>
        <w:t>
      4) о новых данных, свидетельствующих о возрастании риска для субъектов или неблагоприятно влияющих на ход исследования.</w:t>
      </w:r>
    </w:p>
    <w:bookmarkEnd w:id="1323"/>
    <w:bookmarkStart w:name="z1345" w:id="1324"/>
    <w:p>
      <w:pPr>
        <w:spacing w:after="0"/>
        <w:ind w:left="0"/>
        <w:jc w:val="both"/>
      </w:pPr>
      <w:r>
        <w:rPr>
          <w:rFonts w:ascii="Times New Roman"/>
          <w:b w:val="false"/>
          <w:i w:val="false"/>
          <w:color w:val="000000"/>
          <w:sz w:val="28"/>
        </w:rPr>
        <w:t>
      33. Комиссия по вопросам этики незамедлительно в письменном виде сообщает исследователю (медицинской организации):</w:t>
      </w:r>
    </w:p>
    <w:bookmarkEnd w:id="1324"/>
    <w:bookmarkStart w:name="z1346" w:id="1325"/>
    <w:p>
      <w:pPr>
        <w:spacing w:after="0"/>
        <w:ind w:left="0"/>
        <w:jc w:val="both"/>
      </w:pPr>
      <w:r>
        <w:rPr>
          <w:rFonts w:ascii="Times New Roman"/>
          <w:b w:val="false"/>
          <w:i w:val="false"/>
          <w:color w:val="000000"/>
          <w:sz w:val="28"/>
        </w:rPr>
        <w:t>
      1) о своих решениях (заключениях), касающихся исследования;</w:t>
      </w:r>
    </w:p>
    <w:bookmarkEnd w:id="1325"/>
    <w:bookmarkStart w:name="z1347" w:id="1326"/>
    <w:p>
      <w:pPr>
        <w:spacing w:after="0"/>
        <w:ind w:left="0"/>
        <w:jc w:val="both"/>
      </w:pPr>
      <w:r>
        <w:rPr>
          <w:rFonts w:ascii="Times New Roman"/>
          <w:b w:val="false"/>
          <w:i w:val="false"/>
          <w:color w:val="000000"/>
          <w:sz w:val="28"/>
        </w:rPr>
        <w:t>
      2) о причинах принятия решений (заключений);</w:t>
      </w:r>
    </w:p>
    <w:bookmarkEnd w:id="1326"/>
    <w:bookmarkStart w:name="z1348" w:id="1327"/>
    <w:p>
      <w:pPr>
        <w:spacing w:after="0"/>
        <w:ind w:left="0"/>
        <w:jc w:val="both"/>
      </w:pPr>
      <w:r>
        <w:rPr>
          <w:rFonts w:ascii="Times New Roman"/>
          <w:b w:val="false"/>
          <w:i w:val="false"/>
          <w:color w:val="000000"/>
          <w:sz w:val="28"/>
        </w:rPr>
        <w:t>
      3) о порядке (процедурах) обжалования решений (заключений).</w:t>
      </w:r>
    </w:p>
    <w:bookmarkEnd w:id="1327"/>
    <w:bookmarkStart w:name="z1349" w:id="1328"/>
    <w:p>
      <w:pPr>
        <w:spacing w:after="0"/>
        <w:ind w:left="0"/>
        <w:jc w:val="both"/>
      </w:pPr>
      <w:r>
        <w:rPr>
          <w:rFonts w:ascii="Times New Roman"/>
          <w:b w:val="false"/>
          <w:i w:val="false"/>
          <w:color w:val="000000"/>
          <w:sz w:val="28"/>
        </w:rPr>
        <w:t>
      34. Комиссия по вопросам этики хранит относящуюся к исследованию документацию не менее 3 лет после завершения исследования и предоставляет ее по требованию уполномоченного органа.</w:t>
      </w:r>
    </w:p>
    <w:bookmarkEnd w:id="1328"/>
    <w:bookmarkStart w:name="z1350" w:id="1329"/>
    <w:p>
      <w:pPr>
        <w:spacing w:after="0"/>
        <w:ind w:left="0"/>
        <w:jc w:val="left"/>
      </w:pPr>
      <w:r>
        <w:rPr>
          <w:rFonts w:ascii="Times New Roman"/>
          <w:b/>
          <w:i w:val="false"/>
          <w:color w:val="000000"/>
        </w:rPr>
        <w:t xml:space="preserve"> Глава 4. Исследователь</w:t>
      </w:r>
    </w:p>
    <w:bookmarkEnd w:id="1329"/>
    <w:bookmarkStart w:name="z1351" w:id="1330"/>
    <w:p>
      <w:pPr>
        <w:spacing w:after="0"/>
        <w:ind w:left="0"/>
        <w:jc w:val="left"/>
      </w:pPr>
      <w:r>
        <w:rPr>
          <w:rFonts w:ascii="Times New Roman"/>
          <w:b/>
          <w:i w:val="false"/>
          <w:color w:val="000000"/>
        </w:rPr>
        <w:t xml:space="preserve"> Параграф 1. Квалификация исследователя</w:t>
      </w:r>
    </w:p>
    <w:bookmarkEnd w:id="1330"/>
    <w:bookmarkStart w:name="z1352" w:id="1331"/>
    <w:p>
      <w:pPr>
        <w:spacing w:after="0"/>
        <w:ind w:left="0"/>
        <w:jc w:val="both"/>
      </w:pPr>
      <w:r>
        <w:rPr>
          <w:rFonts w:ascii="Times New Roman"/>
          <w:b w:val="false"/>
          <w:i w:val="false"/>
          <w:color w:val="000000"/>
          <w:sz w:val="28"/>
        </w:rPr>
        <w:t>
      35. Исследователь имеет соответствующую квалификацию, образование, профессиональную подготовку и опыт, позволяющие ему отвечать за надлежащее проведение клинического исследования. Квалификация исследователя соответствует действующим нормативным требованиям и подтверждается текущим резюме и(или) другими документами, которые запрашиваются спонсором, Комиссией по вопросам этики и (или) экспертной организаций.</w:t>
      </w:r>
    </w:p>
    <w:bookmarkEnd w:id="1331"/>
    <w:bookmarkStart w:name="z1353" w:id="1332"/>
    <w:p>
      <w:pPr>
        <w:spacing w:after="0"/>
        <w:ind w:left="0"/>
        <w:jc w:val="both"/>
      </w:pPr>
      <w:r>
        <w:rPr>
          <w:rFonts w:ascii="Times New Roman"/>
          <w:b w:val="false"/>
          <w:i w:val="false"/>
          <w:color w:val="000000"/>
          <w:sz w:val="28"/>
        </w:rPr>
        <w:t>
      36. Исследователь внимательно знакомится с протоколом, текущей редакцией брошюры исследователя, инструкцией по применению препарата и другой информацией, предоставленной спонсором.</w:t>
      </w:r>
    </w:p>
    <w:bookmarkEnd w:id="1332"/>
    <w:bookmarkStart w:name="z1354" w:id="1333"/>
    <w:p>
      <w:pPr>
        <w:spacing w:after="0"/>
        <w:ind w:left="0"/>
        <w:jc w:val="both"/>
      </w:pPr>
      <w:r>
        <w:rPr>
          <w:rFonts w:ascii="Times New Roman"/>
          <w:b w:val="false"/>
          <w:i w:val="false"/>
          <w:color w:val="000000"/>
          <w:sz w:val="28"/>
        </w:rPr>
        <w:t>
      37. Исследователь знает и соблюдает настоящий Стандарт.</w:t>
      </w:r>
    </w:p>
    <w:bookmarkEnd w:id="1333"/>
    <w:bookmarkStart w:name="z1355" w:id="1334"/>
    <w:p>
      <w:pPr>
        <w:spacing w:after="0"/>
        <w:ind w:left="0"/>
        <w:jc w:val="both"/>
      </w:pPr>
      <w:r>
        <w:rPr>
          <w:rFonts w:ascii="Times New Roman"/>
          <w:b w:val="false"/>
          <w:i w:val="false"/>
          <w:color w:val="000000"/>
          <w:sz w:val="28"/>
        </w:rPr>
        <w:t>
      38. Исследователь (медицинская организация) содействует проведению мониторинга и аудита спонсором, а также инспекциям уполномоченного органа.</w:t>
      </w:r>
    </w:p>
    <w:bookmarkEnd w:id="1334"/>
    <w:bookmarkStart w:name="z1356" w:id="1335"/>
    <w:p>
      <w:pPr>
        <w:spacing w:after="0"/>
        <w:ind w:left="0"/>
        <w:jc w:val="both"/>
      </w:pPr>
      <w:r>
        <w:rPr>
          <w:rFonts w:ascii="Times New Roman"/>
          <w:b w:val="false"/>
          <w:i w:val="false"/>
          <w:color w:val="000000"/>
          <w:sz w:val="28"/>
        </w:rPr>
        <w:t>
      39. Исследователь ведет список обладающих квалификацией лиц, которые по его поручению осуществляют определенную деятельность в рамках исследования.</w:t>
      </w:r>
    </w:p>
    <w:bookmarkEnd w:id="1335"/>
    <w:bookmarkStart w:name="z1357" w:id="1336"/>
    <w:p>
      <w:pPr>
        <w:spacing w:after="0"/>
        <w:ind w:left="0"/>
        <w:jc w:val="left"/>
      </w:pPr>
      <w:r>
        <w:rPr>
          <w:rFonts w:ascii="Times New Roman"/>
          <w:b/>
          <w:i w:val="false"/>
          <w:color w:val="000000"/>
        </w:rPr>
        <w:t xml:space="preserve"> Параграф 2. Соответствующие ресурсы исследовательского центра</w:t>
      </w:r>
    </w:p>
    <w:bookmarkEnd w:id="1336"/>
    <w:bookmarkStart w:name="z1358" w:id="1337"/>
    <w:p>
      <w:pPr>
        <w:spacing w:after="0"/>
        <w:ind w:left="0"/>
        <w:jc w:val="both"/>
      </w:pPr>
      <w:r>
        <w:rPr>
          <w:rFonts w:ascii="Times New Roman"/>
          <w:b w:val="false"/>
          <w:i w:val="false"/>
          <w:color w:val="000000"/>
          <w:sz w:val="28"/>
        </w:rPr>
        <w:t>
      40. Исследователь демонстрирует возможность набора в установленные сроки требуемого количества подходящих субъектов исследования, соответствующих критериям отбора.</w:t>
      </w:r>
    </w:p>
    <w:bookmarkEnd w:id="1337"/>
    <w:bookmarkStart w:name="z1359" w:id="1338"/>
    <w:p>
      <w:pPr>
        <w:spacing w:after="0"/>
        <w:ind w:left="0"/>
        <w:jc w:val="both"/>
      </w:pPr>
      <w:r>
        <w:rPr>
          <w:rFonts w:ascii="Times New Roman"/>
          <w:b w:val="false"/>
          <w:i w:val="false"/>
          <w:color w:val="000000"/>
          <w:sz w:val="28"/>
        </w:rPr>
        <w:t>
      41. Исследователь имеет достаточное количество времени, чтобы надлежащим образом провести и завершить исследование в течение оговоренного периода.</w:t>
      </w:r>
    </w:p>
    <w:bookmarkEnd w:id="1338"/>
    <w:bookmarkStart w:name="z1360" w:id="1339"/>
    <w:p>
      <w:pPr>
        <w:spacing w:after="0"/>
        <w:ind w:left="0"/>
        <w:jc w:val="both"/>
      </w:pPr>
      <w:r>
        <w:rPr>
          <w:rFonts w:ascii="Times New Roman"/>
          <w:b w:val="false"/>
          <w:i w:val="false"/>
          <w:color w:val="000000"/>
          <w:sz w:val="28"/>
        </w:rPr>
        <w:t>
      42. Исследователь располагает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bookmarkEnd w:id="1339"/>
    <w:bookmarkStart w:name="z1361" w:id="1340"/>
    <w:p>
      <w:pPr>
        <w:spacing w:after="0"/>
        <w:ind w:left="0"/>
        <w:jc w:val="both"/>
      </w:pPr>
      <w:r>
        <w:rPr>
          <w:rFonts w:ascii="Times New Roman"/>
          <w:b w:val="false"/>
          <w:i w:val="false"/>
          <w:color w:val="000000"/>
          <w:sz w:val="28"/>
        </w:rPr>
        <w:t>
      43. Исследователь отвечает за то, чтобы все занятые в клиническом исследовании сотрудники ознакомились с протоколом и информацией об исследуемом препарате, а также со своими функциями и обязанностями.</w:t>
      </w:r>
    </w:p>
    <w:bookmarkEnd w:id="1340"/>
    <w:bookmarkStart w:name="z1362" w:id="1341"/>
    <w:p>
      <w:pPr>
        <w:spacing w:after="0"/>
        <w:ind w:left="0"/>
        <w:jc w:val="left"/>
      </w:pPr>
      <w:r>
        <w:rPr>
          <w:rFonts w:ascii="Times New Roman"/>
          <w:b/>
          <w:i w:val="false"/>
          <w:color w:val="000000"/>
        </w:rPr>
        <w:t xml:space="preserve"> Параграф 3. Оказание медицинской помощи субъектам исследования</w:t>
      </w:r>
    </w:p>
    <w:bookmarkEnd w:id="1341"/>
    <w:bookmarkStart w:name="z1363" w:id="1342"/>
    <w:p>
      <w:pPr>
        <w:spacing w:after="0"/>
        <w:ind w:left="0"/>
        <w:jc w:val="both"/>
      </w:pPr>
      <w:r>
        <w:rPr>
          <w:rFonts w:ascii="Times New Roman"/>
          <w:b w:val="false"/>
          <w:i w:val="false"/>
          <w:color w:val="000000"/>
          <w:sz w:val="28"/>
        </w:rPr>
        <w:t>
      44. Квалифицированный врач, являющийся исследователем или соисследователем, отвечает за все принимаемые в рамках исследования решения медицинского характера.</w:t>
      </w:r>
    </w:p>
    <w:bookmarkEnd w:id="1342"/>
    <w:bookmarkStart w:name="z1364" w:id="1343"/>
    <w:p>
      <w:pPr>
        <w:spacing w:after="0"/>
        <w:ind w:left="0"/>
        <w:jc w:val="both"/>
      </w:pPr>
      <w:r>
        <w:rPr>
          <w:rFonts w:ascii="Times New Roman"/>
          <w:b w:val="false"/>
          <w:i w:val="false"/>
          <w:color w:val="000000"/>
          <w:sz w:val="28"/>
        </w:rPr>
        <w:t>
      45. Вовремя и по завершении участия субъекта в исследовании исследователь (медицинская организация) обеспечивает оказание субъекту необходимой медицинской помощи в случае любых связанных с исследованием нежелательных явлений, включая клинически значимые изменения лабораторных показателей. Исследователь (медицинская организация) информирует субъекта о ставших известными исследователю интеркуррентных заболеваниях, требующих медицинской помощи.</w:t>
      </w:r>
    </w:p>
    <w:bookmarkEnd w:id="1343"/>
    <w:bookmarkStart w:name="z1365" w:id="1344"/>
    <w:p>
      <w:pPr>
        <w:spacing w:after="0"/>
        <w:ind w:left="0"/>
        <w:jc w:val="both"/>
      </w:pPr>
      <w:r>
        <w:rPr>
          <w:rFonts w:ascii="Times New Roman"/>
          <w:b w:val="false"/>
          <w:i w:val="false"/>
          <w:color w:val="000000"/>
          <w:sz w:val="28"/>
        </w:rPr>
        <w:t>
      46. Исследователь сообщает лечащему врачу, об участии субъекта в исследовании при условии, что субъект не возражает против информирования лечащего врача.</w:t>
      </w:r>
    </w:p>
    <w:bookmarkEnd w:id="1344"/>
    <w:bookmarkStart w:name="z1366" w:id="1345"/>
    <w:p>
      <w:pPr>
        <w:spacing w:after="0"/>
        <w:ind w:left="0"/>
        <w:jc w:val="both"/>
      </w:pPr>
      <w:r>
        <w:rPr>
          <w:rFonts w:ascii="Times New Roman"/>
          <w:b w:val="false"/>
          <w:i w:val="false"/>
          <w:color w:val="000000"/>
          <w:sz w:val="28"/>
        </w:rPr>
        <w:t>
      47. В случае если субъект не сообщает о причинах, побудивших его досрочно прекратить участие в исследовании, исследователь пытается установить эти причины, проявляя при этом уважение к правам субъекта.</w:t>
      </w:r>
    </w:p>
    <w:bookmarkEnd w:id="1345"/>
    <w:bookmarkStart w:name="z1367" w:id="1346"/>
    <w:p>
      <w:pPr>
        <w:spacing w:after="0"/>
        <w:ind w:left="0"/>
        <w:jc w:val="left"/>
      </w:pPr>
      <w:r>
        <w:rPr>
          <w:rFonts w:ascii="Times New Roman"/>
          <w:b/>
          <w:i w:val="false"/>
          <w:color w:val="000000"/>
        </w:rPr>
        <w:t xml:space="preserve"> Параграф 4. Контакты с Комиссией по вопросам этики</w:t>
      </w:r>
    </w:p>
    <w:bookmarkEnd w:id="1346"/>
    <w:bookmarkStart w:name="z1368" w:id="1347"/>
    <w:p>
      <w:pPr>
        <w:spacing w:after="0"/>
        <w:ind w:left="0"/>
        <w:jc w:val="both"/>
      </w:pPr>
      <w:r>
        <w:rPr>
          <w:rFonts w:ascii="Times New Roman"/>
          <w:b w:val="false"/>
          <w:i w:val="false"/>
          <w:color w:val="000000"/>
          <w:sz w:val="28"/>
        </w:rPr>
        <w:t>
      48. Перед началом исследования, исследователь (медицинская организация) получает письменное и датированное одобрение (заключение) Комиссии по вопросам этики протокола исследования, письменную форму информированного согласия и ее последующих редакций, описание мер, направленных на привлечение субъектов к участию в исследовании, и любые другие письменные материалы, которые предполагается предоставить субъектам.</w:t>
      </w:r>
    </w:p>
    <w:bookmarkEnd w:id="1347"/>
    <w:bookmarkStart w:name="z1369" w:id="1348"/>
    <w:p>
      <w:pPr>
        <w:spacing w:after="0"/>
        <w:ind w:left="0"/>
        <w:jc w:val="both"/>
      </w:pPr>
      <w:r>
        <w:rPr>
          <w:rFonts w:ascii="Times New Roman"/>
          <w:b w:val="false"/>
          <w:i w:val="false"/>
          <w:color w:val="000000"/>
          <w:sz w:val="28"/>
        </w:rPr>
        <w:t>
      49. Вместе с другими документами исследователь (медицинская организация) предоставляет Комиссии по вопросам этики последнюю редакцию БИ. Если БИ дополняют в ходе исследования, исследователь (медицинская организация) предоставляет Комиссии по вопросам этики новую редакцию БИ.</w:t>
      </w:r>
    </w:p>
    <w:bookmarkEnd w:id="1348"/>
    <w:bookmarkStart w:name="z1370" w:id="1349"/>
    <w:p>
      <w:pPr>
        <w:spacing w:after="0"/>
        <w:ind w:left="0"/>
        <w:jc w:val="both"/>
      </w:pPr>
      <w:r>
        <w:rPr>
          <w:rFonts w:ascii="Times New Roman"/>
          <w:b w:val="false"/>
          <w:i w:val="false"/>
          <w:color w:val="000000"/>
          <w:sz w:val="28"/>
        </w:rPr>
        <w:t>
      50. В течение исследования исследователь (медицинская организация) предоставляет Комиссии по вопросам этики, все подлежащие рассмотрению документы.</w:t>
      </w:r>
    </w:p>
    <w:bookmarkEnd w:id="1349"/>
    <w:bookmarkStart w:name="z1371" w:id="1350"/>
    <w:p>
      <w:pPr>
        <w:spacing w:after="0"/>
        <w:ind w:left="0"/>
        <w:jc w:val="left"/>
      </w:pPr>
      <w:r>
        <w:rPr>
          <w:rFonts w:ascii="Times New Roman"/>
          <w:b/>
          <w:i w:val="false"/>
          <w:color w:val="000000"/>
        </w:rPr>
        <w:t xml:space="preserve"> Параграф 5. Соблюдение протокола исследования</w:t>
      </w:r>
    </w:p>
    <w:bookmarkEnd w:id="1350"/>
    <w:bookmarkStart w:name="z1372" w:id="1351"/>
    <w:p>
      <w:pPr>
        <w:spacing w:after="0"/>
        <w:ind w:left="0"/>
        <w:jc w:val="both"/>
      </w:pPr>
      <w:r>
        <w:rPr>
          <w:rFonts w:ascii="Times New Roman"/>
          <w:b w:val="false"/>
          <w:i w:val="false"/>
          <w:color w:val="000000"/>
          <w:sz w:val="28"/>
        </w:rPr>
        <w:t>
      51. Исследователь (медицинская организация) проводит исследование в соответствии с протоколом, согласованным со спонсором и разрешенным (одобренным) Комиссией по вопросам этики. В подтверждение договоренности исследователь (медицинская организация) и спонсор подписывают протокол или отдельный договор.</w:t>
      </w:r>
    </w:p>
    <w:bookmarkEnd w:id="1351"/>
    <w:bookmarkStart w:name="z1373" w:id="1352"/>
    <w:p>
      <w:pPr>
        <w:spacing w:after="0"/>
        <w:ind w:left="0"/>
        <w:jc w:val="both"/>
      </w:pPr>
      <w:r>
        <w:rPr>
          <w:rFonts w:ascii="Times New Roman"/>
          <w:b w:val="false"/>
          <w:i w:val="false"/>
          <w:color w:val="000000"/>
          <w:sz w:val="28"/>
        </w:rPr>
        <w:t>
      52. Исследователь не отклоняется от протокола или не вносит изменения без согласия спонсора, предварительного рассмотрения и документально оформленного одобрения (заключения) Комиссии по вопросам этики, относительно поправки к протоколу, кроме тех случаев, когда устраняется непосредственная угроза субъектам исследования или когда изменения касаются только административных или технических аспектов исследования.</w:t>
      </w:r>
    </w:p>
    <w:bookmarkEnd w:id="1352"/>
    <w:bookmarkStart w:name="z1374" w:id="1353"/>
    <w:p>
      <w:pPr>
        <w:spacing w:after="0"/>
        <w:ind w:left="0"/>
        <w:jc w:val="both"/>
      </w:pPr>
      <w:r>
        <w:rPr>
          <w:rFonts w:ascii="Times New Roman"/>
          <w:b w:val="false"/>
          <w:i w:val="false"/>
          <w:color w:val="000000"/>
          <w:sz w:val="28"/>
        </w:rPr>
        <w:t>
      53. Исследователь или назначенное им лицо объясняет и документально оформляет любые отклонения от утвержденного протокола;</w:t>
      </w:r>
    </w:p>
    <w:bookmarkEnd w:id="1353"/>
    <w:bookmarkStart w:name="z1375" w:id="1354"/>
    <w:p>
      <w:pPr>
        <w:spacing w:after="0"/>
        <w:ind w:left="0"/>
        <w:jc w:val="both"/>
      </w:pPr>
      <w:r>
        <w:rPr>
          <w:rFonts w:ascii="Times New Roman"/>
          <w:b w:val="false"/>
          <w:i w:val="false"/>
          <w:color w:val="000000"/>
          <w:sz w:val="28"/>
        </w:rPr>
        <w:t>
      54. Исследователь отклоняется от протокола или вносит в него изменения для устранения непосредственной угрозы субъектам исследования без предварительного одобрения (заключения) Комиссии по вопросам этики. В срочном порядке описание отклонений или изменений с указанием их причин и предлагаемые поправки к протоколу направляются в:</w:t>
      </w:r>
    </w:p>
    <w:bookmarkEnd w:id="1354"/>
    <w:bookmarkStart w:name="z1376" w:id="1355"/>
    <w:p>
      <w:pPr>
        <w:spacing w:after="0"/>
        <w:ind w:left="0"/>
        <w:jc w:val="both"/>
      </w:pPr>
      <w:r>
        <w:rPr>
          <w:rFonts w:ascii="Times New Roman"/>
          <w:b w:val="false"/>
          <w:i w:val="false"/>
          <w:color w:val="000000"/>
          <w:sz w:val="28"/>
        </w:rPr>
        <w:t>
      1) комиссию по вопросам этики для рассмотрения и одобрения (выдачи заключения);</w:t>
      </w:r>
    </w:p>
    <w:bookmarkEnd w:id="1355"/>
    <w:bookmarkStart w:name="z1377" w:id="1356"/>
    <w:p>
      <w:pPr>
        <w:spacing w:after="0"/>
        <w:ind w:left="0"/>
        <w:jc w:val="both"/>
      </w:pPr>
      <w:r>
        <w:rPr>
          <w:rFonts w:ascii="Times New Roman"/>
          <w:b w:val="false"/>
          <w:i w:val="false"/>
          <w:color w:val="000000"/>
          <w:sz w:val="28"/>
        </w:rPr>
        <w:t>
      2) спонсору для согласования с ним;</w:t>
      </w:r>
    </w:p>
    <w:bookmarkEnd w:id="1356"/>
    <w:bookmarkStart w:name="z1378" w:id="1357"/>
    <w:p>
      <w:pPr>
        <w:spacing w:after="0"/>
        <w:ind w:left="0"/>
        <w:jc w:val="both"/>
      </w:pPr>
      <w:r>
        <w:rPr>
          <w:rFonts w:ascii="Times New Roman"/>
          <w:b w:val="false"/>
          <w:i w:val="false"/>
          <w:color w:val="000000"/>
          <w:sz w:val="28"/>
        </w:rPr>
        <w:t>
      3) экспертной организации.</w:t>
      </w:r>
    </w:p>
    <w:bookmarkEnd w:id="1357"/>
    <w:bookmarkStart w:name="z1379" w:id="1358"/>
    <w:p>
      <w:pPr>
        <w:spacing w:after="0"/>
        <w:ind w:left="0"/>
        <w:jc w:val="left"/>
      </w:pPr>
      <w:r>
        <w:rPr>
          <w:rFonts w:ascii="Times New Roman"/>
          <w:b/>
          <w:i w:val="false"/>
          <w:color w:val="000000"/>
        </w:rPr>
        <w:t xml:space="preserve"> Параграф 6. Исследуемые препараты</w:t>
      </w:r>
    </w:p>
    <w:bookmarkEnd w:id="1358"/>
    <w:bookmarkStart w:name="z1380" w:id="1359"/>
    <w:p>
      <w:pPr>
        <w:spacing w:after="0"/>
        <w:ind w:left="0"/>
        <w:jc w:val="both"/>
      </w:pPr>
      <w:r>
        <w:rPr>
          <w:rFonts w:ascii="Times New Roman"/>
          <w:b w:val="false"/>
          <w:i w:val="false"/>
          <w:color w:val="000000"/>
          <w:sz w:val="28"/>
        </w:rPr>
        <w:t>
      55. Исследователь или медицинская организация обеспечивает учет исследуемых препаратов на клинической базе.</w:t>
      </w:r>
    </w:p>
    <w:bookmarkEnd w:id="1359"/>
    <w:bookmarkStart w:name="z1381" w:id="1360"/>
    <w:p>
      <w:pPr>
        <w:spacing w:after="0"/>
        <w:ind w:left="0"/>
        <w:jc w:val="both"/>
      </w:pPr>
      <w:r>
        <w:rPr>
          <w:rFonts w:ascii="Times New Roman"/>
          <w:b w:val="false"/>
          <w:i w:val="false"/>
          <w:color w:val="000000"/>
          <w:sz w:val="28"/>
        </w:rPr>
        <w:t>
      56. Исследователь или медицинская организация передает некоторые или все функции исследователя и медицинской организации по учету исследуемых препаратов на клинической базе аптечному работнику (провизору) или иному лицу, подконтрольному исследователю или медицинской организации.</w:t>
      </w:r>
    </w:p>
    <w:bookmarkEnd w:id="1360"/>
    <w:bookmarkStart w:name="z1382" w:id="1361"/>
    <w:p>
      <w:pPr>
        <w:spacing w:after="0"/>
        <w:ind w:left="0"/>
        <w:jc w:val="both"/>
      </w:pPr>
      <w:r>
        <w:rPr>
          <w:rFonts w:ascii="Times New Roman"/>
          <w:b w:val="false"/>
          <w:i w:val="false"/>
          <w:color w:val="000000"/>
          <w:sz w:val="28"/>
        </w:rPr>
        <w:t>
      57. Исследователь или медицинская организация и (или) аптечный работник (провизор) или иное уполномоченное исследователем и организацией лицо ведут учет поставок препаратов в клиническую базу, их фактического количества, использования - субъектом, а также возврата спонсору либо иного распоряжения по неиспользованным препаратам. Записи по учету включают в себя даты, количество, номера партий или серий, сроки годности и уникальные коды исследуемых препаратов и субъектов исследования. Исследователь ведет записи, подтверждающие, что субъекты получали исследуемые препараты в дозах, предусмотренных протоколом, в количествах, согласующихся с общим количеством исследуемых препаратов, полученным от спонсора.</w:t>
      </w:r>
    </w:p>
    <w:bookmarkEnd w:id="1361"/>
    <w:bookmarkStart w:name="z1383" w:id="1362"/>
    <w:p>
      <w:pPr>
        <w:spacing w:after="0"/>
        <w:ind w:left="0"/>
        <w:jc w:val="both"/>
      </w:pPr>
      <w:r>
        <w:rPr>
          <w:rFonts w:ascii="Times New Roman"/>
          <w:b w:val="false"/>
          <w:i w:val="false"/>
          <w:color w:val="000000"/>
          <w:sz w:val="28"/>
        </w:rPr>
        <w:t>
      58. Исследуемые препараты хранятся в соответствии с инструкциями спонсора.</w:t>
      </w:r>
    </w:p>
    <w:bookmarkEnd w:id="1362"/>
    <w:bookmarkStart w:name="z1384" w:id="1363"/>
    <w:p>
      <w:pPr>
        <w:spacing w:after="0"/>
        <w:ind w:left="0"/>
        <w:jc w:val="both"/>
      </w:pPr>
      <w:r>
        <w:rPr>
          <w:rFonts w:ascii="Times New Roman"/>
          <w:b w:val="false"/>
          <w:i w:val="false"/>
          <w:color w:val="000000"/>
          <w:sz w:val="28"/>
        </w:rPr>
        <w:t>
      59. Исследователь обеспечивает использование исследуемых препаратов в соответствии с утвержденным протоколом.</w:t>
      </w:r>
    </w:p>
    <w:bookmarkEnd w:id="1363"/>
    <w:bookmarkStart w:name="z1385" w:id="1364"/>
    <w:p>
      <w:pPr>
        <w:spacing w:after="0"/>
        <w:ind w:left="0"/>
        <w:jc w:val="both"/>
      </w:pPr>
      <w:r>
        <w:rPr>
          <w:rFonts w:ascii="Times New Roman"/>
          <w:b w:val="false"/>
          <w:i w:val="false"/>
          <w:color w:val="000000"/>
          <w:sz w:val="28"/>
        </w:rPr>
        <w:t>
      60. Исследователь или уполномоченное исследователем, или медицинской организацией лицо информирует субъекта о правилах применения исследуемых препаратов и через приемлемые интервалы времени (в зависимости от исследования) проверяет соблюдение этих инструкций субъектом.</w:t>
      </w:r>
    </w:p>
    <w:bookmarkEnd w:id="1364"/>
    <w:bookmarkStart w:name="z1386" w:id="1365"/>
    <w:p>
      <w:pPr>
        <w:spacing w:after="0"/>
        <w:ind w:left="0"/>
        <w:jc w:val="left"/>
      </w:pPr>
      <w:r>
        <w:rPr>
          <w:rFonts w:ascii="Times New Roman"/>
          <w:b/>
          <w:i w:val="false"/>
          <w:color w:val="000000"/>
        </w:rPr>
        <w:t xml:space="preserve"> Параграф 7. Рандомизация и раскрытие кода</w:t>
      </w:r>
    </w:p>
    <w:bookmarkEnd w:id="1365"/>
    <w:bookmarkStart w:name="z1387" w:id="1366"/>
    <w:p>
      <w:pPr>
        <w:spacing w:after="0"/>
        <w:ind w:left="0"/>
        <w:jc w:val="both"/>
      </w:pPr>
      <w:r>
        <w:rPr>
          <w:rFonts w:ascii="Times New Roman"/>
          <w:b w:val="false"/>
          <w:i w:val="false"/>
          <w:color w:val="000000"/>
          <w:sz w:val="28"/>
        </w:rPr>
        <w:t>
      61. Исследователь, соблюдая предусмотренную в исследовании методику рандомизации, обеспечивает раскрытие кода только в соответствии с протоколом. Если исследование проводится слепым методом, исследователь незамедлительно документально оформляет и объясняет спонсору любое преждевременное раскрытие кода исследуемых препаратов.</w:t>
      </w:r>
    </w:p>
    <w:bookmarkEnd w:id="1366"/>
    <w:bookmarkStart w:name="z1388" w:id="1367"/>
    <w:p>
      <w:pPr>
        <w:spacing w:after="0"/>
        <w:ind w:left="0"/>
        <w:jc w:val="left"/>
      </w:pPr>
      <w:r>
        <w:rPr>
          <w:rFonts w:ascii="Times New Roman"/>
          <w:b/>
          <w:i w:val="false"/>
          <w:color w:val="000000"/>
        </w:rPr>
        <w:t xml:space="preserve"> Параграф 8. Информированное согласие субъектов исследования</w:t>
      </w:r>
    </w:p>
    <w:bookmarkEnd w:id="1367"/>
    <w:bookmarkStart w:name="z1389" w:id="1368"/>
    <w:p>
      <w:pPr>
        <w:spacing w:after="0"/>
        <w:ind w:left="0"/>
        <w:jc w:val="both"/>
      </w:pPr>
      <w:r>
        <w:rPr>
          <w:rFonts w:ascii="Times New Roman"/>
          <w:b w:val="false"/>
          <w:i w:val="false"/>
          <w:color w:val="000000"/>
          <w:sz w:val="28"/>
        </w:rPr>
        <w:t>
      62. При получении и документальном оформлении информированного согласия, исследователь придерживается настоящего Стандарта и этических принципов, заложенных в Хельсинкской декларации Всемирной медицинской ассоциации 1964 года. До начала исследования исследователь получает письменное одобрение или заключение Комиссии по вопросам этики письменной формы информированного согласия и любых других письменных материалов, предоставляемых субъектам.</w:t>
      </w:r>
    </w:p>
    <w:bookmarkEnd w:id="1368"/>
    <w:bookmarkStart w:name="z1390" w:id="1369"/>
    <w:p>
      <w:pPr>
        <w:spacing w:after="0"/>
        <w:ind w:left="0"/>
        <w:jc w:val="both"/>
      </w:pPr>
      <w:r>
        <w:rPr>
          <w:rFonts w:ascii="Times New Roman"/>
          <w:b w:val="false"/>
          <w:i w:val="false"/>
          <w:color w:val="000000"/>
          <w:sz w:val="28"/>
        </w:rPr>
        <w:t>
      63. Письменная форма информированного согласия и любые другие письменные материалы, предоставляемые субъектам, следует дополнять или исправлять по мере появления новой важной информации, которая может оказаться существенной для согласия субъекта. Любая дополненная или исправленная письменная форма информированного согласия и любые другие дополненные или исправленные письменные материалы, предоставляемые субъектам, одобряются Комиссией по вопросам этики до их использования в исследовании, после чего они доводятся до сведения субъекта или его законного представителя и влияют на принятие решения субъекта о дальнейшем продолжении участия в исследовании. Факт передачи этой информации документально оформляется.</w:t>
      </w:r>
    </w:p>
    <w:bookmarkEnd w:id="1369"/>
    <w:bookmarkStart w:name="z1391" w:id="1370"/>
    <w:p>
      <w:pPr>
        <w:spacing w:after="0"/>
        <w:ind w:left="0"/>
        <w:jc w:val="both"/>
      </w:pPr>
      <w:r>
        <w:rPr>
          <w:rFonts w:ascii="Times New Roman"/>
          <w:b w:val="false"/>
          <w:i w:val="false"/>
          <w:color w:val="000000"/>
          <w:sz w:val="28"/>
        </w:rPr>
        <w:t>
      64. Ни исследователь, ни другие занятые в исследовании лица не принуждают субъекта, не используют иные, некорректные методы воздействия с целью склонить его к участию либо продолжению участия в исследовании.</w:t>
      </w:r>
    </w:p>
    <w:bookmarkEnd w:id="1370"/>
    <w:bookmarkStart w:name="z1392" w:id="1371"/>
    <w:p>
      <w:pPr>
        <w:spacing w:after="0"/>
        <w:ind w:left="0"/>
        <w:jc w:val="both"/>
      </w:pPr>
      <w:r>
        <w:rPr>
          <w:rFonts w:ascii="Times New Roman"/>
          <w:b w:val="false"/>
          <w:i w:val="false"/>
          <w:color w:val="000000"/>
          <w:sz w:val="28"/>
        </w:rPr>
        <w:t>
      65. Ни в устной информации, ни в письменных материалах исследования, включая письменную форму информированного согласия или информационного листка пациента, не используются формулировки, прямо или косвенно склоняющие субъекта или его законного представителя отказаться от законных прав, а также формулировки, прямо или косвенно освобождающие исследователя, медицинскую организацию, спонсора или их представителей от халатности.</w:t>
      </w:r>
    </w:p>
    <w:bookmarkEnd w:id="1371"/>
    <w:bookmarkStart w:name="z1393" w:id="1372"/>
    <w:p>
      <w:pPr>
        <w:spacing w:after="0"/>
        <w:ind w:left="0"/>
        <w:jc w:val="both"/>
      </w:pPr>
      <w:r>
        <w:rPr>
          <w:rFonts w:ascii="Times New Roman"/>
          <w:b w:val="false"/>
          <w:i w:val="false"/>
          <w:color w:val="000000"/>
          <w:sz w:val="28"/>
        </w:rPr>
        <w:t>
      66. Исследователь или назначенное им лицо обеспечивает в полной мере информирование субъекта или его законного представителя обо всех значимых аспектах исследования, в том числе знакомит с письменной информацией об исследовании и одобрением или положительным заключением Комиссии по вопросам этики.</w:t>
      </w:r>
    </w:p>
    <w:bookmarkEnd w:id="1372"/>
    <w:bookmarkStart w:name="z1394" w:id="1373"/>
    <w:p>
      <w:pPr>
        <w:spacing w:after="0"/>
        <w:ind w:left="0"/>
        <w:jc w:val="both"/>
      </w:pPr>
      <w:r>
        <w:rPr>
          <w:rFonts w:ascii="Times New Roman"/>
          <w:b w:val="false"/>
          <w:i w:val="false"/>
          <w:color w:val="000000"/>
          <w:sz w:val="28"/>
        </w:rPr>
        <w:t>
      67. Обеспечивается предоставление устной и письменной информации об исследовании, включая письменную форму информированного согласия, понятной субъекту, не использующей специальных терминов или, в соответствующих случаях, его законному представителю и незаинтересованному свидетелю.</w:t>
      </w:r>
    </w:p>
    <w:bookmarkEnd w:id="1373"/>
    <w:bookmarkStart w:name="z1395" w:id="1374"/>
    <w:p>
      <w:pPr>
        <w:spacing w:after="0"/>
        <w:ind w:left="0"/>
        <w:jc w:val="both"/>
      </w:pPr>
      <w:r>
        <w:rPr>
          <w:rFonts w:ascii="Times New Roman"/>
          <w:b w:val="false"/>
          <w:i w:val="false"/>
          <w:color w:val="000000"/>
          <w:sz w:val="28"/>
        </w:rPr>
        <w:t>
      68. Перед получением информированного согласия исследователь или назначенное им лицо предоставляет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или отказе. Субъект или его законный представитель получает исчерпывающие ответы на все вопросы об исследовании.</w:t>
      </w:r>
    </w:p>
    <w:bookmarkEnd w:id="1374"/>
    <w:bookmarkStart w:name="z1396" w:id="1375"/>
    <w:p>
      <w:pPr>
        <w:spacing w:after="0"/>
        <w:ind w:left="0"/>
        <w:jc w:val="both"/>
      </w:pPr>
      <w:r>
        <w:rPr>
          <w:rFonts w:ascii="Times New Roman"/>
          <w:b w:val="false"/>
          <w:i w:val="false"/>
          <w:color w:val="000000"/>
          <w:sz w:val="28"/>
        </w:rPr>
        <w:t>
      69. До начала участия в исследовании субъект или его законный представитель, а также лицо, проводившее разъяснительную беседу, подписывают и собственноручно датируют письменную форму информированного согласия.</w:t>
      </w:r>
    </w:p>
    <w:bookmarkEnd w:id="1375"/>
    <w:bookmarkStart w:name="z1397" w:id="1376"/>
    <w:p>
      <w:pPr>
        <w:spacing w:after="0"/>
        <w:ind w:left="0"/>
        <w:jc w:val="both"/>
      </w:pPr>
      <w:r>
        <w:rPr>
          <w:rFonts w:ascii="Times New Roman"/>
          <w:b w:val="false"/>
          <w:i w:val="false"/>
          <w:color w:val="000000"/>
          <w:sz w:val="28"/>
        </w:rPr>
        <w:t>
      70. Если субъект или его законный представитель неспособны читать, то в течение всей разъяснительной беседы присутствует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предоставляемые субъекту письменные материалы и после того, как субъект или его законный представитель дал устное согласие на участие субъекта в исследовании и, если способен, подписал и собственноручно датировал письменную форму информированного согласия, свидетель ее подписывает и собственноручно датирует. Подписывая форму согласия, свидетель подтверждает, что информация, содержащаяся в форме согласия или информационном листке пациента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bookmarkEnd w:id="1376"/>
    <w:bookmarkStart w:name="z1398" w:id="1377"/>
    <w:p>
      <w:pPr>
        <w:spacing w:after="0"/>
        <w:ind w:left="0"/>
        <w:jc w:val="both"/>
      </w:pPr>
      <w:r>
        <w:rPr>
          <w:rFonts w:ascii="Times New Roman"/>
          <w:b w:val="false"/>
          <w:i w:val="false"/>
          <w:color w:val="000000"/>
          <w:sz w:val="28"/>
        </w:rPr>
        <w:t>
      71. В ходе разъяснительной беседы, так и в письменной форме информированного согласия или информационном листке пациента, а также любых других письменных материалах, предоставляемых субъектам, разъясняется следующее:</w:t>
      </w:r>
    </w:p>
    <w:bookmarkEnd w:id="1377"/>
    <w:bookmarkStart w:name="z1399" w:id="1378"/>
    <w:p>
      <w:pPr>
        <w:spacing w:after="0"/>
        <w:ind w:left="0"/>
        <w:jc w:val="both"/>
      </w:pPr>
      <w:r>
        <w:rPr>
          <w:rFonts w:ascii="Times New Roman"/>
          <w:b w:val="false"/>
          <w:i w:val="false"/>
          <w:color w:val="000000"/>
          <w:sz w:val="28"/>
        </w:rPr>
        <w:t>
      1) исследование носит экспериментальный характер;</w:t>
      </w:r>
    </w:p>
    <w:bookmarkEnd w:id="1378"/>
    <w:bookmarkStart w:name="z1400" w:id="1379"/>
    <w:p>
      <w:pPr>
        <w:spacing w:after="0"/>
        <w:ind w:left="0"/>
        <w:jc w:val="both"/>
      </w:pPr>
      <w:r>
        <w:rPr>
          <w:rFonts w:ascii="Times New Roman"/>
          <w:b w:val="false"/>
          <w:i w:val="false"/>
          <w:color w:val="000000"/>
          <w:sz w:val="28"/>
        </w:rPr>
        <w:t>
      2) цель исследования;</w:t>
      </w:r>
    </w:p>
    <w:bookmarkEnd w:id="1379"/>
    <w:bookmarkStart w:name="z1401" w:id="1380"/>
    <w:p>
      <w:pPr>
        <w:spacing w:after="0"/>
        <w:ind w:left="0"/>
        <w:jc w:val="both"/>
      </w:pPr>
      <w:r>
        <w:rPr>
          <w:rFonts w:ascii="Times New Roman"/>
          <w:b w:val="false"/>
          <w:i w:val="false"/>
          <w:color w:val="000000"/>
          <w:sz w:val="28"/>
        </w:rPr>
        <w:t>
      3) исследуемый способ лечения в процессе исследования и вероятность случайного распределения в одну из групп лечения;</w:t>
      </w:r>
    </w:p>
    <w:bookmarkEnd w:id="1380"/>
    <w:bookmarkStart w:name="z1402" w:id="1381"/>
    <w:p>
      <w:pPr>
        <w:spacing w:after="0"/>
        <w:ind w:left="0"/>
        <w:jc w:val="both"/>
      </w:pPr>
      <w:r>
        <w:rPr>
          <w:rFonts w:ascii="Times New Roman"/>
          <w:b w:val="false"/>
          <w:i w:val="false"/>
          <w:color w:val="000000"/>
          <w:sz w:val="28"/>
        </w:rPr>
        <w:t>
      4) процедуры исследования, включая все инвазивные процедуры;</w:t>
      </w:r>
    </w:p>
    <w:bookmarkEnd w:id="1381"/>
    <w:bookmarkStart w:name="z1403" w:id="1382"/>
    <w:p>
      <w:pPr>
        <w:spacing w:after="0"/>
        <w:ind w:left="0"/>
        <w:jc w:val="both"/>
      </w:pPr>
      <w:r>
        <w:rPr>
          <w:rFonts w:ascii="Times New Roman"/>
          <w:b w:val="false"/>
          <w:i w:val="false"/>
          <w:color w:val="000000"/>
          <w:sz w:val="28"/>
        </w:rPr>
        <w:t>
      5) обязанности субъекта;</w:t>
      </w:r>
    </w:p>
    <w:bookmarkEnd w:id="1382"/>
    <w:bookmarkStart w:name="z1404" w:id="1383"/>
    <w:p>
      <w:pPr>
        <w:spacing w:after="0"/>
        <w:ind w:left="0"/>
        <w:jc w:val="both"/>
      </w:pPr>
      <w:r>
        <w:rPr>
          <w:rFonts w:ascii="Times New Roman"/>
          <w:b w:val="false"/>
          <w:i w:val="false"/>
          <w:color w:val="000000"/>
          <w:sz w:val="28"/>
        </w:rPr>
        <w:t>
      6) экспериментальные аспекты исследования;</w:t>
      </w:r>
    </w:p>
    <w:bookmarkEnd w:id="1383"/>
    <w:bookmarkStart w:name="z1405" w:id="1384"/>
    <w:p>
      <w:pPr>
        <w:spacing w:after="0"/>
        <w:ind w:left="0"/>
        <w:jc w:val="both"/>
      </w:pPr>
      <w:r>
        <w:rPr>
          <w:rFonts w:ascii="Times New Roman"/>
          <w:b w:val="false"/>
          <w:i w:val="false"/>
          <w:color w:val="000000"/>
          <w:sz w:val="28"/>
        </w:rPr>
        <w:t>
      7) ожидаемый риск или неудобства для субъекта, а также, в соответствующих случаях, для эмбриона, плода или грудного ребенка;</w:t>
      </w:r>
    </w:p>
    <w:bookmarkEnd w:id="1384"/>
    <w:bookmarkStart w:name="z1406" w:id="1385"/>
    <w:p>
      <w:pPr>
        <w:spacing w:after="0"/>
        <w:ind w:left="0"/>
        <w:jc w:val="both"/>
      </w:pPr>
      <w:r>
        <w:rPr>
          <w:rFonts w:ascii="Times New Roman"/>
          <w:b w:val="false"/>
          <w:i w:val="false"/>
          <w:color w:val="000000"/>
          <w:sz w:val="28"/>
        </w:rPr>
        <w:t>
      8) ожидаемые выгода и (или) польза, если пользы с медицинской точки зрения не предполагается, то субъекту об этом сообщается;</w:t>
      </w:r>
    </w:p>
    <w:bookmarkEnd w:id="1385"/>
    <w:bookmarkStart w:name="z1407" w:id="1386"/>
    <w:p>
      <w:pPr>
        <w:spacing w:after="0"/>
        <w:ind w:left="0"/>
        <w:jc w:val="both"/>
      </w:pPr>
      <w:r>
        <w:rPr>
          <w:rFonts w:ascii="Times New Roman"/>
          <w:b w:val="false"/>
          <w:i w:val="false"/>
          <w:color w:val="000000"/>
          <w:sz w:val="28"/>
        </w:rPr>
        <w:t>
      9) иные, помимо предусмотренных в исследовании, процедуры или методы лечения, которые доступны субъекту, а также их значимые потенциальные выгода и (или) польза, а также риск;</w:t>
      </w:r>
    </w:p>
    <w:bookmarkEnd w:id="1386"/>
    <w:bookmarkStart w:name="z1408" w:id="1387"/>
    <w:p>
      <w:pPr>
        <w:spacing w:after="0"/>
        <w:ind w:left="0"/>
        <w:jc w:val="both"/>
      </w:pPr>
      <w:r>
        <w:rPr>
          <w:rFonts w:ascii="Times New Roman"/>
          <w:b w:val="false"/>
          <w:i w:val="false"/>
          <w:color w:val="000000"/>
          <w:sz w:val="28"/>
        </w:rPr>
        <w:t>
      10) компенсация и (или) лечение, доступные субъекту в случае причинения вреда его здоровью в результате участия в исследовании;</w:t>
      </w:r>
    </w:p>
    <w:bookmarkEnd w:id="1387"/>
    <w:bookmarkStart w:name="z1409" w:id="1388"/>
    <w:p>
      <w:pPr>
        <w:spacing w:after="0"/>
        <w:ind w:left="0"/>
        <w:jc w:val="both"/>
      </w:pPr>
      <w:r>
        <w:rPr>
          <w:rFonts w:ascii="Times New Roman"/>
          <w:b w:val="false"/>
          <w:i w:val="false"/>
          <w:color w:val="000000"/>
          <w:sz w:val="28"/>
        </w:rPr>
        <w:t>
      11) планируемый размер выплат субъекту за его участие в исследовании, если таковые предусмотрены;</w:t>
      </w:r>
    </w:p>
    <w:bookmarkEnd w:id="1388"/>
    <w:bookmarkStart w:name="z1410" w:id="1389"/>
    <w:p>
      <w:pPr>
        <w:spacing w:after="0"/>
        <w:ind w:left="0"/>
        <w:jc w:val="both"/>
      </w:pPr>
      <w:r>
        <w:rPr>
          <w:rFonts w:ascii="Times New Roman"/>
          <w:b w:val="false"/>
          <w:i w:val="false"/>
          <w:color w:val="000000"/>
          <w:sz w:val="28"/>
        </w:rPr>
        <w:t>
      12) планируемые расходы субъекта, если таковые ожидаются, связанные с его участием в исследовании;</w:t>
      </w:r>
    </w:p>
    <w:bookmarkEnd w:id="1389"/>
    <w:bookmarkStart w:name="z1411" w:id="1390"/>
    <w:p>
      <w:pPr>
        <w:spacing w:after="0"/>
        <w:ind w:left="0"/>
        <w:jc w:val="both"/>
      </w:pPr>
      <w:r>
        <w:rPr>
          <w:rFonts w:ascii="Times New Roman"/>
          <w:b w:val="false"/>
          <w:i w:val="false"/>
          <w:color w:val="000000"/>
          <w:sz w:val="28"/>
        </w:rPr>
        <w:t>
      13) участие субъекта в исследовании является добровольным, в связи с чем решение об отказе от участия или выход из исследования принимается им в любой момент без каких-либо санкций для себя или потери положенных выгод;</w:t>
      </w:r>
    </w:p>
    <w:bookmarkEnd w:id="1390"/>
    <w:bookmarkStart w:name="z1412" w:id="1391"/>
    <w:p>
      <w:pPr>
        <w:spacing w:after="0"/>
        <w:ind w:left="0"/>
        <w:jc w:val="both"/>
      </w:pPr>
      <w:r>
        <w:rPr>
          <w:rFonts w:ascii="Times New Roman"/>
          <w:b w:val="false"/>
          <w:i w:val="false"/>
          <w:color w:val="000000"/>
          <w:sz w:val="28"/>
        </w:rPr>
        <w:t>
      14) мониторы, аудиторы, Комиссии по вопросам этики и экспертная организация в той мере, в какой это допускается настоящим Стандартом, имеют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Субъект или его законный представитель, подписывая письменную форму информированного согласия, разрешает такой доступ;</w:t>
      </w:r>
    </w:p>
    <w:bookmarkEnd w:id="1391"/>
    <w:bookmarkStart w:name="z1413" w:id="1392"/>
    <w:p>
      <w:pPr>
        <w:spacing w:after="0"/>
        <w:ind w:left="0"/>
        <w:jc w:val="both"/>
      </w:pPr>
      <w:r>
        <w:rPr>
          <w:rFonts w:ascii="Times New Roman"/>
          <w:b w:val="false"/>
          <w:i w:val="false"/>
          <w:color w:val="000000"/>
          <w:sz w:val="28"/>
        </w:rPr>
        <w:t>
      15) записи, идентифицирующие субъекта, сохраняются в тайне и раскрываются только в той мере, в какой это допускается настоящим Стандартом. При публикации результатов исследования конфиденциальность данных субъекта сохраняется;</w:t>
      </w:r>
    </w:p>
    <w:bookmarkEnd w:id="1392"/>
    <w:bookmarkStart w:name="z1414" w:id="1393"/>
    <w:p>
      <w:pPr>
        <w:spacing w:after="0"/>
        <w:ind w:left="0"/>
        <w:jc w:val="both"/>
      </w:pPr>
      <w:r>
        <w:rPr>
          <w:rFonts w:ascii="Times New Roman"/>
          <w:b w:val="false"/>
          <w:i w:val="false"/>
          <w:color w:val="000000"/>
          <w:sz w:val="28"/>
        </w:rPr>
        <w:t>
      16) информация, способная повлиять на желание субъекта продолжать участие в исследовании, доводится до сведения субъекта или его законного представителя;</w:t>
      </w:r>
    </w:p>
    <w:bookmarkEnd w:id="1393"/>
    <w:bookmarkStart w:name="z1415" w:id="1394"/>
    <w:p>
      <w:pPr>
        <w:spacing w:after="0"/>
        <w:ind w:left="0"/>
        <w:jc w:val="both"/>
      </w:pPr>
      <w:r>
        <w:rPr>
          <w:rFonts w:ascii="Times New Roman"/>
          <w:b w:val="false"/>
          <w:i w:val="false"/>
          <w:color w:val="000000"/>
          <w:sz w:val="28"/>
        </w:rPr>
        <w:t>
      17) лица, к которым обращаются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bookmarkEnd w:id="1394"/>
    <w:bookmarkStart w:name="z1416" w:id="1395"/>
    <w:p>
      <w:pPr>
        <w:spacing w:after="0"/>
        <w:ind w:left="0"/>
        <w:jc w:val="both"/>
      </w:pPr>
      <w:r>
        <w:rPr>
          <w:rFonts w:ascii="Times New Roman"/>
          <w:b w:val="false"/>
          <w:i w:val="false"/>
          <w:color w:val="000000"/>
          <w:sz w:val="28"/>
        </w:rPr>
        <w:t>
      18) возможные обстоятельства и (или) причины, по которым участие субъекта в исследовании прекращается;</w:t>
      </w:r>
    </w:p>
    <w:bookmarkEnd w:id="1395"/>
    <w:bookmarkStart w:name="z1417" w:id="1396"/>
    <w:p>
      <w:pPr>
        <w:spacing w:after="0"/>
        <w:ind w:left="0"/>
        <w:jc w:val="both"/>
      </w:pPr>
      <w:r>
        <w:rPr>
          <w:rFonts w:ascii="Times New Roman"/>
          <w:b w:val="false"/>
          <w:i w:val="false"/>
          <w:color w:val="000000"/>
          <w:sz w:val="28"/>
        </w:rPr>
        <w:t>
      19) предполагаемая продолжительность участия субъекта в исследовании;</w:t>
      </w:r>
    </w:p>
    <w:bookmarkEnd w:id="1396"/>
    <w:bookmarkStart w:name="z1418" w:id="1397"/>
    <w:p>
      <w:pPr>
        <w:spacing w:after="0"/>
        <w:ind w:left="0"/>
        <w:jc w:val="both"/>
      </w:pPr>
      <w:r>
        <w:rPr>
          <w:rFonts w:ascii="Times New Roman"/>
          <w:b w:val="false"/>
          <w:i w:val="false"/>
          <w:color w:val="000000"/>
          <w:sz w:val="28"/>
        </w:rPr>
        <w:t>
      20) приблизительное количество субъектов, которое предполагается включить в исследование.</w:t>
      </w:r>
    </w:p>
    <w:bookmarkEnd w:id="1397"/>
    <w:bookmarkStart w:name="z1419" w:id="1398"/>
    <w:p>
      <w:pPr>
        <w:spacing w:after="0"/>
        <w:ind w:left="0"/>
        <w:jc w:val="both"/>
      </w:pPr>
      <w:r>
        <w:rPr>
          <w:rFonts w:ascii="Times New Roman"/>
          <w:b w:val="false"/>
          <w:i w:val="false"/>
          <w:color w:val="000000"/>
          <w:sz w:val="28"/>
        </w:rPr>
        <w:t>
      72. Перед включением в исследование субъект или его законный представитель получает подписанный и датированный экземпляр письменной формы информированного согласия и другие предоставляемые субъектам письменные материалы. Во время участия субъекта в исследовании субъект или его законный представитель получает подписанные и датированные экземпляры всех последующих редакций формы информированного согласия и копии поправок к другим письменным материалам, предоставляемым субъекту.</w:t>
      </w:r>
    </w:p>
    <w:bookmarkEnd w:id="1398"/>
    <w:bookmarkStart w:name="z1420" w:id="1399"/>
    <w:p>
      <w:pPr>
        <w:spacing w:after="0"/>
        <w:ind w:left="0"/>
        <w:jc w:val="both"/>
      </w:pPr>
      <w:r>
        <w:rPr>
          <w:rFonts w:ascii="Times New Roman"/>
          <w:b w:val="false"/>
          <w:i w:val="false"/>
          <w:color w:val="000000"/>
          <w:sz w:val="28"/>
        </w:rPr>
        <w:t>
      73. Если в клиническом исследовании участвуют субъекты, которые включаются в исследование только на основании согласия их законных представителей (несовершеннолетние, пациенты с выраженным слабоумием) субъект информируется об исследовании в соответствии с его способностью понять эту информацию и, если субъект в состоянии, подписывает и собственноручно датирует письменную форму информированного согласия.</w:t>
      </w:r>
    </w:p>
    <w:bookmarkEnd w:id="1399"/>
    <w:bookmarkStart w:name="z1421" w:id="1400"/>
    <w:p>
      <w:pPr>
        <w:spacing w:after="0"/>
        <w:ind w:left="0"/>
        <w:jc w:val="both"/>
      </w:pPr>
      <w:r>
        <w:rPr>
          <w:rFonts w:ascii="Times New Roman"/>
          <w:b w:val="false"/>
          <w:i w:val="false"/>
          <w:color w:val="000000"/>
          <w:sz w:val="28"/>
        </w:rPr>
        <w:t>
      74. В исследование, не связанное с лечением, включаются субъекты, которые собственноручно подписывают и датируют письменную форму информированного согласия и (или) подтверждают свое согласие с помощью их законных представителей.</w:t>
      </w:r>
    </w:p>
    <w:bookmarkEnd w:id="1400"/>
    <w:bookmarkStart w:name="z1422" w:id="1401"/>
    <w:p>
      <w:pPr>
        <w:spacing w:after="0"/>
        <w:ind w:left="0"/>
        <w:jc w:val="both"/>
      </w:pPr>
      <w:r>
        <w:rPr>
          <w:rFonts w:ascii="Times New Roman"/>
          <w:b w:val="false"/>
          <w:i w:val="false"/>
          <w:color w:val="000000"/>
          <w:sz w:val="28"/>
        </w:rPr>
        <w:t>
      75. В исследования, не связанные с лечением, субъекты включаются с согласия их законных представителей при соблюдении следующих условий:</w:t>
      </w:r>
    </w:p>
    <w:bookmarkEnd w:id="1401"/>
    <w:bookmarkStart w:name="z1423" w:id="1402"/>
    <w:p>
      <w:pPr>
        <w:spacing w:after="0"/>
        <w:ind w:left="0"/>
        <w:jc w:val="both"/>
      </w:pPr>
      <w:r>
        <w:rPr>
          <w:rFonts w:ascii="Times New Roman"/>
          <w:b w:val="false"/>
          <w:i w:val="false"/>
          <w:color w:val="000000"/>
          <w:sz w:val="28"/>
        </w:rPr>
        <w:t>
      1) цели исследования не достигаются посредством исследования с участием субъектов, которые могут дать свое согласие лично;</w:t>
      </w:r>
    </w:p>
    <w:bookmarkEnd w:id="1402"/>
    <w:bookmarkStart w:name="z1424" w:id="1403"/>
    <w:p>
      <w:pPr>
        <w:spacing w:after="0"/>
        <w:ind w:left="0"/>
        <w:jc w:val="both"/>
      </w:pPr>
      <w:r>
        <w:rPr>
          <w:rFonts w:ascii="Times New Roman"/>
          <w:b w:val="false"/>
          <w:i w:val="false"/>
          <w:color w:val="000000"/>
          <w:sz w:val="28"/>
        </w:rPr>
        <w:t>
      2) ожидаемый риск для субъектов незначителен;</w:t>
      </w:r>
    </w:p>
    <w:bookmarkEnd w:id="1403"/>
    <w:bookmarkStart w:name="z1425" w:id="1404"/>
    <w:p>
      <w:pPr>
        <w:spacing w:after="0"/>
        <w:ind w:left="0"/>
        <w:jc w:val="both"/>
      </w:pPr>
      <w:r>
        <w:rPr>
          <w:rFonts w:ascii="Times New Roman"/>
          <w:b w:val="false"/>
          <w:i w:val="false"/>
          <w:color w:val="000000"/>
          <w:sz w:val="28"/>
        </w:rPr>
        <w:t>
      3) отрицательное воздействие на здоровье субъекта сведено к минимуму и незначительно;</w:t>
      </w:r>
    </w:p>
    <w:bookmarkEnd w:id="1404"/>
    <w:bookmarkStart w:name="z1426" w:id="1405"/>
    <w:p>
      <w:pPr>
        <w:spacing w:after="0"/>
        <w:ind w:left="0"/>
        <w:jc w:val="both"/>
      </w:pPr>
      <w:r>
        <w:rPr>
          <w:rFonts w:ascii="Times New Roman"/>
          <w:b w:val="false"/>
          <w:i w:val="false"/>
          <w:color w:val="000000"/>
          <w:sz w:val="28"/>
        </w:rPr>
        <w:t>
      4) исследование не запрещено законодательством;</w:t>
      </w:r>
    </w:p>
    <w:bookmarkEnd w:id="1405"/>
    <w:bookmarkStart w:name="z1427" w:id="1406"/>
    <w:p>
      <w:pPr>
        <w:spacing w:after="0"/>
        <w:ind w:left="0"/>
        <w:jc w:val="both"/>
      </w:pPr>
      <w:r>
        <w:rPr>
          <w:rFonts w:ascii="Times New Roman"/>
          <w:b w:val="false"/>
          <w:i w:val="false"/>
          <w:color w:val="000000"/>
          <w:sz w:val="28"/>
        </w:rPr>
        <w:t>
      5) для включения таких субъектов запрашивается специальное одобрение или заключение Комиссии по вопросам этики, учитывающее данный аспект.</w:t>
      </w:r>
    </w:p>
    <w:bookmarkEnd w:id="1406"/>
    <w:bookmarkStart w:name="z1428" w:id="1407"/>
    <w:p>
      <w:pPr>
        <w:spacing w:after="0"/>
        <w:ind w:left="0"/>
        <w:jc w:val="both"/>
      </w:pPr>
      <w:r>
        <w:rPr>
          <w:rFonts w:ascii="Times New Roman"/>
          <w:b w:val="false"/>
          <w:i w:val="false"/>
          <w:color w:val="000000"/>
          <w:sz w:val="28"/>
        </w:rPr>
        <w:t>
      Подобные исследования проводятся с участием пациентов, имеющих заболевание, для лечения которого предназначен исследуемый препарат. Субъекты в таких исследованиях находятся под особо тщательным наблюдением, и их участие прекращается, если есть основания полагать, что они испытывают чрезмерный дискомфорт;</w:t>
      </w:r>
    </w:p>
    <w:bookmarkEnd w:id="1407"/>
    <w:bookmarkStart w:name="z1429" w:id="1408"/>
    <w:p>
      <w:pPr>
        <w:spacing w:after="0"/>
        <w:ind w:left="0"/>
        <w:jc w:val="both"/>
      </w:pPr>
      <w:r>
        <w:rPr>
          <w:rFonts w:ascii="Times New Roman"/>
          <w:b w:val="false"/>
          <w:i w:val="false"/>
          <w:color w:val="000000"/>
          <w:sz w:val="28"/>
        </w:rPr>
        <w:t xml:space="preserve">
      76. При неотложных состояниях, когда до включения в исследование невозможно получить согласие самого субъекта, оно запрашивается у его законного представителя. Если предварительное согласие субъекта невозможно получить и отсутствует его законный представитель, то для включения субъекта в исследование предпринимаются предусмотренные протоколом и (или) другими документами и разрешенные или одобренные Комиссии по вопросам этики меры, направленные на защиту прав, безопасности и благополучия субъекта. Субъект или его законный представитель в кратчайшие сроки ставится в известность об исследовании и запрашивается согласие, а также другое согласие в соответствии с пунктом 71 Стандарта на продолжение участия субъекта в исследовании. </w:t>
      </w:r>
    </w:p>
    <w:bookmarkEnd w:id="1408"/>
    <w:bookmarkStart w:name="z1430" w:id="1409"/>
    <w:p>
      <w:pPr>
        <w:spacing w:after="0"/>
        <w:ind w:left="0"/>
        <w:jc w:val="left"/>
      </w:pPr>
      <w:r>
        <w:rPr>
          <w:rFonts w:ascii="Times New Roman"/>
          <w:b/>
          <w:i w:val="false"/>
          <w:color w:val="000000"/>
        </w:rPr>
        <w:t xml:space="preserve"> Параграф 9. Документация и отчетность</w:t>
      </w:r>
    </w:p>
    <w:bookmarkEnd w:id="1409"/>
    <w:bookmarkStart w:name="z1431" w:id="1410"/>
    <w:p>
      <w:pPr>
        <w:spacing w:after="0"/>
        <w:ind w:left="0"/>
        <w:jc w:val="both"/>
      </w:pPr>
      <w:r>
        <w:rPr>
          <w:rFonts w:ascii="Times New Roman"/>
          <w:b w:val="false"/>
          <w:i w:val="false"/>
          <w:color w:val="000000"/>
          <w:sz w:val="28"/>
        </w:rPr>
        <w:t>
      77. Исследователь обеспечивает правильность, полноту, разборчивость и своевременность предоставления спонсору данных, содержащихся в ИРК и во всех требуемых отчетах.</w:t>
      </w:r>
    </w:p>
    <w:bookmarkEnd w:id="1410"/>
    <w:bookmarkStart w:name="z1432" w:id="1411"/>
    <w:p>
      <w:pPr>
        <w:spacing w:after="0"/>
        <w:ind w:left="0"/>
        <w:jc w:val="both"/>
      </w:pPr>
      <w:r>
        <w:rPr>
          <w:rFonts w:ascii="Times New Roman"/>
          <w:b w:val="false"/>
          <w:i w:val="false"/>
          <w:color w:val="000000"/>
          <w:sz w:val="28"/>
        </w:rPr>
        <w:t>
      78. Данные в ИРК соответствуют первичной документации, из которой они перенесены, имеющиеся расхождения объясняются.</w:t>
      </w:r>
    </w:p>
    <w:bookmarkEnd w:id="1411"/>
    <w:bookmarkStart w:name="z1433" w:id="1412"/>
    <w:p>
      <w:pPr>
        <w:spacing w:after="0"/>
        <w:ind w:left="0"/>
        <w:jc w:val="both"/>
      </w:pPr>
      <w:r>
        <w:rPr>
          <w:rFonts w:ascii="Times New Roman"/>
          <w:b w:val="false"/>
          <w:i w:val="false"/>
          <w:color w:val="000000"/>
          <w:sz w:val="28"/>
        </w:rPr>
        <w:t>
      79. Любые изменения или исправления в ИРК подписываются, датируются, объясняются и показывают первоначальную запись; применяется как к письменным, так и к электронным изменениям или исправлениям. Спонсор предоставляет исследователям и (или) их уполномоченным представителям инструкцию о порядке оформления таких исправлений. Спонсор имеет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хранит записи об изменениях и исправлениях.</w:t>
      </w:r>
    </w:p>
    <w:bookmarkEnd w:id="1412"/>
    <w:bookmarkStart w:name="z1434" w:id="1413"/>
    <w:p>
      <w:pPr>
        <w:spacing w:after="0"/>
        <w:ind w:left="0"/>
        <w:jc w:val="both"/>
      </w:pPr>
      <w:r>
        <w:rPr>
          <w:rFonts w:ascii="Times New Roman"/>
          <w:b w:val="false"/>
          <w:i w:val="false"/>
          <w:color w:val="000000"/>
          <w:sz w:val="28"/>
        </w:rPr>
        <w:t>
      80. Исследователь или медицинская организация ведет документацию по исследованию согласно разделу 8 настоящего Стандарта. Исследователь или медицинская организация принимает необходимые меры, предотвращающие случайное или преждевременное уничтожение данных документов.</w:t>
      </w:r>
    </w:p>
    <w:bookmarkEnd w:id="1413"/>
    <w:bookmarkStart w:name="z1435" w:id="1414"/>
    <w:p>
      <w:pPr>
        <w:spacing w:after="0"/>
        <w:ind w:left="0"/>
        <w:jc w:val="both"/>
      </w:pPr>
      <w:r>
        <w:rPr>
          <w:rFonts w:ascii="Times New Roman"/>
          <w:b w:val="false"/>
          <w:i w:val="false"/>
          <w:color w:val="000000"/>
          <w:sz w:val="28"/>
        </w:rPr>
        <w:t>
      81. Основные документы хранятся не менее двух лет по утверждению последней заявки на регистрацию препарата в Республике Казахстан или при наличии одной заявки на рассмотрении, или при планировании новых заявок, или не менее двух лет после официального прекращения клинической разработки исследуемого препарата. Данные документы имеют более длительный срок хранения, если предусмотрено нормативными требованиями и договором со спонсором. Спонсора осуществляет информирование исследователя или медицинской организации об истечении срока хранения документации.</w:t>
      </w:r>
    </w:p>
    <w:bookmarkEnd w:id="1414"/>
    <w:bookmarkStart w:name="z1436" w:id="1415"/>
    <w:p>
      <w:pPr>
        <w:spacing w:after="0"/>
        <w:ind w:left="0"/>
        <w:jc w:val="both"/>
      </w:pPr>
      <w:r>
        <w:rPr>
          <w:rFonts w:ascii="Times New Roman"/>
          <w:b w:val="false"/>
          <w:i w:val="false"/>
          <w:color w:val="000000"/>
          <w:sz w:val="28"/>
        </w:rPr>
        <w:t>
      82. Финансовые аспекты исследования отражаются в договоре между спонсором и исследователем или организацией.</w:t>
      </w:r>
    </w:p>
    <w:bookmarkEnd w:id="1415"/>
    <w:bookmarkStart w:name="z1437" w:id="1416"/>
    <w:p>
      <w:pPr>
        <w:spacing w:after="0"/>
        <w:ind w:left="0"/>
        <w:jc w:val="both"/>
      </w:pPr>
      <w:r>
        <w:rPr>
          <w:rFonts w:ascii="Times New Roman"/>
          <w:b w:val="false"/>
          <w:i w:val="false"/>
          <w:color w:val="000000"/>
          <w:sz w:val="28"/>
        </w:rPr>
        <w:t>
      83. По запросу монитора, аудитора, Комиссии по вопросам этики или уполномоченного органа исследователь или медицинская организация обеспечивает прямой доступ ко всем записям, относящимся к исследованию.</w:t>
      </w:r>
    </w:p>
    <w:bookmarkEnd w:id="1416"/>
    <w:bookmarkStart w:name="z1438" w:id="1417"/>
    <w:p>
      <w:pPr>
        <w:spacing w:after="0"/>
        <w:ind w:left="0"/>
        <w:jc w:val="left"/>
      </w:pPr>
      <w:r>
        <w:rPr>
          <w:rFonts w:ascii="Times New Roman"/>
          <w:b/>
          <w:i w:val="false"/>
          <w:color w:val="000000"/>
        </w:rPr>
        <w:t xml:space="preserve"> Параграф 10. Отчеты о ходе исследования</w:t>
      </w:r>
    </w:p>
    <w:bookmarkEnd w:id="1417"/>
    <w:bookmarkStart w:name="z1439" w:id="1418"/>
    <w:p>
      <w:pPr>
        <w:spacing w:after="0"/>
        <w:ind w:left="0"/>
        <w:jc w:val="both"/>
      </w:pPr>
      <w:r>
        <w:rPr>
          <w:rFonts w:ascii="Times New Roman"/>
          <w:b w:val="false"/>
          <w:i w:val="false"/>
          <w:color w:val="000000"/>
          <w:sz w:val="28"/>
        </w:rPr>
        <w:t xml:space="preserve">
      84. Исследователь представляет краткие письменные отчеты о ходе исследования ежегодно или чаще по запросу Комиссии по вопросам этики. </w:t>
      </w:r>
    </w:p>
    <w:bookmarkEnd w:id="1418"/>
    <w:bookmarkStart w:name="z1440" w:id="1419"/>
    <w:p>
      <w:pPr>
        <w:spacing w:after="0"/>
        <w:ind w:left="0"/>
        <w:jc w:val="both"/>
      </w:pPr>
      <w:r>
        <w:rPr>
          <w:rFonts w:ascii="Times New Roman"/>
          <w:b w:val="false"/>
          <w:i w:val="false"/>
          <w:color w:val="000000"/>
          <w:sz w:val="28"/>
        </w:rPr>
        <w:t>
      85. Исследователь незамедлительно представляет письменные отчеты спонсору, Комиссии по вопросам этики и, в соответствующих случаях, организации о любых изменениях, существенно влияющих на проведение исследования и (или) увеличивающих риск для субъектов.</w:t>
      </w:r>
    </w:p>
    <w:bookmarkEnd w:id="1419"/>
    <w:bookmarkStart w:name="z1441" w:id="1420"/>
    <w:p>
      <w:pPr>
        <w:spacing w:after="0"/>
        <w:ind w:left="0"/>
        <w:jc w:val="left"/>
      </w:pPr>
      <w:r>
        <w:rPr>
          <w:rFonts w:ascii="Times New Roman"/>
          <w:b/>
          <w:i w:val="false"/>
          <w:color w:val="000000"/>
        </w:rPr>
        <w:t xml:space="preserve"> Параграф 11. Представление информации по безопасности</w:t>
      </w:r>
    </w:p>
    <w:bookmarkEnd w:id="1420"/>
    <w:bookmarkStart w:name="z1442" w:id="1421"/>
    <w:p>
      <w:pPr>
        <w:spacing w:after="0"/>
        <w:ind w:left="0"/>
        <w:jc w:val="both"/>
      </w:pPr>
      <w:r>
        <w:rPr>
          <w:rFonts w:ascii="Times New Roman"/>
          <w:b w:val="false"/>
          <w:i w:val="false"/>
          <w:color w:val="000000"/>
          <w:sz w:val="28"/>
        </w:rPr>
        <w:t>
      86. Обо всех СНЯ немедленно сообщают спонсору, за исключением тех СНЯ, которые в протоколе или в другом документе определены как не требующие срочного сообщения. После первичного срочного сообщения в кратчайшие сроки представляют подробное письменное сообщение. Первичный и последующие отчеты идентифицируют субъектов исследования по присвоенным им уникальным кодам, а не по именам субъектов, персональным идентификационным номерам и (или) адресам. Исследователь также соблюдает требования приложения 1 к настоящему Стандарту "Порядок представления информации по безопасности в ходе клинического исследования", определяющие порядок представления сообщений о непредвиденных серьезных нежелательных реакциях уполномоченному органу и Комиссии по вопросам этики.</w:t>
      </w:r>
    </w:p>
    <w:bookmarkEnd w:id="1421"/>
    <w:bookmarkStart w:name="z1443" w:id="1422"/>
    <w:p>
      <w:pPr>
        <w:spacing w:after="0"/>
        <w:ind w:left="0"/>
        <w:jc w:val="both"/>
      </w:pPr>
      <w:r>
        <w:rPr>
          <w:rFonts w:ascii="Times New Roman"/>
          <w:b w:val="false"/>
          <w:i w:val="false"/>
          <w:color w:val="000000"/>
          <w:sz w:val="28"/>
        </w:rPr>
        <w:t>
      87. Обо всех нежелательных явлениях и (или) отклонениях лабораторных показателей от нормы, определенных протоколом как критические для оценки безопасности, сообщают спонсору в соответствии с требованиями к представлению сообщений о нежелательных явлениях и в сроки, определенные спонсором в протоколе.</w:t>
      </w:r>
    </w:p>
    <w:bookmarkEnd w:id="1422"/>
    <w:bookmarkStart w:name="z1444" w:id="1423"/>
    <w:p>
      <w:pPr>
        <w:spacing w:after="0"/>
        <w:ind w:left="0"/>
        <w:jc w:val="both"/>
      </w:pPr>
      <w:r>
        <w:rPr>
          <w:rFonts w:ascii="Times New Roman"/>
          <w:b w:val="false"/>
          <w:i w:val="false"/>
          <w:color w:val="000000"/>
          <w:sz w:val="28"/>
        </w:rPr>
        <w:t>
      88. При сообщениях о смерти исследователь предоставляет любую дополнительную информацию - протокол вскрытия и посмертный эпикриз - по запросу спонсора, уполномоченного органа, экспертной организации и Комиссии по вопросам этики.</w:t>
      </w:r>
    </w:p>
    <w:bookmarkEnd w:id="1423"/>
    <w:bookmarkStart w:name="z1445" w:id="1424"/>
    <w:p>
      <w:pPr>
        <w:spacing w:after="0"/>
        <w:ind w:left="0"/>
        <w:jc w:val="left"/>
      </w:pPr>
      <w:r>
        <w:rPr>
          <w:rFonts w:ascii="Times New Roman"/>
          <w:b/>
          <w:i w:val="false"/>
          <w:color w:val="000000"/>
        </w:rPr>
        <w:t xml:space="preserve"> Параграф 12. Преждевременное прекращение или приостановка исследования</w:t>
      </w:r>
    </w:p>
    <w:bookmarkEnd w:id="1424"/>
    <w:bookmarkStart w:name="z1446" w:id="1425"/>
    <w:p>
      <w:pPr>
        <w:spacing w:after="0"/>
        <w:ind w:left="0"/>
        <w:jc w:val="both"/>
      </w:pPr>
      <w:r>
        <w:rPr>
          <w:rFonts w:ascii="Times New Roman"/>
          <w:b w:val="false"/>
          <w:i w:val="false"/>
          <w:color w:val="000000"/>
          <w:sz w:val="28"/>
        </w:rPr>
        <w:t>
      89. Если по какой-либо причине исследование преждевременно прекращено или приостановлено, исследователь (медицинская организация) незамедлительно информирует субъектов исследования, обеспечивают им соответствующее лечение и наблюдение и информируют экспертную организацию.</w:t>
      </w:r>
    </w:p>
    <w:bookmarkEnd w:id="1425"/>
    <w:bookmarkStart w:name="z1447" w:id="1426"/>
    <w:p>
      <w:pPr>
        <w:spacing w:after="0"/>
        <w:ind w:left="0"/>
        <w:jc w:val="both"/>
      </w:pPr>
      <w:r>
        <w:rPr>
          <w:rFonts w:ascii="Times New Roman"/>
          <w:b w:val="false"/>
          <w:i w:val="false"/>
          <w:color w:val="000000"/>
          <w:sz w:val="28"/>
        </w:rPr>
        <w:t>
      90. Если исследователь преждевременно прекращает или приостанавливает исследование без предварительного согласия спонсора, исследователь сообщает об этом в медицинскую организацию, и исследователь или медицинская организация незамедлительно информирует об этом спонсора и Комиссию по вопросам этики и предоставляет спонсору и Комиссии по вопросам этики подробное письменное объяснение причины приостановки или прекращения исследования.</w:t>
      </w:r>
    </w:p>
    <w:bookmarkEnd w:id="1426"/>
    <w:bookmarkStart w:name="z1448" w:id="1427"/>
    <w:p>
      <w:pPr>
        <w:spacing w:after="0"/>
        <w:ind w:left="0"/>
        <w:jc w:val="both"/>
      </w:pPr>
      <w:r>
        <w:rPr>
          <w:rFonts w:ascii="Times New Roman"/>
          <w:b w:val="false"/>
          <w:i w:val="false"/>
          <w:color w:val="000000"/>
          <w:sz w:val="28"/>
        </w:rPr>
        <w:t>
      91. Если спонсор прекращает или приостанавливает исследование, исследователь незамедлительно сообщает об этом в медицинскую организацию, и исследователь или медицинская организация незамедлительно информируют об этом Комиссию по вопросам этики и предоставляет Комиссии по вопросам этики подробное письменное объяснение причины приостановки или прекращения исследования.</w:t>
      </w:r>
    </w:p>
    <w:bookmarkEnd w:id="1427"/>
    <w:bookmarkStart w:name="z1449" w:id="1428"/>
    <w:p>
      <w:pPr>
        <w:spacing w:after="0"/>
        <w:ind w:left="0"/>
        <w:jc w:val="both"/>
      </w:pPr>
      <w:r>
        <w:rPr>
          <w:rFonts w:ascii="Times New Roman"/>
          <w:b w:val="false"/>
          <w:i w:val="false"/>
          <w:color w:val="000000"/>
          <w:sz w:val="28"/>
        </w:rPr>
        <w:t>
      92. Если Комиссия по вопросам этики окончательно или временно отзывает одобрение (заключение) на проведение исследования, исследователь сообщает об этом в медицинскую организацию, и исследователь (медицинская организация) незамедлительно информирует об этом спонсора и предоставляет спонсору подробное письменное объяснение причины приостановки или прекращения исследования.</w:t>
      </w:r>
    </w:p>
    <w:bookmarkEnd w:id="1428"/>
    <w:bookmarkStart w:name="z1450" w:id="1429"/>
    <w:p>
      <w:pPr>
        <w:spacing w:after="0"/>
        <w:ind w:left="0"/>
        <w:jc w:val="left"/>
      </w:pPr>
      <w:r>
        <w:rPr>
          <w:rFonts w:ascii="Times New Roman"/>
          <w:b/>
          <w:i w:val="false"/>
          <w:color w:val="000000"/>
        </w:rPr>
        <w:t xml:space="preserve"> Параграф 13. Итоговый отчет исследователя</w:t>
      </w:r>
    </w:p>
    <w:bookmarkEnd w:id="1429"/>
    <w:bookmarkStart w:name="z1451" w:id="1430"/>
    <w:p>
      <w:pPr>
        <w:spacing w:after="0"/>
        <w:ind w:left="0"/>
        <w:jc w:val="both"/>
      </w:pPr>
      <w:r>
        <w:rPr>
          <w:rFonts w:ascii="Times New Roman"/>
          <w:b w:val="false"/>
          <w:i w:val="false"/>
          <w:color w:val="000000"/>
          <w:sz w:val="28"/>
        </w:rPr>
        <w:t>
      93. По завершении исследования исследователь сообщает об этом организации; исследователь (медицинская организация) предоставляет Комиссии по вопросам этики краткий отчет об итогах исследования, а также требуемые отчеты экспертной организации.</w:t>
      </w:r>
    </w:p>
    <w:bookmarkEnd w:id="1430"/>
    <w:bookmarkStart w:name="z1452" w:id="1431"/>
    <w:p>
      <w:pPr>
        <w:spacing w:after="0"/>
        <w:ind w:left="0"/>
        <w:jc w:val="left"/>
      </w:pPr>
      <w:r>
        <w:rPr>
          <w:rFonts w:ascii="Times New Roman"/>
          <w:b/>
          <w:i w:val="false"/>
          <w:color w:val="000000"/>
        </w:rPr>
        <w:t xml:space="preserve"> Глава 5. Спонсор</w:t>
      </w:r>
    </w:p>
    <w:bookmarkEnd w:id="1431"/>
    <w:bookmarkStart w:name="z1453" w:id="1432"/>
    <w:p>
      <w:pPr>
        <w:spacing w:after="0"/>
        <w:ind w:left="0"/>
        <w:jc w:val="left"/>
      </w:pPr>
      <w:r>
        <w:rPr>
          <w:rFonts w:ascii="Times New Roman"/>
          <w:b/>
          <w:i w:val="false"/>
          <w:color w:val="000000"/>
        </w:rPr>
        <w:t xml:space="preserve"> Параграф 1. Обеспечение качества и контроль качества</w:t>
      </w:r>
    </w:p>
    <w:bookmarkEnd w:id="1432"/>
    <w:bookmarkStart w:name="z1454" w:id="1433"/>
    <w:p>
      <w:pPr>
        <w:spacing w:after="0"/>
        <w:ind w:left="0"/>
        <w:jc w:val="both"/>
      </w:pPr>
      <w:r>
        <w:rPr>
          <w:rFonts w:ascii="Times New Roman"/>
          <w:b w:val="false"/>
          <w:i w:val="false"/>
          <w:color w:val="000000"/>
          <w:sz w:val="28"/>
        </w:rPr>
        <w:t>
      94. Спонсор внедряет и поддерживает системы обеспечения и контроля качества с письменными СОП, которые обеспечивают проведение исследования, сбор, регистрацию и представление данных в соответствии с протоколом, настоящим Стандартом.</w:t>
      </w:r>
    </w:p>
    <w:bookmarkEnd w:id="1433"/>
    <w:bookmarkStart w:name="z1455" w:id="1434"/>
    <w:p>
      <w:pPr>
        <w:spacing w:after="0"/>
        <w:ind w:left="0"/>
        <w:jc w:val="both"/>
      </w:pPr>
      <w:r>
        <w:rPr>
          <w:rFonts w:ascii="Times New Roman"/>
          <w:b w:val="false"/>
          <w:i w:val="false"/>
          <w:color w:val="000000"/>
          <w:sz w:val="28"/>
        </w:rPr>
        <w:t>
      95. Спонсор обеспечивает получение согласия всех вовлеченных сторон на предоставление прямого доступа во все участвующие в исследовании клинические базы, ко всем первичным данным (документам) и отчетам в целях их мониторинга и аудита спонсором, а также инспекции уполномоченным органом.</w:t>
      </w:r>
    </w:p>
    <w:bookmarkEnd w:id="1434"/>
    <w:bookmarkStart w:name="z1456" w:id="1435"/>
    <w:p>
      <w:pPr>
        <w:spacing w:after="0"/>
        <w:ind w:left="0"/>
        <w:jc w:val="both"/>
      </w:pPr>
      <w:r>
        <w:rPr>
          <w:rFonts w:ascii="Times New Roman"/>
          <w:b w:val="false"/>
          <w:i w:val="false"/>
          <w:color w:val="000000"/>
          <w:sz w:val="28"/>
        </w:rPr>
        <w:t>
      96. Контроль качества осуществляется на всех этапах работы с данными, чтобы обеспечить их достоверность и правильность обработки.</w:t>
      </w:r>
    </w:p>
    <w:bookmarkEnd w:id="1435"/>
    <w:bookmarkStart w:name="z1457" w:id="1436"/>
    <w:p>
      <w:pPr>
        <w:spacing w:after="0"/>
        <w:ind w:left="0"/>
        <w:jc w:val="both"/>
      </w:pPr>
      <w:r>
        <w:rPr>
          <w:rFonts w:ascii="Times New Roman"/>
          <w:b w:val="false"/>
          <w:i w:val="false"/>
          <w:color w:val="000000"/>
          <w:sz w:val="28"/>
        </w:rPr>
        <w:t>
      97. Договоры между спонсором и исследователем (медицинской организацией) или любой другой участвующей в исследовании стороной составляются в письменной форме, как часть протокола или в качестве самостоятельных документов.</w:t>
      </w:r>
    </w:p>
    <w:bookmarkEnd w:id="1436"/>
    <w:bookmarkStart w:name="z1458" w:id="1437"/>
    <w:p>
      <w:pPr>
        <w:spacing w:after="0"/>
        <w:ind w:left="0"/>
        <w:jc w:val="left"/>
      </w:pPr>
      <w:r>
        <w:rPr>
          <w:rFonts w:ascii="Times New Roman"/>
          <w:b/>
          <w:i w:val="false"/>
          <w:color w:val="000000"/>
        </w:rPr>
        <w:t xml:space="preserve"> Параграф 2. Контрактная исследовательская организация</w:t>
      </w:r>
    </w:p>
    <w:bookmarkEnd w:id="1437"/>
    <w:bookmarkStart w:name="z1459" w:id="1438"/>
    <w:p>
      <w:pPr>
        <w:spacing w:after="0"/>
        <w:ind w:left="0"/>
        <w:jc w:val="both"/>
      </w:pPr>
      <w:r>
        <w:rPr>
          <w:rFonts w:ascii="Times New Roman"/>
          <w:b w:val="false"/>
          <w:i w:val="false"/>
          <w:color w:val="000000"/>
          <w:sz w:val="28"/>
        </w:rPr>
        <w:t>
      98. При полной или частичной передаче спонсором обязанностей и функций, связанных с проведением исследования, контрактной исследовательской организации, спонсор обеспечивает выполнение контрактной исследовательской организацией мер по обеспечению и контролю качества клинического исследования.</w:t>
      </w:r>
    </w:p>
    <w:bookmarkEnd w:id="1438"/>
    <w:bookmarkStart w:name="z1460" w:id="1439"/>
    <w:p>
      <w:pPr>
        <w:spacing w:after="0"/>
        <w:ind w:left="0"/>
        <w:jc w:val="both"/>
      </w:pPr>
      <w:r>
        <w:rPr>
          <w:rFonts w:ascii="Times New Roman"/>
          <w:b w:val="false"/>
          <w:i w:val="false"/>
          <w:color w:val="000000"/>
          <w:sz w:val="28"/>
        </w:rPr>
        <w:t>
      99. Передача контрактной исследовательской организации, связанных с исследованием обязанностей и функций документально оформляется.</w:t>
      </w:r>
    </w:p>
    <w:bookmarkEnd w:id="1439"/>
    <w:bookmarkStart w:name="z1461" w:id="1440"/>
    <w:p>
      <w:pPr>
        <w:spacing w:after="0"/>
        <w:ind w:left="0"/>
        <w:jc w:val="both"/>
      </w:pPr>
      <w:r>
        <w:rPr>
          <w:rFonts w:ascii="Times New Roman"/>
          <w:b w:val="false"/>
          <w:i w:val="false"/>
          <w:color w:val="000000"/>
          <w:sz w:val="28"/>
        </w:rPr>
        <w:t>
      100. Все связанные с исследованием обязанности и функции, не переданные контрактной исследовательской организации, остаются в компетенции спонсора.</w:t>
      </w:r>
    </w:p>
    <w:bookmarkEnd w:id="1440"/>
    <w:bookmarkStart w:name="z1462" w:id="1441"/>
    <w:p>
      <w:pPr>
        <w:spacing w:after="0"/>
        <w:ind w:left="0"/>
        <w:jc w:val="both"/>
      </w:pPr>
      <w:r>
        <w:rPr>
          <w:rFonts w:ascii="Times New Roman"/>
          <w:b w:val="false"/>
          <w:i w:val="false"/>
          <w:color w:val="000000"/>
          <w:sz w:val="28"/>
        </w:rPr>
        <w:t>
      101. Все требования к спонсору применимы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по проведению исследования.</w:t>
      </w:r>
    </w:p>
    <w:bookmarkEnd w:id="1441"/>
    <w:bookmarkStart w:name="z1463" w:id="1442"/>
    <w:p>
      <w:pPr>
        <w:spacing w:after="0"/>
        <w:ind w:left="0"/>
        <w:jc w:val="left"/>
      </w:pPr>
      <w:r>
        <w:rPr>
          <w:rFonts w:ascii="Times New Roman"/>
          <w:b/>
          <w:i w:val="false"/>
          <w:color w:val="000000"/>
        </w:rPr>
        <w:t xml:space="preserve"> Параграф 3. Медицинская экспертиза</w:t>
      </w:r>
    </w:p>
    <w:bookmarkEnd w:id="1442"/>
    <w:bookmarkStart w:name="z1464" w:id="1443"/>
    <w:p>
      <w:pPr>
        <w:spacing w:after="0"/>
        <w:ind w:left="0"/>
        <w:jc w:val="both"/>
      </w:pPr>
      <w:r>
        <w:rPr>
          <w:rFonts w:ascii="Times New Roman"/>
          <w:b w:val="false"/>
          <w:i w:val="false"/>
          <w:color w:val="000000"/>
          <w:sz w:val="28"/>
        </w:rPr>
        <w:t>
      102. Спонсор назначает обладающий соответствующей медицинской квалификацией персонал, который доступен для решения связанных с исследованием вопросов медицинского характера. При необходимости для этой цели привлекаются внешние консультанты.</w:t>
      </w:r>
    </w:p>
    <w:bookmarkEnd w:id="1443"/>
    <w:bookmarkStart w:name="z1465" w:id="1444"/>
    <w:p>
      <w:pPr>
        <w:spacing w:after="0"/>
        <w:ind w:left="0"/>
        <w:jc w:val="left"/>
      </w:pPr>
      <w:r>
        <w:rPr>
          <w:rFonts w:ascii="Times New Roman"/>
          <w:b/>
          <w:i w:val="false"/>
          <w:color w:val="000000"/>
        </w:rPr>
        <w:t xml:space="preserve"> Параграф 4. Дизайн исследования</w:t>
      </w:r>
    </w:p>
    <w:bookmarkEnd w:id="1444"/>
    <w:bookmarkStart w:name="z1466" w:id="1445"/>
    <w:p>
      <w:pPr>
        <w:spacing w:after="0"/>
        <w:ind w:left="0"/>
        <w:jc w:val="both"/>
      </w:pPr>
      <w:r>
        <w:rPr>
          <w:rFonts w:ascii="Times New Roman"/>
          <w:b w:val="false"/>
          <w:i w:val="false"/>
          <w:color w:val="000000"/>
          <w:sz w:val="28"/>
        </w:rPr>
        <w:t>
      103. На всех этапах исследования - от разработки протокола, ИРК и плана статистического анализа до подготовки промежуточного и финального отчетов - спонсор привлекает квалифицированных специалистов, в том числе биостатистиков, клинических фармакологов, врачей.</w:t>
      </w:r>
    </w:p>
    <w:bookmarkEnd w:id="1445"/>
    <w:bookmarkStart w:name="z1467" w:id="1446"/>
    <w:p>
      <w:pPr>
        <w:spacing w:after="0"/>
        <w:ind w:left="0"/>
        <w:jc w:val="left"/>
      </w:pPr>
      <w:r>
        <w:rPr>
          <w:rFonts w:ascii="Times New Roman"/>
          <w:b/>
          <w:i w:val="false"/>
          <w:color w:val="000000"/>
        </w:rPr>
        <w:t xml:space="preserve"> Параграф 5. Менеджмент исследования, работа с данными и ведение документации</w:t>
      </w:r>
    </w:p>
    <w:bookmarkEnd w:id="1446"/>
    <w:bookmarkStart w:name="z1468" w:id="1447"/>
    <w:p>
      <w:pPr>
        <w:spacing w:after="0"/>
        <w:ind w:left="0"/>
        <w:jc w:val="both"/>
      </w:pPr>
      <w:r>
        <w:rPr>
          <w:rFonts w:ascii="Times New Roman"/>
          <w:b w:val="false"/>
          <w:i w:val="false"/>
          <w:color w:val="000000"/>
          <w:sz w:val="28"/>
        </w:rPr>
        <w:t>
      104. Спонсор привлекает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bookmarkEnd w:id="1447"/>
    <w:bookmarkStart w:name="z1469" w:id="1448"/>
    <w:p>
      <w:pPr>
        <w:spacing w:after="0"/>
        <w:ind w:left="0"/>
        <w:jc w:val="both"/>
      </w:pPr>
      <w:r>
        <w:rPr>
          <w:rFonts w:ascii="Times New Roman"/>
          <w:b w:val="false"/>
          <w:i w:val="false"/>
          <w:color w:val="000000"/>
          <w:sz w:val="28"/>
        </w:rPr>
        <w:t>
      105. Спонсор принимает решение об образовании независимой группы по мониторингу данных для рассмотрения хода клинического исследования, включая рассмотрение данных по безопасности 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 Независимая группа по мониторингу данных имеет письменные операционные процедуры и ведет письменные записи своих заседаний.</w:t>
      </w:r>
    </w:p>
    <w:bookmarkEnd w:id="1448"/>
    <w:bookmarkStart w:name="z1470" w:id="1449"/>
    <w:p>
      <w:pPr>
        <w:spacing w:after="0"/>
        <w:ind w:left="0"/>
        <w:jc w:val="both"/>
      </w:pPr>
      <w:r>
        <w:rPr>
          <w:rFonts w:ascii="Times New Roman"/>
          <w:b w:val="false"/>
          <w:i w:val="false"/>
          <w:color w:val="000000"/>
          <w:sz w:val="28"/>
        </w:rPr>
        <w:t>
      106. При использовании электронных систем для работы с данными исследования и (или) электронных систем удаленного доступа к данным спонсор:</w:t>
      </w:r>
    </w:p>
    <w:bookmarkEnd w:id="1449"/>
    <w:bookmarkStart w:name="z1471" w:id="1450"/>
    <w:p>
      <w:pPr>
        <w:spacing w:after="0"/>
        <w:ind w:left="0"/>
        <w:jc w:val="both"/>
      </w:pPr>
      <w:r>
        <w:rPr>
          <w:rFonts w:ascii="Times New Roman"/>
          <w:b w:val="false"/>
          <w:i w:val="false"/>
          <w:color w:val="000000"/>
          <w:sz w:val="28"/>
        </w:rPr>
        <w:t>
      1) обеспечивает и документально оформляет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 их валидацию;</w:t>
      </w:r>
    </w:p>
    <w:bookmarkEnd w:id="1450"/>
    <w:bookmarkStart w:name="z1472" w:id="1451"/>
    <w:p>
      <w:pPr>
        <w:spacing w:after="0"/>
        <w:ind w:left="0"/>
        <w:jc w:val="both"/>
      </w:pPr>
      <w:r>
        <w:rPr>
          <w:rFonts w:ascii="Times New Roman"/>
          <w:b w:val="false"/>
          <w:i w:val="false"/>
          <w:color w:val="000000"/>
          <w:sz w:val="28"/>
        </w:rPr>
        <w:t>
      2) имеет СОП по использованию этих систем;</w:t>
      </w:r>
    </w:p>
    <w:bookmarkEnd w:id="1451"/>
    <w:bookmarkStart w:name="z1473" w:id="1452"/>
    <w:p>
      <w:pPr>
        <w:spacing w:after="0"/>
        <w:ind w:left="0"/>
        <w:jc w:val="both"/>
      </w:pPr>
      <w:r>
        <w:rPr>
          <w:rFonts w:ascii="Times New Roman"/>
          <w:b w:val="false"/>
          <w:i w:val="false"/>
          <w:color w:val="000000"/>
          <w:sz w:val="28"/>
        </w:rPr>
        <w:t>
      3) обеспечивает работу систем таким образом, чтобы сохранялся документальный след: при изменении данных вносимые изменения документируются, а ранее введенные данные не удаляются;</w:t>
      </w:r>
    </w:p>
    <w:bookmarkEnd w:id="1452"/>
    <w:bookmarkStart w:name="z1474" w:id="1453"/>
    <w:p>
      <w:pPr>
        <w:spacing w:after="0"/>
        <w:ind w:left="0"/>
        <w:jc w:val="both"/>
      </w:pPr>
      <w:r>
        <w:rPr>
          <w:rFonts w:ascii="Times New Roman"/>
          <w:b w:val="false"/>
          <w:i w:val="false"/>
          <w:color w:val="000000"/>
          <w:sz w:val="28"/>
        </w:rPr>
        <w:t>
      4) обеспечивает систему защиты, предотвращающую несанкционированный доступ к данным;</w:t>
      </w:r>
    </w:p>
    <w:bookmarkEnd w:id="1453"/>
    <w:bookmarkStart w:name="z1475" w:id="1454"/>
    <w:p>
      <w:pPr>
        <w:spacing w:after="0"/>
        <w:ind w:left="0"/>
        <w:jc w:val="both"/>
      </w:pPr>
      <w:r>
        <w:rPr>
          <w:rFonts w:ascii="Times New Roman"/>
          <w:b w:val="false"/>
          <w:i w:val="false"/>
          <w:color w:val="000000"/>
          <w:sz w:val="28"/>
        </w:rPr>
        <w:t>
      5) имеет список лиц, наделенных правом вносить изменения в данные;</w:t>
      </w:r>
    </w:p>
    <w:bookmarkEnd w:id="1454"/>
    <w:bookmarkStart w:name="z1476" w:id="1455"/>
    <w:p>
      <w:pPr>
        <w:spacing w:after="0"/>
        <w:ind w:left="0"/>
        <w:jc w:val="both"/>
      </w:pPr>
      <w:r>
        <w:rPr>
          <w:rFonts w:ascii="Times New Roman"/>
          <w:b w:val="false"/>
          <w:i w:val="false"/>
          <w:color w:val="000000"/>
          <w:sz w:val="28"/>
        </w:rPr>
        <w:t>
      6) обеспечивает адекватное резервное копирование данных;</w:t>
      </w:r>
    </w:p>
    <w:bookmarkEnd w:id="1455"/>
    <w:bookmarkStart w:name="z1477" w:id="1456"/>
    <w:p>
      <w:pPr>
        <w:spacing w:after="0"/>
        <w:ind w:left="0"/>
        <w:jc w:val="both"/>
      </w:pPr>
      <w:r>
        <w:rPr>
          <w:rFonts w:ascii="Times New Roman"/>
          <w:b w:val="false"/>
          <w:i w:val="false"/>
          <w:color w:val="000000"/>
          <w:sz w:val="28"/>
        </w:rPr>
        <w:t>
      7) сохраняет маскировку в исследованиях, проводимых слепым методом при вводе и обработке данных.</w:t>
      </w:r>
    </w:p>
    <w:bookmarkEnd w:id="1456"/>
    <w:bookmarkStart w:name="z1478" w:id="1457"/>
    <w:p>
      <w:pPr>
        <w:spacing w:after="0"/>
        <w:ind w:left="0"/>
        <w:jc w:val="both"/>
      </w:pPr>
      <w:r>
        <w:rPr>
          <w:rFonts w:ascii="Times New Roman"/>
          <w:b w:val="false"/>
          <w:i w:val="false"/>
          <w:color w:val="000000"/>
          <w:sz w:val="28"/>
        </w:rPr>
        <w:t>
      107. Если в процессе обработки данные трансформируются, всегда обеспечивается возможность сравнения исходных данных с обработанными.</w:t>
      </w:r>
    </w:p>
    <w:bookmarkEnd w:id="1457"/>
    <w:bookmarkStart w:name="z1479" w:id="1458"/>
    <w:p>
      <w:pPr>
        <w:spacing w:after="0"/>
        <w:ind w:left="0"/>
        <w:jc w:val="both"/>
      </w:pPr>
      <w:r>
        <w:rPr>
          <w:rFonts w:ascii="Times New Roman"/>
          <w:b w:val="false"/>
          <w:i w:val="false"/>
          <w:color w:val="000000"/>
          <w:sz w:val="28"/>
        </w:rPr>
        <w:t>
      108. Спонсор использует уникальный идентификационный код субъекта, позволяющий идентифицировать все данные по каждому субъекту.</w:t>
      </w:r>
    </w:p>
    <w:bookmarkEnd w:id="1458"/>
    <w:bookmarkStart w:name="z1480" w:id="1459"/>
    <w:p>
      <w:pPr>
        <w:spacing w:after="0"/>
        <w:ind w:left="0"/>
        <w:jc w:val="both"/>
      </w:pPr>
      <w:r>
        <w:rPr>
          <w:rFonts w:ascii="Times New Roman"/>
          <w:b w:val="false"/>
          <w:i w:val="false"/>
          <w:color w:val="000000"/>
          <w:sz w:val="28"/>
        </w:rPr>
        <w:t xml:space="preserve">
      109. Спонсор или другие владельцы данных обеспечивают хранение всех относящихся к спонсору основных документов по исследованию. </w:t>
      </w:r>
    </w:p>
    <w:bookmarkEnd w:id="1459"/>
    <w:bookmarkStart w:name="z1481" w:id="1460"/>
    <w:p>
      <w:pPr>
        <w:spacing w:after="0"/>
        <w:ind w:left="0"/>
        <w:jc w:val="both"/>
      </w:pPr>
      <w:r>
        <w:rPr>
          <w:rFonts w:ascii="Times New Roman"/>
          <w:b w:val="false"/>
          <w:i w:val="false"/>
          <w:color w:val="000000"/>
          <w:sz w:val="28"/>
        </w:rPr>
        <w:t>
      110. Спонсор хранит все относящиеся к нему основные документы по исследованию в соответствии с нормативными требованиями Республики Казахстан и тех стран, в которых препарат зарегистрирован и (или) в которые спонсор собирается подавать заявление на регистрацию.</w:t>
      </w:r>
    </w:p>
    <w:bookmarkEnd w:id="1460"/>
    <w:bookmarkStart w:name="z1482" w:id="1461"/>
    <w:p>
      <w:pPr>
        <w:spacing w:after="0"/>
        <w:ind w:left="0"/>
        <w:jc w:val="both"/>
      </w:pPr>
      <w:r>
        <w:rPr>
          <w:rFonts w:ascii="Times New Roman"/>
          <w:b w:val="false"/>
          <w:i w:val="false"/>
          <w:color w:val="000000"/>
          <w:sz w:val="28"/>
        </w:rPr>
        <w:t>
      111. Если спонсор прекращает клиническую разработку исследуемого препарата по одному или всем показаниям, путям введения, лекарственным формам, относящиеся к спонсору основные документы по исследованию подлежат хранению не менее двух лет с момента официального прекращения разработки.</w:t>
      </w:r>
    </w:p>
    <w:bookmarkEnd w:id="1461"/>
    <w:bookmarkStart w:name="z1483" w:id="1462"/>
    <w:p>
      <w:pPr>
        <w:spacing w:after="0"/>
        <w:ind w:left="0"/>
        <w:jc w:val="both"/>
      </w:pPr>
      <w:r>
        <w:rPr>
          <w:rFonts w:ascii="Times New Roman"/>
          <w:b w:val="false"/>
          <w:i w:val="false"/>
          <w:color w:val="000000"/>
          <w:sz w:val="28"/>
        </w:rPr>
        <w:t>
      112. Если спонсор прекращает клиническую разработку исследуемого препарата, он сообщает об этом участвующим в исследовании исследователям (медицинским организациям) и экспертной организации.</w:t>
      </w:r>
    </w:p>
    <w:bookmarkEnd w:id="1462"/>
    <w:bookmarkStart w:name="z1484" w:id="1463"/>
    <w:p>
      <w:pPr>
        <w:spacing w:after="0"/>
        <w:ind w:left="0"/>
        <w:jc w:val="both"/>
      </w:pPr>
      <w:r>
        <w:rPr>
          <w:rFonts w:ascii="Times New Roman"/>
          <w:b w:val="false"/>
          <w:i w:val="false"/>
          <w:color w:val="000000"/>
          <w:sz w:val="28"/>
        </w:rPr>
        <w:t>
      113. Любая передача прав собственности на данные доводится до сведения экспертной организации.</w:t>
      </w:r>
    </w:p>
    <w:bookmarkEnd w:id="1463"/>
    <w:bookmarkStart w:name="z1485" w:id="1464"/>
    <w:p>
      <w:pPr>
        <w:spacing w:after="0"/>
        <w:ind w:left="0"/>
        <w:jc w:val="both"/>
      </w:pPr>
      <w:r>
        <w:rPr>
          <w:rFonts w:ascii="Times New Roman"/>
          <w:b w:val="false"/>
          <w:i w:val="false"/>
          <w:color w:val="000000"/>
          <w:sz w:val="28"/>
        </w:rPr>
        <w:t>
      114. Основные документы, относящиеся к спонсору, хранятся не менее двух лет после утверждения последней заявки на регистрацию препарата в Республике Казахстан и (или) другой стране, и до тех пор, пока есть ожидающие решения или рассматриваемые заявки на регистрацию, или по истечении двухлетнего периода после официального прекращения клинической разработки исследуемого препарата. Данные документы хранятся более длительный срок по запросу спонсора.</w:t>
      </w:r>
    </w:p>
    <w:bookmarkEnd w:id="1464"/>
    <w:bookmarkStart w:name="z1486" w:id="1465"/>
    <w:p>
      <w:pPr>
        <w:spacing w:after="0"/>
        <w:ind w:left="0"/>
        <w:jc w:val="both"/>
      </w:pPr>
      <w:r>
        <w:rPr>
          <w:rFonts w:ascii="Times New Roman"/>
          <w:b w:val="false"/>
          <w:i w:val="false"/>
          <w:color w:val="000000"/>
          <w:sz w:val="28"/>
        </w:rPr>
        <w:t>
      115. Спонсор в письменной форме информирует исследователей (медицинские организации) о необходимости хранения связанных с исследованием записей, а также письменно извещает их о прекращении их хранения.</w:t>
      </w:r>
    </w:p>
    <w:bookmarkEnd w:id="1465"/>
    <w:bookmarkStart w:name="z1487" w:id="1466"/>
    <w:p>
      <w:pPr>
        <w:spacing w:after="0"/>
        <w:ind w:left="0"/>
        <w:jc w:val="left"/>
      </w:pPr>
      <w:r>
        <w:rPr>
          <w:rFonts w:ascii="Times New Roman"/>
          <w:b/>
          <w:i w:val="false"/>
          <w:color w:val="000000"/>
        </w:rPr>
        <w:t xml:space="preserve"> Параграф 6. Выбор исследователя</w:t>
      </w:r>
    </w:p>
    <w:bookmarkEnd w:id="1466"/>
    <w:bookmarkStart w:name="z1488" w:id="1467"/>
    <w:p>
      <w:pPr>
        <w:spacing w:after="0"/>
        <w:ind w:left="0"/>
        <w:jc w:val="both"/>
      </w:pPr>
      <w:r>
        <w:rPr>
          <w:rFonts w:ascii="Times New Roman"/>
          <w:b w:val="false"/>
          <w:i w:val="false"/>
          <w:color w:val="000000"/>
          <w:sz w:val="28"/>
        </w:rPr>
        <w:t>
      116. Спонсор обеспечивает выбор исследователей (медицинских организаций). Каждому исследователю следует иметь квалификацию, опыт и ресурсы, необходимые для проведения исследования, для которого он выбран. Если в многоцентровых исследованиях возникает необходимость в организации координационной группы и (или) выборе координаторов из числа исследователей, то это обеспечивается спонсором.</w:t>
      </w:r>
    </w:p>
    <w:bookmarkEnd w:id="1467"/>
    <w:bookmarkStart w:name="z1489" w:id="1468"/>
    <w:p>
      <w:pPr>
        <w:spacing w:after="0"/>
        <w:ind w:left="0"/>
        <w:jc w:val="both"/>
      </w:pPr>
      <w:r>
        <w:rPr>
          <w:rFonts w:ascii="Times New Roman"/>
          <w:b w:val="false"/>
          <w:i w:val="false"/>
          <w:color w:val="000000"/>
          <w:sz w:val="28"/>
        </w:rPr>
        <w:t>
      117. До подписания договора с исследователем (медицинской организацией) на проведение исследования спонсор предоставляет исследователю (медицинской организации) протокол и БИ в текущей редакции и дает исследователю (медицинской организации) достаточное время для ознакомления с протоколом и предоставленной информацией.</w:t>
      </w:r>
    </w:p>
    <w:bookmarkEnd w:id="1468"/>
    <w:bookmarkStart w:name="z1490" w:id="1469"/>
    <w:p>
      <w:pPr>
        <w:spacing w:after="0"/>
        <w:ind w:left="0"/>
        <w:jc w:val="both"/>
      </w:pPr>
      <w:r>
        <w:rPr>
          <w:rFonts w:ascii="Times New Roman"/>
          <w:b w:val="false"/>
          <w:i w:val="false"/>
          <w:color w:val="000000"/>
          <w:sz w:val="28"/>
        </w:rPr>
        <w:t>
      118. Спонсор получает согласие исследователя (медицинской организации):</w:t>
      </w:r>
    </w:p>
    <w:bookmarkEnd w:id="1469"/>
    <w:bookmarkStart w:name="z1491" w:id="1470"/>
    <w:p>
      <w:pPr>
        <w:spacing w:after="0"/>
        <w:ind w:left="0"/>
        <w:jc w:val="both"/>
      </w:pPr>
      <w:r>
        <w:rPr>
          <w:rFonts w:ascii="Times New Roman"/>
          <w:b w:val="false"/>
          <w:i w:val="false"/>
          <w:color w:val="000000"/>
          <w:sz w:val="28"/>
        </w:rPr>
        <w:t>
      1) проводить исследование в соответствии с настоящим Стандартом, а также с протоколом, согласованным со спонсором и разрешенным (одобренным) Комиссией по вопросам этики;</w:t>
      </w:r>
    </w:p>
    <w:bookmarkEnd w:id="1470"/>
    <w:bookmarkStart w:name="z1492" w:id="1471"/>
    <w:p>
      <w:pPr>
        <w:spacing w:after="0"/>
        <w:ind w:left="0"/>
        <w:jc w:val="both"/>
      </w:pPr>
      <w:r>
        <w:rPr>
          <w:rFonts w:ascii="Times New Roman"/>
          <w:b w:val="false"/>
          <w:i w:val="false"/>
          <w:color w:val="000000"/>
          <w:sz w:val="28"/>
        </w:rPr>
        <w:t>
      2) соблюдать процедуры регистрации (представления данных);</w:t>
      </w:r>
    </w:p>
    <w:bookmarkEnd w:id="1471"/>
    <w:bookmarkStart w:name="z1493" w:id="1472"/>
    <w:p>
      <w:pPr>
        <w:spacing w:after="0"/>
        <w:ind w:left="0"/>
        <w:jc w:val="both"/>
      </w:pPr>
      <w:r>
        <w:rPr>
          <w:rFonts w:ascii="Times New Roman"/>
          <w:b w:val="false"/>
          <w:i w:val="false"/>
          <w:color w:val="000000"/>
          <w:sz w:val="28"/>
        </w:rPr>
        <w:t>
      3) на проведение мониторинга, аудита и инспекций;</w:t>
      </w:r>
    </w:p>
    <w:bookmarkEnd w:id="1472"/>
    <w:bookmarkStart w:name="z1494" w:id="1473"/>
    <w:p>
      <w:pPr>
        <w:spacing w:after="0"/>
        <w:ind w:left="0"/>
        <w:jc w:val="both"/>
      </w:pPr>
      <w:r>
        <w:rPr>
          <w:rFonts w:ascii="Times New Roman"/>
          <w:b w:val="false"/>
          <w:i w:val="false"/>
          <w:color w:val="000000"/>
          <w:sz w:val="28"/>
        </w:rPr>
        <w:t>
      4) хранить основные документы, связанные с исследованием, пока спонсор не сообщит исследователю (медицинской организации), что эти документы больше не требуются.</w:t>
      </w:r>
    </w:p>
    <w:bookmarkEnd w:id="1473"/>
    <w:bookmarkStart w:name="z1495" w:id="1474"/>
    <w:p>
      <w:pPr>
        <w:spacing w:after="0"/>
        <w:ind w:left="0"/>
        <w:jc w:val="both"/>
      </w:pPr>
      <w:r>
        <w:rPr>
          <w:rFonts w:ascii="Times New Roman"/>
          <w:b w:val="false"/>
          <w:i w:val="false"/>
          <w:color w:val="000000"/>
          <w:sz w:val="28"/>
        </w:rPr>
        <w:t>
      Спонсор и исследователь (медицинская организация) подписывают протокол и договор, подтверждающий это согласие.</w:t>
      </w:r>
    </w:p>
    <w:bookmarkEnd w:id="1474"/>
    <w:bookmarkStart w:name="z1496" w:id="1475"/>
    <w:p>
      <w:pPr>
        <w:spacing w:after="0"/>
        <w:ind w:left="0"/>
        <w:jc w:val="left"/>
      </w:pPr>
      <w:r>
        <w:rPr>
          <w:rFonts w:ascii="Times New Roman"/>
          <w:b/>
          <w:i w:val="false"/>
          <w:color w:val="000000"/>
        </w:rPr>
        <w:t xml:space="preserve"> Параграф 7. Распределение функций</w:t>
      </w:r>
    </w:p>
    <w:bookmarkEnd w:id="1475"/>
    <w:bookmarkStart w:name="z1497" w:id="1476"/>
    <w:p>
      <w:pPr>
        <w:spacing w:after="0"/>
        <w:ind w:left="0"/>
        <w:jc w:val="both"/>
      </w:pPr>
      <w:r>
        <w:rPr>
          <w:rFonts w:ascii="Times New Roman"/>
          <w:b w:val="false"/>
          <w:i w:val="false"/>
          <w:color w:val="000000"/>
          <w:sz w:val="28"/>
        </w:rPr>
        <w:t>
      119. До начала исследования спонсор определяет, устанавливает и распределяет все связанные с исследованием обязанности и функции.</w:t>
      </w:r>
    </w:p>
    <w:bookmarkEnd w:id="1476"/>
    <w:bookmarkStart w:name="z1498" w:id="1477"/>
    <w:p>
      <w:pPr>
        <w:spacing w:after="0"/>
        <w:ind w:left="0"/>
        <w:jc w:val="left"/>
      </w:pPr>
      <w:r>
        <w:rPr>
          <w:rFonts w:ascii="Times New Roman"/>
          <w:b/>
          <w:i w:val="false"/>
          <w:color w:val="000000"/>
        </w:rPr>
        <w:t xml:space="preserve"> Параграф 8. Компенсации субъектам и исследователям</w:t>
      </w:r>
    </w:p>
    <w:bookmarkEnd w:id="1477"/>
    <w:bookmarkStart w:name="z1499" w:id="1478"/>
    <w:p>
      <w:pPr>
        <w:spacing w:after="0"/>
        <w:ind w:left="0"/>
        <w:jc w:val="both"/>
      </w:pPr>
      <w:r>
        <w:rPr>
          <w:rFonts w:ascii="Times New Roman"/>
          <w:b w:val="false"/>
          <w:i w:val="false"/>
          <w:color w:val="000000"/>
          <w:sz w:val="28"/>
        </w:rPr>
        <w:t>
      120. Спонсор обеспечивает страхование или гарантирует юридическую и финансовую поддержку исследователя или медицинской организации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bookmarkEnd w:id="1478"/>
    <w:bookmarkStart w:name="z1500" w:id="1479"/>
    <w:p>
      <w:pPr>
        <w:spacing w:after="0"/>
        <w:ind w:left="0"/>
        <w:jc w:val="both"/>
      </w:pPr>
      <w:r>
        <w:rPr>
          <w:rFonts w:ascii="Times New Roman"/>
          <w:b w:val="false"/>
          <w:i w:val="false"/>
          <w:color w:val="000000"/>
          <w:sz w:val="28"/>
        </w:rPr>
        <w:t>
      121. В случае причинения вреда здоровью субъектов исследования в результате их участия в исследовании, спонсор возмещает расходы на их лечение.</w:t>
      </w:r>
    </w:p>
    <w:bookmarkEnd w:id="1479"/>
    <w:bookmarkStart w:name="z1501" w:id="1480"/>
    <w:p>
      <w:pPr>
        <w:spacing w:after="0"/>
        <w:ind w:left="0"/>
        <w:jc w:val="both"/>
      </w:pPr>
      <w:r>
        <w:rPr>
          <w:rFonts w:ascii="Times New Roman"/>
          <w:b w:val="false"/>
          <w:i w:val="false"/>
          <w:color w:val="000000"/>
          <w:sz w:val="28"/>
        </w:rPr>
        <w:t>
      122. Если субъекты исследования получают компенсацию, обеспечивается соответствие порядка и способа компенсации.</w:t>
      </w:r>
    </w:p>
    <w:bookmarkEnd w:id="1480"/>
    <w:bookmarkStart w:name="z1502" w:id="1481"/>
    <w:p>
      <w:pPr>
        <w:spacing w:after="0"/>
        <w:ind w:left="0"/>
        <w:jc w:val="left"/>
      </w:pPr>
      <w:r>
        <w:rPr>
          <w:rFonts w:ascii="Times New Roman"/>
          <w:b/>
          <w:i w:val="false"/>
          <w:color w:val="000000"/>
        </w:rPr>
        <w:t xml:space="preserve"> Параграф 9. Финансирование</w:t>
      </w:r>
    </w:p>
    <w:bookmarkEnd w:id="1481"/>
    <w:bookmarkStart w:name="z1503" w:id="1482"/>
    <w:p>
      <w:pPr>
        <w:spacing w:after="0"/>
        <w:ind w:left="0"/>
        <w:jc w:val="both"/>
      </w:pPr>
      <w:r>
        <w:rPr>
          <w:rFonts w:ascii="Times New Roman"/>
          <w:b w:val="false"/>
          <w:i w:val="false"/>
          <w:color w:val="000000"/>
          <w:sz w:val="28"/>
        </w:rPr>
        <w:t>
      123. Финансовые аспекты исследования документально оформляются в виде договора между спонсором и исследователем (медицинской организацией).</w:t>
      </w:r>
    </w:p>
    <w:bookmarkEnd w:id="1482"/>
    <w:bookmarkStart w:name="z1504" w:id="1483"/>
    <w:p>
      <w:pPr>
        <w:spacing w:after="0"/>
        <w:ind w:left="0"/>
        <w:jc w:val="both"/>
      </w:pPr>
      <w:r>
        <w:rPr>
          <w:rFonts w:ascii="Times New Roman"/>
          <w:b w:val="false"/>
          <w:i w:val="false"/>
          <w:color w:val="000000"/>
          <w:sz w:val="28"/>
        </w:rPr>
        <w:t>
      124. Уведомление уполномоченного органа, экспертной организации или подача заявки в уполномоченный орган, экспертную организацию.</w:t>
      </w:r>
    </w:p>
    <w:bookmarkEnd w:id="1483"/>
    <w:bookmarkStart w:name="z1505" w:id="1484"/>
    <w:p>
      <w:pPr>
        <w:spacing w:after="0"/>
        <w:ind w:left="0"/>
        <w:jc w:val="both"/>
      </w:pPr>
      <w:r>
        <w:rPr>
          <w:rFonts w:ascii="Times New Roman"/>
          <w:b w:val="false"/>
          <w:i w:val="false"/>
          <w:color w:val="000000"/>
          <w:sz w:val="28"/>
        </w:rPr>
        <w:t>
      До начала клинического исследования спонсор (или спонсор совместно с исследователем) подает заявку в экспертную организацию, уполномоченный орган для ее рассмотрения и (или) получения разрешения проводить исследование, в соответствии с действующим законодательством Республики Казахстан. Все уведомления или заявки следует датировать и обеспечить наличие достаточной информации для идентификации протокола.</w:t>
      </w:r>
    </w:p>
    <w:bookmarkEnd w:id="1484"/>
    <w:bookmarkStart w:name="z1506" w:id="1485"/>
    <w:p>
      <w:pPr>
        <w:spacing w:after="0"/>
        <w:ind w:left="0"/>
        <w:jc w:val="both"/>
      </w:pPr>
      <w:r>
        <w:rPr>
          <w:rFonts w:ascii="Times New Roman"/>
          <w:b w:val="false"/>
          <w:i w:val="false"/>
          <w:color w:val="000000"/>
          <w:sz w:val="28"/>
        </w:rPr>
        <w:t>
      Спонсор информирует экспертную организацию о начале клинических исследований в порядке, установленном действующим законодательством Республики Казахстан.</w:t>
      </w:r>
    </w:p>
    <w:bookmarkEnd w:id="1485"/>
    <w:bookmarkStart w:name="z1507" w:id="1486"/>
    <w:p>
      <w:pPr>
        <w:spacing w:after="0"/>
        <w:ind w:left="0"/>
        <w:jc w:val="left"/>
      </w:pPr>
      <w:r>
        <w:rPr>
          <w:rFonts w:ascii="Times New Roman"/>
          <w:b/>
          <w:i w:val="false"/>
          <w:color w:val="000000"/>
        </w:rPr>
        <w:t xml:space="preserve"> Параграф 10. Подтверждение рассмотрения Комиссией по вопросам этики</w:t>
      </w:r>
    </w:p>
    <w:bookmarkEnd w:id="1486"/>
    <w:bookmarkStart w:name="z1508" w:id="1487"/>
    <w:p>
      <w:pPr>
        <w:spacing w:after="0"/>
        <w:ind w:left="0"/>
        <w:jc w:val="both"/>
      </w:pPr>
      <w:r>
        <w:rPr>
          <w:rFonts w:ascii="Times New Roman"/>
          <w:b w:val="false"/>
          <w:i w:val="false"/>
          <w:color w:val="000000"/>
          <w:sz w:val="28"/>
        </w:rPr>
        <w:t>
      125. Спонсор получает от исследователя (медицинской организации):</w:t>
      </w:r>
    </w:p>
    <w:bookmarkEnd w:id="1487"/>
    <w:bookmarkStart w:name="z1509" w:id="1488"/>
    <w:p>
      <w:pPr>
        <w:spacing w:after="0"/>
        <w:ind w:left="0"/>
        <w:jc w:val="both"/>
      </w:pPr>
      <w:r>
        <w:rPr>
          <w:rFonts w:ascii="Times New Roman"/>
          <w:b w:val="false"/>
          <w:i w:val="false"/>
          <w:color w:val="000000"/>
          <w:sz w:val="28"/>
        </w:rPr>
        <w:t>
      1) наименование и адрес Комиссии по вопросам этики исследователя (медицинской организации);</w:t>
      </w:r>
    </w:p>
    <w:bookmarkEnd w:id="1488"/>
    <w:bookmarkStart w:name="z1510" w:id="1489"/>
    <w:p>
      <w:pPr>
        <w:spacing w:after="0"/>
        <w:ind w:left="0"/>
        <w:jc w:val="both"/>
      </w:pPr>
      <w:r>
        <w:rPr>
          <w:rFonts w:ascii="Times New Roman"/>
          <w:b w:val="false"/>
          <w:i w:val="false"/>
          <w:color w:val="000000"/>
          <w:sz w:val="28"/>
        </w:rPr>
        <w:t>
      2) подтверждение от Комиссии по вопросам этики того, что он организован и действует согласно настоящему Стандарту и законодательству Республики Казахстан;</w:t>
      </w:r>
    </w:p>
    <w:bookmarkEnd w:id="1489"/>
    <w:bookmarkStart w:name="z1511" w:id="1490"/>
    <w:p>
      <w:pPr>
        <w:spacing w:after="0"/>
        <w:ind w:left="0"/>
        <w:jc w:val="both"/>
      </w:pPr>
      <w:r>
        <w:rPr>
          <w:rFonts w:ascii="Times New Roman"/>
          <w:b w:val="false"/>
          <w:i w:val="false"/>
          <w:color w:val="000000"/>
          <w:sz w:val="28"/>
        </w:rPr>
        <w:t>
      3) документально оформленное одобрение (заключение) Комиссии по вопросам этики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Комиссией по вопросам этики.</w:t>
      </w:r>
    </w:p>
    <w:bookmarkEnd w:id="1490"/>
    <w:bookmarkStart w:name="z1512" w:id="1491"/>
    <w:p>
      <w:pPr>
        <w:spacing w:after="0"/>
        <w:ind w:left="0"/>
        <w:jc w:val="both"/>
      </w:pPr>
      <w:r>
        <w:rPr>
          <w:rFonts w:ascii="Times New Roman"/>
          <w:b w:val="false"/>
          <w:i w:val="false"/>
          <w:color w:val="000000"/>
          <w:sz w:val="28"/>
        </w:rPr>
        <w:t>
      126. Если Комиссия по вопросам этики обусловливает выдачу своего заключения внесением изменений в какие-либо аспекты исследования, спонсор получает от исследователя (медицинской организации) копии всех измененных документов и дату полученного заключения Комиссии по вопросам этики.</w:t>
      </w:r>
    </w:p>
    <w:bookmarkEnd w:id="1491"/>
    <w:bookmarkStart w:name="z1513" w:id="1492"/>
    <w:p>
      <w:pPr>
        <w:spacing w:after="0"/>
        <w:ind w:left="0"/>
        <w:jc w:val="both"/>
      </w:pPr>
      <w:r>
        <w:rPr>
          <w:rFonts w:ascii="Times New Roman"/>
          <w:b w:val="false"/>
          <w:i w:val="false"/>
          <w:color w:val="000000"/>
          <w:sz w:val="28"/>
        </w:rPr>
        <w:t>
      127. Спонсор получает от исследователя (медицинской организации) документацию и даты любых повторных заключений Комиссии по вопросам этики, а также решений об отзыве или приостановке ранее выданного заключения.</w:t>
      </w:r>
    </w:p>
    <w:bookmarkEnd w:id="1492"/>
    <w:bookmarkStart w:name="z1514" w:id="1493"/>
    <w:p>
      <w:pPr>
        <w:spacing w:after="0"/>
        <w:ind w:left="0"/>
        <w:jc w:val="left"/>
      </w:pPr>
      <w:r>
        <w:rPr>
          <w:rFonts w:ascii="Times New Roman"/>
          <w:b/>
          <w:i w:val="false"/>
          <w:color w:val="000000"/>
        </w:rPr>
        <w:t xml:space="preserve"> Параграф 11. Информация об исследуемых препаратах.</w:t>
      </w:r>
    </w:p>
    <w:bookmarkEnd w:id="1493"/>
    <w:bookmarkStart w:name="z1515" w:id="1494"/>
    <w:p>
      <w:pPr>
        <w:spacing w:after="0"/>
        <w:ind w:left="0"/>
        <w:jc w:val="both"/>
      </w:pPr>
      <w:r>
        <w:rPr>
          <w:rFonts w:ascii="Times New Roman"/>
          <w:b w:val="false"/>
          <w:i w:val="false"/>
          <w:color w:val="000000"/>
          <w:sz w:val="28"/>
        </w:rPr>
        <w:t>
      128. При планировании исследований спонсор располагает достаточным объемом полученных в доклинических и (или) клинических исследованиях данных по безопасности и эффективности, оправдывающих применение на человеке, при соответствующих путях введения и дозах, при соответствующей длительности и в исследуемой популяции.</w:t>
      </w:r>
    </w:p>
    <w:bookmarkEnd w:id="1494"/>
    <w:bookmarkStart w:name="z1516" w:id="1495"/>
    <w:p>
      <w:pPr>
        <w:spacing w:after="0"/>
        <w:ind w:left="0"/>
        <w:jc w:val="both"/>
      </w:pPr>
      <w:r>
        <w:rPr>
          <w:rFonts w:ascii="Times New Roman"/>
          <w:b w:val="false"/>
          <w:i w:val="false"/>
          <w:color w:val="000000"/>
          <w:sz w:val="28"/>
        </w:rPr>
        <w:t>
      129. Спонсор обеспечивает обновление БИ по мере получения новой существенной информации.</w:t>
      </w:r>
    </w:p>
    <w:bookmarkEnd w:id="1495"/>
    <w:bookmarkStart w:name="z1517" w:id="1496"/>
    <w:p>
      <w:pPr>
        <w:spacing w:after="0"/>
        <w:ind w:left="0"/>
        <w:jc w:val="left"/>
      </w:pPr>
      <w:r>
        <w:rPr>
          <w:rFonts w:ascii="Times New Roman"/>
          <w:b/>
          <w:i w:val="false"/>
          <w:color w:val="000000"/>
        </w:rPr>
        <w:t xml:space="preserve"> Параграф 12. Производство, упаковка, маркировка и кодирование исследуемых препаратов</w:t>
      </w:r>
    </w:p>
    <w:bookmarkEnd w:id="1496"/>
    <w:bookmarkStart w:name="z1518" w:id="1497"/>
    <w:p>
      <w:pPr>
        <w:spacing w:after="0"/>
        <w:ind w:left="0"/>
        <w:jc w:val="both"/>
      </w:pPr>
      <w:r>
        <w:rPr>
          <w:rFonts w:ascii="Times New Roman"/>
          <w:b w:val="false"/>
          <w:i w:val="false"/>
          <w:color w:val="000000"/>
          <w:sz w:val="28"/>
        </w:rPr>
        <w:t xml:space="preserve">
      130. Спонсор обеспечивает, чтобы исследуемые препараты имели характеристики, соответствующие стадии разработки данных препаратов, были произведены в соответствии с применимыми требованиями надлежащей производственной практики и, в соответствующих случаях, закодированы и маркированы таким образом, чтобы обеспечить защиту маскировки. </w:t>
      </w:r>
    </w:p>
    <w:bookmarkEnd w:id="1497"/>
    <w:bookmarkStart w:name="z1519" w:id="1498"/>
    <w:p>
      <w:pPr>
        <w:spacing w:after="0"/>
        <w:ind w:left="0"/>
        <w:jc w:val="both"/>
      </w:pPr>
      <w:r>
        <w:rPr>
          <w:rFonts w:ascii="Times New Roman"/>
          <w:b w:val="false"/>
          <w:i w:val="false"/>
          <w:color w:val="000000"/>
          <w:sz w:val="28"/>
        </w:rPr>
        <w:t>
      131. Спонсор определяет для исследуемых препаратов температуру хранения, условия хранения, срок хранения, растворители и процедуры для разведения и восстановления, а также, если таковые предусмотрены, устройства для введения препарата. Спонсор информирует об этих требованиях вовлеченные стороны - мониторов, исследователей, провизоров, лиц, уполномоченных за хранение.</w:t>
      </w:r>
    </w:p>
    <w:bookmarkEnd w:id="1498"/>
    <w:bookmarkStart w:name="z1520" w:id="1499"/>
    <w:p>
      <w:pPr>
        <w:spacing w:after="0"/>
        <w:ind w:left="0"/>
        <w:jc w:val="both"/>
      </w:pPr>
      <w:r>
        <w:rPr>
          <w:rFonts w:ascii="Times New Roman"/>
          <w:b w:val="false"/>
          <w:i w:val="false"/>
          <w:color w:val="000000"/>
          <w:sz w:val="28"/>
        </w:rPr>
        <w:t>
      132. Исследуемые препараты упаковываются таким образом, чтобы предотвратить их загрязнение и обеспечить их сохранность (пригодность) при транспортировке и хранении.</w:t>
      </w:r>
    </w:p>
    <w:bookmarkEnd w:id="1499"/>
    <w:bookmarkStart w:name="z1521" w:id="1500"/>
    <w:p>
      <w:pPr>
        <w:spacing w:after="0"/>
        <w:ind w:left="0"/>
        <w:jc w:val="both"/>
      </w:pPr>
      <w:r>
        <w:rPr>
          <w:rFonts w:ascii="Times New Roman"/>
          <w:b w:val="false"/>
          <w:i w:val="false"/>
          <w:color w:val="000000"/>
          <w:sz w:val="28"/>
        </w:rPr>
        <w:t>
      133. Для исследований, в которых используется слепой метод, система кодирования исследуемого препарата включает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p>
    <w:bookmarkEnd w:id="1500"/>
    <w:bookmarkStart w:name="z1522" w:id="1501"/>
    <w:p>
      <w:pPr>
        <w:spacing w:after="0"/>
        <w:ind w:left="0"/>
        <w:jc w:val="both"/>
      </w:pPr>
      <w:r>
        <w:rPr>
          <w:rFonts w:ascii="Times New Roman"/>
          <w:b w:val="false"/>
          <w:i w:val="false"/>
          <w:color w:val="000000"/>
          <w:sz w:val="28"/>
        </w:rPr>
        <w:t>
      134.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следует получить результаты любых дополнительных исследований данной лекарственной формы препарата, необходимые для оценки того, способны ли данные изменения существенно повлиять на фармакокинетический профиль препарата.</w:t>
      </w:r>
    </w:p>
    <w:bookmarkEnd w:id="1501"/>
    <w:bookmarkStart w:name="z1523" w:id="1502"/>
    <w:p>
      <w:pPr>
        <w:spacing w:after="0"/>
        <w:ind w:left="0"/>
        <w:jc w:val="left"/>
      </w:pPr>
      <w:r>
        <w:rPr>
          <w:rFonts w:ascii="Times New Roman"/>
          <w:b/>
          <w:i w:val="false"/>
          <w:color w:val="000000"/>
        </w:rPr>
        <w:t xml:space="preserve"> Параграф 13. Поставка исследуемых препаратов и правила обращения с ними</w:t>
      </w:r>
    </w:p>
    <w:bookmarkEnd w:id="1502"/>
    <w:bookmarkStart w:name="z1524" w:id="1503"/>
    <w:p>
      <w:pPr>
        <w:spacing w:after="0"/>
        <w:ind w:left="0"/>
        <w:jc w:val="both"/>
      </w:pPr>
      <w:r>
        <w:rPr>
          <w:rFonts w:ascii="Times New Roman"/>
          <w:b w:val="false"/>
          <w:i w:val="false"/>
          <w:color w:val="000000"/>
          <w:sz w:val="28"/>
        </w:rPr>
        <w:t>
      135. Спонсор обеспечивает поставку исследователю (медицинской организации) исследуемого препарата.</w:t>
      </w:r>
    </w:p>
    <w:bookmarkEnd w:id="1503"/>
    <w:bookmarkStart w:name="z1525" w:id="1504"/>
    <w:p>
      <w:pPr>
        <w:spacing w:after="0"/>
        <w:ind w:left="0"/>
        <w:jc w:val="both"/>
      </w:pPr>
      <w:r>
        <w:rPr>
          <w:rFonts w:ascii="Times New Roman"/>
          <w:b w:val="false"/>
          <w:i w:val="false"/>
          <w:color w:val="000000"/>
          <w:sz w:val="28"/>
        </w:rPr>
        <w:t>
      136. Спонсор не поставляет исследуемый препарат исследователю (медицинской организации) до тех пор, пока не получит заключение Комиссии по вопросам этики и разрешение уполномоченного органа.</w:t>
      </w:r>
    </w:p>
    <w:bookmarkEnd w:id="1504"/>
    <w:bookmarkStart w:name="z1526" w:id="1505"/>
    <w:p>
      <w:pPr>
        <w:spacing w:after="0"/>
        <w:ind w:left="0"/>
        <w:jc w:val="both"/>
      </w:pPr>
      <w:r>
        <w:rPr>
          <w:rFonts w:ascii="Times New Roman"/>
          <w:b w:val="false"/>
          <w:i w:val="false"/>
          <w:color w:val="000000"/>
          <w:sz w:val="28"/>
        </w:rPr>
        <w:t>
      137. Письменные процедуры спонсора включают в себя инструкции для исследователя (медицинской организации) по правилам хранения исследуемого препарата и обращения с ним, а также по ведению соответствующей документации. Процедуры описывают безопасное получение исследуемого препарата, обращение с ним, его хранение и выдачу, изъятие неиспользованного исследуемого препарата у субъектов исследования и возврат его спонсору (либо иное распоряжение неиспользованным препаратом, если это санкционировано спонсором).</w:t>
      </w:r>
    </w:p>
    <w:bookmarkEnd w:id="1505"/>
    <w:bookmarkStart w:name="z1527" w:id="1506"/>
    <w:p>
      <w:pPr>
        <w:spacing w:after="0"/>
        <w:ind w:left="0"/>
        <w:jc w:val="both"/>
      </w:pPr>
      <w:r>
        <w:rPr>
          <w:rFonts w:ascii="Times New Roman"/>
          <w:b w:val="false"/>
          <w:i w:val="false"/>
          <w:color w:val="000000"/>
          <w:sz w:val="28"/>
        </w:rPr>
        <w:t>
      138. Спонсор:</w:t>
      </w:r>
    </w:p>
    <w:bookmarkEnd w:id="1506"/>
    <w:bookmarkStart w:name="z1528" w:id="1507"/>
    <w:p>
      <w:pPr>
        <w:spacing w:after="0"/>
        <w:ind w:left="0"/>
        <w:jc w:val="both"/>
      </w:pPr>
      <w:r>
        <w:rPr>
          <w:rFonts w:ascii="Times New Roman"/>
          <w:b w:val="false"/>
          <w:i w:val="false"/>
          <w:color w:val="000000"/>
          <w:sz w:val="28"/>
        </w:rPr>
        <w:t>
      1) обеспечивает своевременную поставку исследуемых препаратов исследователям;</w:t>
      </w:r>
    </w:p>
    <w:bookmarkEnd w:id="1507"/>
    <w:bookmarkStart w:name="z1529" w:id="1508"/>
    <w:p>
      <w:pPr>
        <w:spacing w:after="0"/>
        <w:ind w:left="0"/>
        <w:jc w:val="both"/>
      </w:pPr>
      <w:r>
        <w:rPr>
          <w:rFonts w:ascii="Times New Roman"/>
          <w:b w:val="false"/>
          <w:i w:val="false"/>
          <w:color w:val="000000"/>
          <w:sz w:val="28"/>
        </w:rPr>
        <w:t>
      2) документирует поставки, получение, выдачу, возврат и уничтожение исследуемых препаратов;</w:t>
      </w:r>
    </w:p>
    <w:bookmarkEnd w:id="1508"/>
    <w:bookmarkStart w:name="z1530" w:id="1509"/>
    <w:p>
      <w:pPr>
        <w:spacing w:after="0"/>
        <w:ind w:left="0"/>
        <w:jc w:val="both"/>
      </w:pPr>
      <w:r>
        <w:rPr>
          <w:rFonts w:ascii="Times New Roman"/>
          <w:b w:val="false"/>
          <w:i w:val="false"/>
          <w:color w:val="000000"/>
          <w:sz w:val="28"/>
        </w:rPr>
        <w:t>
      3) имеет систему возврата исследуемого препарата и документирования подобного изъятия - отзыв бракованного препарата, возврат препарата после окончания исследования или по истечении его срока годности;</w:t>
      </w:r>
    </w:p>
    <w:bookmarkEnd w:id="1509"/>
    <w:bookmarkStart w:name="z1531" w:id="1510"/>
    <w:p>
      <w:pPr>
        <w:spacing w:after="0"/>
        <w:ind w:left="0"/>
        <w:jc w:val="both"/>
      </w:pPr>
      <w:r>
        <w:rPr>
          <w:rFonts w:ascii="Times New Roman"/>
          <w:b w:val="false"/>
          <w:i w:val="false"/>
          <w:color w:val="000000"/>
          <w:sz w:val="28"/>
        </w:rPr>
        <w:t>
      4) имеет систему уничтожения неиспользованных исследуемых препаратов и документирования подобного уничтожения;</w:t>
      </w:r>
    </w:p>
    <w:bookmarkEnd w:id="1510"/>
    <w:bookmarkStart w:name="z1532" w:id="1511"/>
    <w:p>
      <w:pPr>
        <w:spacing w:after="0"/>
        <w:ind w:left="0"/>
        <w:jc w:val="both"/>
      </w:pPr>
      <w:r>
        <w:rPr>
          <w:rFonts w:ascii="Times New Roman"/>
          <w:b w:val="false"/>
          <w:i w:val="false"/>
          <w:color w:val="000000"/>
          <w:sz w:val="28"/>
        </w:rPr>
        <w:t>
      5) принимает меры по обеспечению стабильности исследуемых препаратов на протяжении всего периода использования;</w:t>
      </w:r>
    </w:p>
    <w:bookmarkEnd w:id="1511"/>
    <w:bookmarkStart w:name="z1533" w:id="1512"/>
    <w:p>
      <w:pPr>
        <w:spacing w:after="0"/>
        <w:ind w:left="0"/>
        <w:jc w:val="both"/>
      </w:pPr>
      <w:r>
        <w:rPr>
          <w:rFonts w:ascii="Times New Roman"/>
          <w:b w:val="false"/>
          <w:i w:val="false"/>
          <w:color w:val="000000"/>
          <w:sz w:val="28"/>
        </w:rPr>
        <w:t>
      6) имеет достаточное количество используемого в исследованиях исследуемого препарата, чтобы подтвердить его соответствие спецификациям, а также ведет учет анализов и характеристик образцов препарата из партии. В зависимости от стабильности образцы сохраняются либо до окончания анализа данных по исследованию, либо в течение срока, определенного спонсором или инструкцией по медицинскому применению, исходя из того, какой период является более длительным.</w:t>
      </w:r>
    </w:p>
    <w:bookmarkEnd w:id="1512"/>
    <w:bookmarkStart w:name="z1534" w:id="1513"/>
    <w:p>
      <w:pPr>
        <w:spacing w:after="0"/>
        <w:ind w:left="0"/>
        <w:jc w:val="left"/>
      </w:pPr>
      <w:r>
        <w:rPr>
          <w:rFonts w:ascii="Times New Roman"/>
          <w:b/>
          <w:i w:val="false"/>
          <w:color w:val="000000"/>
        </w:rPr>
        <w:t xml:space="preserve"> Параграф 14. Доступ к документации по исследованию</w:t>
      </w:r>
    </w:p>
    <w:bookmarkEnd w:id="1513"/>
    <w:bookmarkStart w:name="z1535" w:id="1514"/>
    <w:p>
      <w:pPr>
        <w:spacing w:after="0"/>
        <w:ind w:left="0"/>
        <w:jc w:val="both"/>
      </w:pPr>
      <w:r>
        <w:rPr>
          <w:rFonts w:ascii="Times New Roman"/>
          <w:b w:val="false"/>
          <w:i w:val="false"/>
          <w:color w:val="000000"/>
          <w:sz w:val="28"/>
        </w:rPr>
        <w:t>
      139. Спонсор предусматривает в протоколе или ином письменном соглашении обязанность исследователя (медицинской организации), обеспечивающую прямой доступ к первичным данным или документации, для целей мониторинга, аудита, экспертизы Комиссии по вопросам этики, а также инспекции со стороны уполномоченного органа.</w:t>
      </w:r>
    </w:p>
    <w:bookmarkEnd w:id="1514"/>
    <w:bookmarkStart w:name="z1536" w:id="1515"/>
    <w:p>
      <w:pPr>
        <w:spacing w:after="0"/>
        <w:ind w:left="0"/>
        <w:jc w:val="both"/>
      </w:pPr>
      <w:r>
        <w:rPr>
          <w:rFonts w:ascii="Times New Roman"/>
          <w:b w:val="false"/>
          <w:i w:val="false"/>
          <w:color w:val="000000"/>
          <w:sz w:val="28"/>
        </w:rPr>
        <w:t>
      140. Спонсор убеждается в том, что каждый субъект дал письменное согласие на прямой доступ к его оригинальным медицинским записям для целей мониторинга, аудита, экспертизы Комиссии по вопросам этики, а также инспекции со стороны уполномоченного органа.</w:t>
      </w:r>
    </w:p>
    <w:bookmarkEnd w:id="1515"/>
    <w:bookmarkStart w:name="z1537" w:id="1516"/>
    <w:p>
      <w:pPr>
        <w:spacing w:after="0"/>
        <w:ind w:left="0"/>
        <w:jc w:val="left"/>
      </w:pPr>
      <w:r>
        <w:rPr>
          <w:rFonts w:ascii="Times New Roman"/>
          <w:b/>
          <w:i w:val="false"/>
          <w:color w:val="000000"/>
        </w:rPr>
        <w:t xml:space="preserve"> Параграф 15. Информация по безопасности</w:t>
      </w:r>
    </w:p>
    <w:bookmarkEnd w:id="1516"/>
    <w:bookmarkStart w:name="z1538" w:id="1517"/>
    <w:p>
      <w:pPr>
        <w:spacing w:after="0"/>
        <w:ind w:left="0"/>
        <w:jc w:val="both"/>
      </w:pPr>
      <w:r>
        <w:rPr>
          <w:rFonts w:ascii="Times New Roman"/>
          <w:b w:val="false"/>
          <w:i w:val="false"/>
          <w:color w:val="000000"/>
          <w:sz w:val="28"/>
        </w:rPr>
        <w:t>
      141. Спонсор обеспечивает постоянную оценку безопасности исследуемых препаратов.</w:t>
      </w:r>
    </w:p>
    <w:bookmarkEnd w:id="1517"/>
    <w:bookmarkStart w:name="z1539" w:id="1518"/>
    <w:p>
      <w:pPr>
        <w:spacing w:after="0"/>
        <w:ind w:left="0"/>
        <w:jc w:val="both"/>
      </w:pPr>
      <w:r>
        <w:rPr>
          <w:rFonts w:ascii="Times New Roman"/>
          <w:b w:val="false"/>
          <w:i w:val="false"/>
          <w:color w:val="000000"/>
          <w:sz w:val="28"/>
        </w:rPr>
        <w:t>
      142. Спонсор незамедлительно уведомляет занятых в исследовании исследователей (медицинские организации), а также уполномоченный орган о полученных данных, которые способны неблагоприятно отразиться на безопасности субъектов, повлиять на проведение исследования либо изменить заключение Комиссии по вопросам этики на продолжение исследования.</w:t>
      </w:r>
    </w:p>
    <w:bookmarkEnd w:id="1518"/>
    <w:bookmarkStart w:name="z1540" w:id="1519"/>
    <w:p>
      <w:pPr>
        <w:spacing w:after="0"/>
        <w:ind w:left="0"/>
        <w:jc w:val="left"/>
      </w:pPr>
      <w:r>
        <w:rPr>
          <w:rFonts w:ascii="Times New Roman"/>
          <w:b/>
          <w:i w:val="false"/>
          <w:color w:val="000000"/>
        </w:rPr>
        <w:t xml:space="preserve"> Параграф 16. Сообщения о нежелательных реакциях</w:t>
      </w:r>
    </w:p>
    <w:bookmarkEnd w:id="1519"/>
    <w:bookmarkStart w:name="z1541" w:id="1520"/>
    <w:p>
      <w:pPr>
        <w:spacing w:after="0"/>
        <w:ind w:left="0"/>
        <w:jc w:val="both"/>
      </w:pPr>
      <w:r>
        <w:rPr>
          <w:rFonts w:ascii="Times New Roman"/>
          <w:b w:val="false"/>
          <w:i w:val="false"/>
          <w:color w:val="000000"/>
          <w:sz w:val="28"/>
        </w:rPr>
        <w:t>
      143. Спонсор в кратчайшие сроки сообщает участвующим в исследовании исследователям (медицинским организациям), Комиссии по вопросам этики, а также экспертной организации обо всех нежелательных реакциях, которые одновременно являются серьезными и непредвиденными.</w:t>
      </w:r>
    </w:p>
    <w:bookmarkEnd w:id="1520"/>
    <w:bookmarkStart w:name="z1542" w:id="1521"/>
    <w:p>
      <w:pPr>
        <w:spacing w:after="0"/>
        <w:ind w:left="0"/>
        <w:jc w:val="both"/>
      </w:pPr>
      <w:r>
        <w:rPr>
          <w:rFonts w:ascii="Times New Roman"/>
          <w:b w:val="false"/>
          <w:i w:val="false"/>
          <w:color w:val="000000"/>
          <w:sz w:val="28"/>
        </w:rPr>
        <w:t xml:space="preserve">
      144. Срочные сообщения осуществляются в соответствии с нормативными требованиями и приложением 1 к настоящему Стандарту "Порядок представления информации по безопасности в ходе клинического исследования". </w:t>
      </w:r>
    </w:p>
    <w:bookmarkEnd w:id="1521"/>
    <w:bookmarkStart w:name="z1543" w:id="1522"/>
    <w:p>
      <w:pPr>
        <w:spacing w:after="0"/>
        <w:ind w:left="0"/>
        <w:jc w:val="both"/>
      </w:pPr>
      <w:r>
        <w:rPr>
          <w:rFonts w:ascii="Times New Roman"/>
          <w:b w:val="false"/>
          <w:i w:val="false"/>
          <w:color w:val="000000"/>
          <w:sz w:val="28"/>
        </w:rPr>
        <w:t>
      145. Спонсор представляет на рассмотрение экспертной организации все новые данные и периодические отчеты по безопасности исследуемого препарата в соответствии нормативными требованиями и приложением 1 к настоящему Стандарту "Порядок представления информации по безопасности в ходе клинического исследования".</w:t>
      </w:r>
    </w:p>
    <w:bookmarkEnd w:id="1522"/>
    <w:bookmarkStart w:name="z1544" w:id="1523"/>
    <w:p>
      <w:pPr>
        <w:spacing w:after="0"/>
        <w:ind w:left="0"/>
        <w:jc w:val="left"/>
      </w:pPr>
      <w:r>
        <w:rPr>
          <w:rFonts w:ascii="Times New Roman"/>
          <w:b/>
          <w:i w:val="false"/>
          <w:color w:val="000000"/>
        </w:rPr>
        <w:t xml:space="preserve"> Параграф 17. Мониторинг</w:t>
      </w:r>
    </w:p>
    <w:bookmarkEnd w:id="1523"/>
    <w:bookmarkStart w:name="z1545" w:id="1524"/>
    <w:p>
      <w:pPr>
        <w:spacing w:after="0"/>
        <w:ind w:left="0"/>
        <w:jc w:val="both"/>
      </w:pPr>
      <w:r>
        <w:rPr>
          <w:rFonts w:ascii="Times New Roman"/>
          <w:b w:val="false"/>
          <w:i w:val="false"/>
          <w:color w:val="000000"/>
          <w:sz w:val="28"/>
        </w:rPr>
        <w:t>
      146. Целью мониторинга исследования является проверка обеспечения:</w:t>
      </w:r>
    </w:p>
    <w:bookmarkEnd w:id="1524"/>
    <w:bookmarkStart w:name="z1546" w:id="1525"/>
    <w:p>
      <w:pPr>
        <w:spacing w:after="0"/>
        <w:ind w:left="0"/>
        <w:jc w:val="both"/>
      </w:pPr>
      <w:r>
        <w:rPr>
          <w:rFonts w:ascii="Times New Roman"/>
          <w:b w:val="false"/>
          <w:i w:val="false"/>
          <w:color w:val="000000"/>
          <w:sz w:val="28"/>
        </w:rPr>
        <w:t xml:space="preserve">
      1) защиты прав и благополучия субъектов; </w:t>
      </w:r>
    </w:p>
    <w:bookmarkEnd w:id="1525"/>
    <w:bookmarkStart w:name="z1547" w:id="1526"/>
    <w:p>
      <w:pPr>
        <w:spacing w:after="0"/>
        <w:ind w:left="0"/>
        <w:jc w:val="both"/>
      </w:pPr>
      <w:r>
        <w:rPr>
          <w:rFonts w:ascii="Times New Roman"/>
          <w:b w:val="false"/>
          <w:i w:val="false"/>
          <w:color w:val="000000"/>
          <w:sz w:val="28"/>
        </w:rPr>
        <w:t>
      2) точности, полноты и соответствия первичной документации представленных данных;</w:t>
      </w:r>
    </w:p>
    <w:bookmarkEnd w:id="1526"/>
    <w:bookmarkStart w:name="z1548" w:id="1527"/>
    <w:p>
      <w:pPr>
        <w:spacing w:after="0"/>
        <w:ind w:left="0"/>
        <w:jc w:val="both"/>
      </w:pPr>
      <w:r>
        <w:rPr>
          <w:rFonts w:ascii="Times New Roman"/>
          <w:b w:val="false"/>
          <w:i w:val="false"/>
          <w:color w:val="000000"/>
          <w:sz w:val="28"/>
        </w:rPr>
        <w:t>
      3) проведения исследования в соответствии с утвержденной текущей версией протокола или поправок, настоящим Стандартом.</w:t>
      </w:r>
    </w:p>
    <w:bookmarkEnd w:id="1527"/>
    <w:bookmarkStart w:name="z1549" w:id="1528"/>
    <w:p>
      <w:pPr>
        <w:spacing w:after="0"/>
        <w:ind w:left="0"/>
        <w:jc w:val="both"/>
      </w:pPr>
      <w:r>
        <w:rPr>
          <w:rFonts w:ascii="Times New Roman"/>
          <w:b w:val="false"/>
          <w:i w:val="false"/>
          <w:color w:val="000000"/>
          <w:sz w:val="28"/>
        </w:rPr>
        <w:t>
      147. Выбор мониторов и их квалификация:</w:t>
      </w:r>
    </w:p>
    <w:bookmarkEnd w:id="1528"/>
    <w:bookmarkStart w:name="z1550" w:id="1529"/>
    <w:p>
      <w:pPr>
        <w:spacing w:after="0"/>
        <w:ind w:left="0"/>
        <w:jc w:val="both"/>
      </w:pPr>
      <w:r>
        <w:rPr>
          <w:rFonts w:ascii="Times New Roman"/>
          <w:b w:val="false"/>
          <w:i w:val="false"/>
          <w:color w:val="000000"/>
          <w:sz w:val="28"/>
        </w:rPr>
        <w:t>
      1) мониторы назначаются спонсором;</w:t>
      </w:r>
    </w:p>
    <w:bookmarkEnd w:id="1529"/>
    <w:bookmarkStart w:name="z1551" w:id="1530"/>
    <w:p>
      <w:pPr>
        <w:spacing w:after="0"/>
        <w:ind w:left="0"/>
        <w:jc w:val="both"/>
      </w:pPr>
      <w:r>
        <w:rPr>
          <w:rFonts w:ascii="Times New Roman"/>
          <w:b w:val="false"/>
          <w:i w:val="false"/>
          <w:color w:val="000000"/>
          <w:sz w:val="28"/>
        </w:rPr>
        <w:t>
      2) мониторы имеют соответствующую подготовку, а также обладают научными и (или) клиническими знаниями, необходимыми для проведения надлежащего мониторинга исследования. Квалификация мониторов подтверждается документально;</w:t>
      </w:r>
    </w:p>
    <w:bookmarkEnd w:id="1530"/>
    <w:bookmarkStart w:name="z1552" w:id="1531"/>
    <w:p>
      <w:pPr>
        <w:spacing w:after="0"/>
        <w:ind w:left="0"/>
        <w:jc w:val="both"/>
      </w:pPr>
      <w:r>
        <w:rPr>
          <w:rFonts w:ascii="Times New Roman"/>
          <w:b w:val="false"/>
          <w:i w:val="false"/>
          <w:color w:val="000000"/>
          <w:sz w:val="28"/>
        </w:rPr>
        <w:t>
      3) мониторы детально знакомятся со свойствами исследуемых препаратов, протоколом исследования, письменной формой информированного согласия и другими, предоставляемыми субъектам исследования письменными материалами, стандартными операционными процедурами спонсора, настоящим Стандартом.</w:t>
      </w:r>
    </w:p>
    <w:bookmarkEnd w:id="1531"/>
    <w:bookmarkStart w:name="z1553" w:id="1532"/>
    <w:p>
      <w:pPr>
        <w:spacing w:after="0"/>
        <w:ind w:left="0"/>
        <w:jc w:val="both"/>
      </w:pPr>
      <w:r>
        <w:rPr>
          <w:rFonts w:ascii="Times New Roman"/>
          <w:b w:val="false"/>
          <w:i w:val="false"/>
          <w:color w:val="000000"/>
          <w:sz w:val="28"/>
        </w:rPr>
        <w:t>
      148. Спонсор обеспечивает надлежащий мониторинг исследований. Спонсор определяет необходимый объем и содержание мониторинга, исходя из целей, задач, методологии, сложности, маскировки, объема и оцениваемых параметров исследования. С целью мониторинга осуществляется посещение клинических баз до, вовремя и после окончания исследования. Однако в исключительных случаях спонсор решает, что возможен мониторинг без визитов в клинические базы в сочетании с такими мероприятиями, как тренинг, проведение совещаний исследователей, предоставление им подробного письменного руководства для обеспечения гарантий надлежащего проведения исследования в соответствии с настоящим Стандартом. Статистически определяемые контрольные выборки служат приемлемым методом для отбора проверяемых данных.</w:t>
      </w:r>
    </w:p>
    <w:bookmarkEnd w:id="1532"/>
    <w:bookmarkStart w:name="z1554" w:id="1533"/>
    <w:p>
      <w:pPr>
        <w:spacing w:after="0"/>
        <w:ind w:left="0"/>
        <w:jc w:val="both"/>
      </w:pPr>
      <w:r>
        <w:rPr>
          <w:rFonts w:ascii="Times New Roman"/>
          <w:b w:val="false"/>
          <w:i w:val="false"/>
          <w:color w:val="000000"/>
          <w:sz w:val="28"/>
        </w:rPr>
        <w:t>
      149. Монитор, в соответствии с требованиями спонсора, обеспечивает надлежащее проведение и документальное оформление результатов исследования. С этой целью монитор, с учетом конкретного исследования и клинической базы, выполняет нижеперечисленные действия:</w:t>
      </w:r>
    </w:p>
    <w:bookmarkEnd w:id="1533"/>
    <w:bookmarkStart w:name="z1555" w:id="1534"/>
    <w:p>
      <w:pPr>
        <w:spacing w:after="0"/>
        <w:ind w:left="0"/>
        <w:jc w:val="both"/>
      </w:pPr>
      <w:r>
        <w:rPr>
          <w:rFonts w:ascii="Times New Roman"/>
          <w:b w:val="false"/>
          <w:i w:val="false"/>
          <w:color w:val="000000"/>
          <w:sz w:val="28"/>
        </w:rPr>
        <w:t>
      1) выступает в качестве основного связующего звена между спонсором и исследователем;</w:t>
      </w:r>
    </w:p>
    <w:bookmarkEnd w:id="1534"/>
    <w:bookmarkStart w:name="z1556" w:id="1535"/>
    <w:p>
      <w:pPr>
        <w:spacing w:after="0"/>
        <w:ind w:left="0"/>
        <w:jc w:val="both"/>
      </w:pPr>
      <w:r>
        <w:rPr>
          <w:rFonts w:ascii="Times New Roman"/>
          <w:b w:val="false"/>
          <w:i w:val="false"/>
          <w:color w:val="000000"/>
          <w:sz w:val="28"/>
        </w:rPr>
        <w:t>
      2) убеждается в том, что исследователь обладает должной квалификацией и возможностями для проведения исследования и, что они остаются таковыми во время всего исследования, а также что помещения, отведенные для проведения исследования, включая лаборатории и оборудование, персонал соответствуют требованиям к проведению работ безопасным и должным образом на протяжении всего периода исследования;</w:t>
      </w:r>
    </w:p>
    <w:bookmarkEnd w:id="1535"/>
    <w:bookmarkStart w:name="z1557" w:id="1536"/>
    <w:p>
      <w:pPr>
        <w:spacing w:after="0"/>
        <w:ind w:left="0"/>
        <w:jc w:val="both"/>
      </w:pPr>
      <w:r>
        <w:rPr>
          <w:rFonts w:ascii="Times New Roman"/>
          <w:b w:val="false"/>
          <w:i w:val="false"/>
          <w:color w:val="000000"/>
          <w:sz w:val="28"/>
        </w:rPr>
        <w:t>
      3) в отношении исследуемых препаратов монитор проверяет следующее:</w:t>
      </w:r>
    </w:p>
    <w:bookmarkEnd w:id="1536"/>
    <w:bookmarkStart w:name="z1558" w:id="1537"/>
    <w:p>
      <w:pPr>
        <w:spacing w:after="0"/>
        <w:ind w:left="0"/>
        <w:jc w:val="both"/>
      </w:pPr>
      <w:r>
        <w:rPr>
          <w:rFonts w:ascii="Times New Roman"/>
          <w:b w:val="false"/>
          <w:i w:val="false"/>
          <w:color w:val="000000"/>
          <w:sz w:val="28"/>
        </w:rPr>
        <w:t>
      приемлемость сроков и условий хранения, достаточность количества препарата до конца исследования;</w:t>
      </w:r>
    </w:p>
    <w:bookmarkEnd w:id="1537"/>
    <w:bookmarkStart w:name="z1559" w:id="1538"/>
    <w:p>
      <w:pPr>
        <w:spacing w:after="0"/>
        <w:ind w:left="0"/>
        <w:jc w:val="both"/>
      </w:pPr>
      <w:r>
        <w:rPr>
          <w:rFonts w:ascii="Times New Roman"/>
          <w:b w:val="false"/>
          <w:i w:val="false"/>
          <w:color w:val="000000"/>
          <w:sz w:val="28"/>
        </w:rPr>
        <w:t>
      исследуемые препараты получают только те субъекты, которым он назначен, и в дозах, установленных протоколом;</w:t>
      </w:r>
    </w:p>
    <w:bookmarkEnd w:id="1538"/>
    <w:bookmarkStart w:name="z1560" w:id="1539"/>
    <w:p>
      <w:pPr>
        <w:spacing w:after="0"/>
        <w:ind w:left="0"/>
        <w:jc w:val="both"/>
      </w:pPr>
      <w:r>
        <w:rPr>
          <w:rFonts w:ascii="Times New Roman"/>
          <w:b w:val="false"/>
          <w:i w:val="false"/>
          <w:color w:val="000000"/>
          <w:sz w:val="28"/>
        </w:rPr>
        <w:t>
      предоставление субъектам исследования необходимых инструкций по правильному применению исследуемых препаратов, обращению с ними, их хранению и возврату;</w:t>
      </w:r>
    </w:p>
    <w:bookmarkEnd w:id="1539"/>
    <w:bookmarkStart w:name="z1561" w:id="1540"/>
    <w:p>
      <w:pPr>
        <w:spacing w:after="0"/>
        <w:ind w:left="0"/>
        <w:jc w:val="both"/>
      </w:pPr>
      <w:r>
        <w:rPr>
          <w:rFonts w:ascii="Times New Roman"/>
          <w:b w:val="false"/>
          <w:i w:val="false"/>
          <w:color w:val="000000"/>
          <w:sz w:val="28"/>
        </w:rPr>
        <w:t>
      получение, применение и возврат исследуемых препаратов на клинической базе контролируется и оформляется документально в соответствии с процедурами медицинской организации и (или) спонсора;</w:t>
      </w:r>
    </w:p>
    <w:bookmarkEnd w:id="1540"/>
    <w:bookmarkStart w:name="z1562" w:id="1541"/>
    <w:p>
      <w:pPr>
        <w:spacing w:after="0"/>
        <w:ind w:left="0"/>
        <w:jc w:val="both"/>
      </w:pPr>
      <w:r>
        <w:rPr>
          <w:rFonts w:ascii="Times New Roman"/>
          <w:b w:val="false"/>
          <w:i w:val="false"/>
          <w:color w:val="000000"/>
          <w:sz w:val="28"/>
        </w:rPr>
        <w:t>
      уничтожение неиспользованных исследуемых препаратов на клинической базе осуществляют по согласованию со спонсором;</w:t>
      </w:r>
    </w:p>
    <w:bookmarkEnd w:id="1541"/>
    <w:bookmarkStart w:name="z1563" w:id="1542"/>
    <w:p>
      <w:pPr>
        <w:spacing w:after="0"/>
        <w:ind w:left="0"/>
        <w:jc w:val="both"/>
      </w:pPr>
      <w:r>
        <w:rPr>
          <w:rFonts w:ascii="Times New Roman"/>
          <w:b w:val="false"/>
          <w:i w:val="false"/>
          <w:color w:val="000000"/>
          <w:sz w:val="28"/>
        </w:rPr>
        <w:t>
      4) проверяет соблюдение исследователем утвержденного протокола с внесенными изменениями, если таковые имеются;</w:t>
      </w:r>
    </w:p>
    <w:bookmarkEnd w:id="1542"/>
    <w:bookmarkStart w:name="z1564" w:id="1543"/>
    <w:p>
      <w:pPr>
        <w:spacing w:after="0"/>
        <w:ind w:left="0"/>
        <w:jc w:val="both"/>
      </w:pPr>
      <w:r>
        <w:rPr>
          <w:rFonts w:ascii="Times New Roman"/>
          <w:b w:val="false"/>
          <w:i w:val="false"/>
          <w:color w:val="000000"/>
          <w:sz w:val="28"/>
        </w:rPr>
        <w:t>
      5) проверяет, чтобы письменное информированное согласие каждого субъекта исследования было получено до начала участия в исследовании;</w:t>
      </w:r>
    </w:p>
    <w:bookmarkEnd w:id="1543"/>
    <w:bookmarkStart w:name="z1565" w:id="1544"/>
    <w:p>
      <w:pPr>
        <w:spacing w:after="0"/>
        <w:ind w:left="0"/>
        <w:jc w:val="both"/>
      </w:pPr>
      <w:r>
        <w:rPr>
          <w:rFonts w:ascii="Times New Roman"/>
          <w:b w:val="false"/>
          <w:i w:val="false"/>
          <w:color w:val="000000"/>
          <w:sz w:val="28"/>
        </w:rPr>
        <w:t>
      6) обеспечивает наличие у исследователя текущей редакции БИ, документов и материалов, необходимых для проведения исследования надлежащим образом;</w:t>
      </w:r>
    </w:p>
    <w:bookmarkEnd w:id="1544"/>
    <w:bookmarkStart w:name="z1566" w:id="1545"/>
    <w:p>
      <w:pPr>
        <w:spacing w:after="0"/>
        <w:ind w:left="0"/>
        <w:jc w:val="both"/>
      </w:pPr>
      <w:r>
        <w:rPr>
          <w:rFonts w:ascii="Times New Roman"/>
          <w:b w:val="false"/>
          <w:i w:val="false"/>
          <w:color w:val="000000"/>
          <w:sz w:val="28"/>
        </w:rPr>
        <w:t>
      7) обеспечивает достаточную информированность об исследовании исследователя и его сотрудников, занятых в исследовании;</w:t>
      </w:r>
    </w:p>
    <w:bookmarkEnd w:id="1545"/>
    <w:bookmarkStart w:name="z1567" w:id="1546"/>
    <w:p>
      <w:pPr>
        <w:spacing w:after="0"/>
        <w:ind w:left="0"/>
        <w:jc w:val="both"/>
      </w:pPr>
      <w:r>
        <w:rPr>
          <w:rFonts w:ascii="Times New Roman"/>
          <w:b w:val="false"/>
          <w:i w:val="false"/>
          <w:color w:val="000000"/>
          <w:sz w:val="28"/>
        </w:rPr>
        <w:t>
      8) проверяет, что исследователь и его сотрудники, занятые в исследовании, выполняют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(медицинской организацией) и не передают выполнение своих функций неуполномоченным лицам;</w:t>
      </w:r>
    </w:p>
    <w:bookmarkEnd w:id="1546"/>
    <w:bookmarkStart w:name="z1568" w:id="1547"/>
    <w:p>
      <w:pPr>
        <w:spacing w:after="0"/>
        <w:ind w:left="0"/>
        <w:jc w:val="both"/>
      </w:pPr>
      <w:r>
        <w:rPr>
          <w:rFonts w:ascii="Times New Roman"/>
          <w:b w:val="false"/>
          <w:i w:val="false"/>
          <w:color w:val="000000"/>
          <w:sz w:val="28"/>
        </w:rPr>
        <w:t>
      9) проверяет соблюдение исследователем критериев отбора при включении субъектов исследования;</w:t>
      </w:r>
    </w:p>
    <w:bookmarkEnd w:id="1547"/>
    <w:bookmarkStart w:name="z1569" w:id="1548"/>
    <w:p>
      <w:pPr>
        <w:spacing w:after="0"/>
        <w:ind w:left="0"/>
        <w:jc w:val="both"/>
      </w:pPr>
      <w:r>
        <w:rPr>
          <w:rFonts w:ascii="Times New Roman"/>
          <w:b w:val="false"/>
          <w:i w:val="false"/>
          <w:color w:val="000000"/>
          <w:sz w:val="28"/>
        </w:rPr>
        <w:t>
      10) сообщает спонсору о скорости набора субъектов в исследование;</w:t>
      </w:r>
    </w:p>
    <w:bookmarkEnd w:id="1548"/>
    <w:bookmarkStart w:name="z1570" w:id="1549"/>
    <w:p>
      <w:pPr>
        <w:spacing w:after="0"/>
        <w:ind w:left="0"/>
        <w:jc w:val="both"/>
      </w:pPr>
      <w:r>
        <w:rPr>
          <w:rFonts w:ascii="Times New Roman"/>
          <w:b w:val="false"/>
          <w:i w:val="false"/>
          <w:color w:val="000000"/>
          <w:sz w:val="28"/>
        </w:rPr>
        <w:t>
      11) проверяет правильность, полноту и своевременность регистрации данных в первичных и других, относящихся к исследованию документах, а также порядок их ведения;</w:t>
      </w:r>
    </w:p>
    <w:bookmarkEnd w:id="1549"/>
    <w:bookmarkStart w:name="z1571" w:id="1550"/>
    <w:p>
      <w:pPr>
        <w:spacing w:after="0"/>
        <w:ind w:left="0"/>
        <w:jc w:val="both"/>
      </w:pPr>
      <w:r>
        <w:rPr>
          <w:rFonts w:ascii="Times New Roman"/>
          <w:b w:val="false"/>
          <w:i w:val="false"/>
          <w:color w:val="000000"/>
          <w:sz w:val="28"/>
        </w:rPr>
        <w:t>
      12) проверяет предоставление исследователем требуемых отчетов, уведомлений, запросов и подобных документов, на предмет их правильности, полноты, своевременности, разборчивости, датирования и определения исследования;</w:t>
      </w:r>
    </w:p>
    <w:bookmarkEnd w:id="1550"/>
    <w:bookmarkStart w:name="z1572" w:id="1551"/>
    <w:p>
      <w:pPr>
        <w:spacing w:after="0"/>
        <w:ind w:left="0"/>
        <w:jc w:val="both"/>
      </w:pPr>
      <w:r>
        <w:rPr>
          <w:rFonts w:ascii="Times New Roman"/>
          <w:b w:val="false"/>
          <w:i w:val="false"/>
          <w:color w:val="000000"/>
          <w:sz w:val="28"/>
        </w:rPr>
        <w:t>
      13) 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проверяет следующее:</w:t>
      </w:r>
    </w:p>
    <w:bookmarkEnd w:id="1551"/>
    <w:bookmarkStart w:name="z1573" w:id="1552"/>
    <w:p>
      <w:pPr>
        <w:spacing w:after="0"/>
        <w:ind w:left="0"/>
        <w:jc w:val="both"/>
      </w:pPr>
      <w:r>
        <w:rPr>
          <w:rFonts w:ascii="Times New Roman"/>
          <w:b w:val="false"/>
          <w:i w:val="false"/>
          <w:color w:val="000000"/>
          <w:sz w:val="28"/>
        </w:rPr>
        <w:t>
      правильность внесения требуемых протоколом данных в ИРК и их соответствие данным в первичной документации;</w:t>
      </w:r>
    </w:p>
    <w:bookmarkEnd w:id="1552"/>
    <w:bookmarkStart w:name="z1574" w:id="1553"/>
    <w:p>
      <w:pPr>
        <w:spacing w:after="0"/>
        <w:ind w:left="0"/>
        <w:jc w:val="both"/>
      </w:pPr>
      <w:r>
        <w:rPr>
          <w:rFonts w:ascii="Times New Roman"/>
          <w:b w:val="false"/>
          <w:i w:val="false"/>
          <w:color w:val="000000"/>
          <w:sz w:val="28"/>
        </w:rPr>
        <w:t>
      любые изменения дозы и (или) терапии документально оформляются для каждого субъекта исследования;</w:t>
      </w:r>
    </w:p>
    <w:bookmarkEnd w:id="1553"/>
    <w:bookmarkStart w:name="z1575" w:id="1554"/>
    <w:p>
      <w:pPr>
        <w:spacing w:after="0"/>
        <w:ind w:left="0"/>
        <w:jc w:val="both"/>
      </w:pPr>
      <w:r>
        <w:rPr>
          <w:rFonts w:ascii="Times New Roman"/>
          <w:b w:val="false"/>
          <w:i w:val="false"/>
          <w:color w:val="000000"/>
          <w:sz w:val="28"/>
        </w:rPr>
        <w:t>
      нежелательные явления, сопутствующее лечение и интеркуррентные заболевания регистрируются в ИРК в соответствии с протоколом;</w:t>
      </w:r>
    </w:p>
    <w:bookmarkEnd w:id="1554"/>
    <w:bookmarkStart w:name="z1576" w:id="1555"/>
    <w:p>
      <w:pPr>
        <w:spacing w:after="0"/>
        <w:ind w:left="0"/>
        <w:jc w:val="both"/>
      </w:pPr>
      <w:r>
        <w:rPr>
          <w:rFonts w:ascii="Times New Roman"/>
          <w:b w:val="false"/>
          <w:i w:val="false"/>
          <w:color w:val="000000"/>
          <w:sz w:val="28"/>
        </w:rPr>
        <w:t>
      пропущенные субъектом визиты, не проведенные анализы и не выполненные обследования, ясно отражены в ИРК как таковые;</w:t>
      </w:r>
    </w:p>
    <w:bookmarkEnd w:id="1555"/>
    <w:bookmarkStart w:name="z1577" w:id="1556"/>
    <w:p>
      <w:pPr>
        <w:spacing w:after="0"/>
        <w:ind w:left="0"/>
        <w:jc w:val="both"/>
      </w:pPr>
      <w:r>
        <w:rPr>
          <w:rFonts w:ascii="Times New Roman"/>
          <w:b w:val="false"/>
          <w:i w:val="false"/>
          <w:color w:val="000000"/>
          <w:sz w:val="28"/>
        </w:rPr>
        <w:t>
      случаи исключения и выбывания субъектов из исследования зарегистрированы и объяснены в ИРК;</w:t>
      </w:r>
    </w:p>
    <w:bookmarkEnd w:id="1556"/>
    <w:bookmarkStart w:name="z1578" w:id="1557"/>
    <w:p>
      <w:pPr>
        <w:spacing w:after="0"/>
        <w:ind w:left="0"/>
        <w:jc w:val="both"/>
      </w:pPr>
      <w:r>
        <w:rPr>
          <w:rFonts w:ascii="Times New Roman"/>
          <w:b w:val="false"/>
          <w:i w:val="false"/>
          <w:color w:val="000000"/>
          <w:sz w:val="28"/>
        </w:rPr>
        <w:t>
      14) сообщает исследователю о любых допущенных в ИРК ошибках, пропусках и неразборчивых записях. Монитор следит за тем, чтобы соответствующие исправления, добавления или вычеркивания были сделаны, датированы, объяснены и подписаны самим исследователем либо членом исследовательского коллектива, уполномоченным на подписание изменений в ИРК за исследователя. Данные полномочия закрепляются документально;</w:t>
      </w:r>
    </w:p>
    <w:bookmarkEnd w:id="1557"/>
    <w:bookmarkStart w:name="z1579" w:id="1558"/>
    <w:p>
      <w:pPr>
        <w:spacing w:after="0"/>
        <w:ind w:left="0"/>
        <w:jc w:val="both"/>
      </w:pPr>
      <w:r>
        <w:rPr>
          <w:rFonts w:ascii="Times New Roman"/>
          <w:b w:val="false"/>
          <w:i w:val="false"/>
          <w:color w:val="000000"/>
          <w:sz w:val="28"/>
        </w:rPr>
        <w:t>
      15) проверяет соблюдение сроков сообщения о нежелательных явлениях, определенных настоящим Стандартом, протоколом, Комиссией по вопросам этики, спонсором;</w:t>
      </w:r>
    </w:p>
    <w:bookmarkEnd w:id="1558"/>
    <w:bookmarkStart w:name="z1580" w:id="1559"/>
    <w:p>
      <w:pPr>
        <w:spacing w:after="0"/>
        <w:ind w:left="0"/>
        <w:jc w:val="both"/>
      </w:pPr>
      <w:r>
        <w:rPr>
          <w:rFonts w:ascii="Times New Roman"/>
          <w:b w:val="false"/>
          <w:i w:val="false"/>
          <w:color w:val="000000"/>
          <w:sz w:val="28"/>
        </w:rPr>
        <w:t>
      16) проверяет ведение исследователем основных документов;</w:t>
      </w:r>
    </w:p>
    <w:bookmarkEnd w:id="1559"/>
    <w:bookmarkStart w:name="z1581" w:id="1560"/>
    <w:p>
      <w:pPr>
        <w:spacing w:after="0"/>
        <w:ind w:left="0"/>
        <w:jc w:val="both"/>
      </w:pPr>
      <w:r>
        <w:rPr>
          <w:rFonts w:ascii="Times New Roman"/>
          <w:b w:val="false"/>
          <w:i w:val="false"/>
          <w:color w:val="000000"/>
          <w:sz w:val="28"/>
        </w:rPr>
        <w:t>
      17) сообщает исследователю об отклонениях от протокола, стандартных операционных процедур, настоящего Стандарта, а также предпринимает необходимые действия с целью предотвратить повторение подобных отклонений.</w:t>
      </w:r>
    </w:p>
    <w:bookmarkEnd w:id="1560"/>
    <w:bookmarkStart w:name="z1582" w:id="1561"/>
    <w:p>
      <w:pPr>
        <w:spacing w:after="0"/>
        <w:ind w:left="0"/>
        <w:jc w:val="both"/>
      </w:pPr>
      <w:r>
        <w:rPr>
          <w:rFonts w:ascii="Times New Roman"/>
          <w:b w:val="false"/>
          <w:i w:val="false"/>
          <w:color w:val="000000"/>
          <w:sz w:val="28"/>
        </w:rPr>
        <w:t>
      150. Монитор соблюдает письменные стандартные операционные процедуры спонсора, а также процедуры, специально определенные спонсором для мониторинга конкретного исследования.</w:t>
      </w:r>
    </w:p>
    <w:bookmarkEnd w:id="1561"/>
    <w:bookmarkStart w:name="z1583" w:id="1562"/>
    <w:p>
      <w:pPr>
        <w:spacing w:after="0"/>
        <w:ind w:left="0"/>
        <w:jc w:val="both"/>
      </w:pPr>
      <w:r>
        <w:rPr>
          <w:rFonts w:ascii="Times New Roman"/>
          <w:b w:val="false"/>
          <w:i w:val="false"/>
          <w:color w:val="000000"/>
          <w:sz w:val="28"/>
        </w:rPr>
        <w:t>
      151. Отчет монитора:</w:t>
      </w:r>
    </w:p>
    <w:bookmarkEnd w:id="1562"/>
    <w:bookmarkStart w:name="z1584" w:id="1563"/>
    <w:p>
      <w:pPr>
        <w:spacing w:after="0"/>
        <w:ind w:left="0"/>
        <w:jc w:val="both"/>
      </w:pPr>
      <w:r>
        <w:rPr>
          <w:rFonts w:ascii="Times New Roman"/>
          <w:b w:val="false"/>
          <w:i w:val="false"/>
          <w:color w:val="000000"/>
          <w:sz w:val="28"/>
        </w:rPr>
        <w:t>
      1) после каждого визита клинической базы или связанного с исследованием контакта, монитор представляет спонсору письменный отчет;</w:t>
      </w:r>
    </w:p>
    <w:bookmarkEnd w:id="1563"/>
    <w:bookmarkStart w:name="z1585" w:id="1564"/>
    <w:p>
      <w:pPr>
        <w:spacing w:after="0"/>
        <w:ind w:left="0"/>
        <w:jc w:val="both"/>
      </w:pPr>
      <w:r>
        <w:rPr>
          <w:rFonts w:ascii="Times New Roman"/>
          <w:b w:val="false"/>
          <w:i w:val="false"/>
          <w:color w:val="000000"/>
          <w:sz w:val="28"/>
        </w:rPr>
        <w:t>
      2) отчеты включают дату, наименование клинической базы, имя монитора, имя исследователя или иного лица, с которым состоялся контакт;</w:t>
      </w:r>
    </w:p>
    <w:bookmarkEnd w:id="1564"/>
    <w:bookmarkStart w:name="z1586" w:id="1565"/>
    <w:p>
      <w:pPr>
        <w:spacing w:after="0"/>
        <w:ind w:left="0"/>
        <w:jc w:val="both"/>
      </w:pPr>
      <w:r>
        <w:rPr>
          <w:rFonts w:ascii="Times New Roman"/>
          <w:b w:val="false"/>
          <w:i w:val="false"/>
          <w:color w:val="000000"/>
          <w:sz w:val="28"/>
        </w:rPr>
        <w:t>
      3) отчеты содержат краткое описание объектов проверки, сообщение монитора о значимых данных или фактах, отклонениях и недостатках, выводы, описание действий, предпринятых либо планируемых и (или) рекомендуемых для обеспечения соблюдения требований протокола и настоящего Стандарта;</w:t>
      </w:r>
    </w:p>
    <w:bookmarkEnd w:id="1565"/>
    <w:bookmarkStart w:name="z1587" w:id="1566"/>
    <w:p>
      <w:pPr>
        <w:spacing w:after="0"/>
        <w:ind w:left="0"/>
        <w:jc w:val="both"/>
      </w:pPr>
      <w:r>
        <w:rPr>
          <w:rFonts w:ascii="Times New Roman"/>
          <w:b w:val="false"/>
          <w:i w:val="false"/>
          <w:color w:val="000000"/>
          <w:sz w:val="28"/>
        </w:rPr>
        <w:t>
      4) проверка спонсором отчета монитора и последующие действия по нему документально оформляются уполномоченным представителем спонсора.</w:t>
      </w:r>
    </w:p>
    <w:bookmarkEnd w:id="1566"/>
    <w:bookmarkStart w:name="z1588" w:id="1567"/>
    <w:p>
      <w:pPr>
        <w:spacing w:after="0"/>
        <w:ind w:left="0"/>
        <w:jc w:val="left"/>
      </w:pPr>
      <w:r>
        <w:rPr>
          <w:rFonts w:ascii="Times New Roman"/>
          <w:b/>
          <w:i w:val="false"/>
          <w:color w:val="000000"/>
        </w:rPr>
        <w:t xml:space="preserve"> Параграф 18. Аудит</w:t>
      </w:r>
    </w:p>
    <w:bookmarkEnd w:id="1567"/>
    <w:bookmarkStart w:name="z1589" w:id="1568"/>
    <w:p>
      <w:pPr>
        <w:spacing w:after="0"/>
        <w:ind w:left="0"/>
        <w:jc w:val="both"/>
      </w:pPr>
      <w:r>
        <w:rPr>
          <w:rFonts w:ascii="Times New Roman"/>
          <w:b w:val="false"/>
          <w:i w:val="false"/>
          <w:color w:val="000000"/>
          <w:sz w:val="28"/>
        </w:rPr>
        <w:t>
      152. Целью спонсорского аудита, проводимого отдельно и независимо от установленных функций по мониторингу и контролю качества, является оценка соответствия проводимого исследования протоколу, стандартным операционным процедурам, настоящему Стандарту.</w:t>
      </w:r>
    </w:p>
    <w:bookmarkEnd w:id="1568"/>
    <w:bookmarkStart w:name="z1590" w:id="1569"/>
    <w:p>
      <w:pPr>
        <w:spacing w:after="0"/>
        <w:ind w:left="0"/>
        <w:jc w:val="both"/>
      </w:pPr>
      <w:r>
        <w:rPr>
          <w:rFonts w:ascii="Times New Roman"/>
          <w:b w:val="false"/>
          <w:i w:val="false"/>
          <w:color w:val="000000"/>
          <w:sz w:val="28"/>
        </w:rPr>
        <w:t>
      153. Выбор и квалификация аудиторов:</w:t>
      </w:r>
    </w:p>
    <w:bookmarkEnd w:id="1569"/>
    <w:bookmarkStart w:name="z1591" w:id="1570"/>
    <w:p>
      <w:pPr>
        <w:spacing w:after="0"/>
        <w:ind w:left="0"/>
        <w:jc w:val="both"/>
      </w:pPr>
      <w:r>
        <w:rPr>
          <w:rFonts w:ascii="Times New Roman"/>
          <w:b w:val="false"/>
          <w:i w:val="false"/>
          <w:color w:val="000000"/>
          <w:sz w:val="28"/>
        </w:rPr>
        <w:t>
      1) для проведения аудита спонсор назначает лиц, независимых от клинических исследований.</w:t>
      </w:r>
    </w:p>
    <w:bookmarkEnd w:id="1570"/>
    <w:bookmarkStart w:name="z1592" w:id="1571"/>
    <w:p>
      <w:pPr>
        <w:spacing w:after="0"/>
        <w:ind w:left="0"/>
        <w:jc w:val="both"/>
      </w:pPr>
      <w:r>
        <w:rPr>
          <w:rFonts w:ascii="Times New Roman"/>
          <w:b w:val="false"/>
          <w:i w:val="false"/>
          <w:color w:val="000000"/>
          <w:sz w:val="28"/>
        </w:rPr>
        <w:t>
      2) спонсор удостоверяется в том, что аудиторы обладают достаточной квалификацией, подготовкой и опытом, для проведения аудита надлежащим образом. Квалификация аудитора подтверждается документально.</w:t>
      </w:r>
    </w:p>
    <w:bookmarkEnd w:id="1571"/>
    <w:bookmarkStart w:name="z1593" w:id="1572"/>
    <w:p>
      <w:pPr>
        <w:spacing w:after="0"/>
        <w:ind w:left="0"/>
        <w:jc w:val="both"/>
      </w:pPr>
      <w:r>
        <w:rPr>
          <w:rFonts w:ascii="Times New Roman"/>
          <w:b w:val="false"/>
          <w:i w:val="false"/>
          <w:color w:val="000000"/>
          <w:sz w:val="28"/>
        </w:rPr>
        <w:t>
      154. Процедуры аудита:</w:t>
      </w:r>
    </w:p>
    <w:bookmarkEnd w:id="1572"/>
    <w:bookmarkStart w:name="z1594" w:id="1573"/>
    <w:p>
      <w:pPr>
        <w:spacing w:after="0"/>
        <w:ind w:left="0"/>
        <w:jc w:val="both"/>
      </w:pPr>
      <w:r>
        <w:rPr>
          <w:rFonts w:ascii="Times New Roman"/>
          <w:b w:val="false"/>
          <w:i w:val="false"/>
          <w:color w:val="000000"/>
          <w:sz w:val="28"/>
        </w:rPr>
        <w:t>
      1) спонсор проверяет, что аудит клинических исследований или программ проводится в соответствии с письменными процедурами спонсора, определяющими объект аудита, методы проведения аудита, частоту аудитов, а также форму и содержание отчетов об аудите;</w:t>
      </w:r>
    </w:p>
    <w:bookmarkEnd w:id="1573"/>
    <w:bookmarkStart w:name="z1595" w:id="1574"/>
    <w:p>
      <w:pPr>
        <w:spacing w:after="0"/>
        <w:ind w:left="0"/>
        <w:jc w:val="both"/>
      </w:pPr>
      <w:r>
        <w:rPr>
          <w:rFonts w:ascii="Times New Roman"/>
          <w:b w:val="false"/>
          <w:i w:val="false"/>
          <w:color w:val="000000"/>
          <w:sz w:val="28"/>
        </w:rPr>
        <w:t>
      2) разработанный спонсором план аудита и процедуры аудита исследования определяются значимостью данного исследования для подачи заявок в уполномоченный орган, количеством субъектов, участвующих в исследовании, типом и сложностью исследования, степенью риска для субъектов исследования, а также принимаются во внимание любые выявленные проблемы;</w:t>
      </w:r>
    </w:p>
    <w:bookmarkEnd w:id="1574"/>
    <w:bookmarkStart w:name="z1596" w:id="1575"/>
    <w:p>
      <w:pPr>
        <w:spacing w:after="0"/>
        <w:ind w:left="0"/>
        <w:jc w:val="both"/>
      </w:pPr>
      <w:r>
        <w:rPr>
          <w:rFonts w:ascii="Times New Roman"/>
          <w:b w:val="false"/>
          <w:i w:val="false"/>
          <w:color w:val="000000"/>
          <w:sz w:val="28"/>
        </w:rPr>
        <w:t>
      3) замечания и выводы аудита оформляются документально;</w:t>
      </w:r>
    </w:p>
    <w:bookmarkEnd w:id="1575"/>
    <w:bookmarkStart w:name="z1597" w:id="1576"/>
    <w:p>
      <w:pPr>
        <w:spacing w:after="0"/>
        <w:ind w:left="0"/>
        <w:jc w:val="both"/>
      </w:pPr>
      <w:r>
        <w:rPr>
          <w:rFonts w:ascii="Times New Roman"/>
          <w:b w:val="false"/>
          <w:i w:val="false"/>
          <w:color w:val="000000"/>
          <w:sz w:val="28"/>
        </w:rPr>
        <w:t>
      4) если имеются свидетельства серьезного несоответствия настоящему Стандарту, или в случае судебных разбирательств, спонсор по требованию уполномоченного органа представляет свидетельство о проведенном аудите.</w:t>
      </w:r>
    </w:p>
    <w:bookmarkEnd w:id="1576"/>
    <w:bookmarkStart w:name="z1598" w:id="1577"/>
    <w:p>
      <w:pPr>
        <w:spacing w:after="0"/>
        <w:ind w:left="0"/>
        <w:jc w:val="left"/>
      </w:pPr>
      <w:r>
        <w:rPr>
          <w:rFonts w:ascii="Times New Roman"/>
          <w:b/>
          <w:i w:val="false"/>
          <w:color w:val="000000"/>
        </w:rPr>
        <w:t xml:space="preserve"> Параграф 19. Несоблюдение применимых требований</w:t>
      </w:r>
    </w:p>
    <w:bookmarkEnd w:id="1577"/>
    <w:bookmarkStart w:name="z1599" w:id="1578"/>
    <w:p>
      <w:pPr>
        <w:spacing w:after="0"/>
        <w:ind w:left="0"/>
        <w:jc w:val="both"/>
      </w:pPr>
      <w:r>
        <w:rPr>
          <w:rFonts w:ascii="Times New Roman"/>
          <w:b w:val="false"/>
          <w:i w:val="false"/>
          <w:color w:val="000000"/>
          <w:sz w:val="28"/>
        </w:rPr>
        <w:t>
      155. Несоблюдение протокола, стандартных операционных процедур, настоящего Стандарта исследователем или медицинской организацией, или сотрудником спонсора ведет к безотлагательным действиям спонсора, направленным на обеспечение их соблюдения.</w:t>
      </w:r>
    </w:p>
    <w:bookmarkEnd w:id="1578"/>
    <w:bookmarkStart w:name="z1600" w:id="1579"/>
    <w:p>
      <w:pPr>
        <w:spacing w:after="0"/>
        <w:ind w:left="0"/>
        <w:jc w:val="both"/>
      </w:pPr>
      <w:r>
        <w:rPr>
          <w:rFonts w:ascii="Times New Roman"/>
          <w:b w:val="false"/>
          <w:i w:val="false"/>
          <w:color w:val="000000"/>
          <w:sz w:val="28"/>
        </w:rPr>
        <w:t>
      156. При обнаружении в ходе мониторинга или аудита серьезных и (или) повторяющихся случаев несоблюдения применимых требований со стороны исследователя или медицинской организации спонсор прекращает участие исследователя или медицинской организации в исследовании. Если участие исследователя или медицинской организации прекращено в результате серьезных и (или) повторяющихся случаев несоблюдения применимых требований, спонсор безотлагательно уведомляет об этом экспертную организацию.</w:t>
      </w:r>
    </w:p>
    <w:bookmarkEnd w:id="1579"/>
    <w:bookmarkStart w:name="z1601" w:id="1580"/>
    <w:p>
      <w:pPr>
        <w:spacing w:after="0"/>
        <w:ind w:left="0"/>
        <w:jc w:val="both"/>
      </w:pPr>
      <w:r>
        <w:rPr>
          <w:rFonts w:ascii="Times New Roman"/>
          <w:b w:val="false"/>
          <w:i w:val="false"/>
          <w:color w:val="000000"/>
          <w:sz w:val="28"/>
        </w:rPr>
        <w:t>
      157. Если исследование досрочно прекращено или приостановлено, спонсор незамедлительно сообщает исследователям или медицинской организации и уполномоченному органу о прекращении или приостановке, а также указывает причины прекращения или приостановки. Комиссия по вопросам этики также немедленно информируется спонсором или исследователем, или медицинской организацией, в том числе и о причинах прекращения или приостановки исследования.</w:t>
      </w:r>
    </w:p>
    <w:bookmarkEnd w:id="1580"/>
    <w:bookmarkStart w:name="z1602" w:id="1581"/>
    <w:p>
      <w:pPr>
        <w:spacing w:after="0"/>
        <w:ind w:left="0"/>
        <w:jc w:val="both"/>
      </w:pPr>
      <w:r>
        <w:rPr>
          <w:rFonts w:ascii="Times New Roman"/>
          <w:b w:val="false"/>
          <w:i w:val="false"/>
          <w:color w:val="000000"/>
          <w:sz w:val="28"/>
        </w:rPr>
        <w:t>
      158. Независимо от того, завершено исследование по протоколу или прекращено досрочно, спонсор обеспечивает составление и представление в экспертную организацию отчетов о клиническом исследовании - полных: в соответствии с приложением 2 "Структура и содержание отчета о клиническом исследовании" к настоящему Стандарту или сокращенных: в соответствии с руководством Международной конференции по гармонизации (ICH) "Структура и содержание отчетов о клиническом исследовании".</w:t>
      </w:r>
    </w:p>
    <w:bookmarkEnd w:id="1581"/>
    <w:bookmarkStart w:name="z1603" w:id="1582"/>
    <w:p>
      <w:pPr>
        <w:spacing w:after="0"/>
        <w:ind w:left="0"/>
        <w:jc w:val="both"/>
      </w:pPr>
      <w:r>
        <w:rPr>
          <w:rFonts w:ascii="Times New Roman"/>
          <w:b w:val="false"/>
          <w:i w:val="false"/>
          <w:color w:val="000000"/>
          <w:sz w:val="28"/>
        </w:rPr>
        <w:t>
      159. При многоцентровых исследованиях спонсор обеспечивает следующее:</w:t>
      </w:r>
    </w:p>
    <w:bookmarkEnd w:id="1582"/>
    <w:bookmarkStart w:name="z1604" w:id="1583"/>
    <w:p>
      <w:pPr>
        <w:spacing w:after="0"/>
        <w:ind w:left="0"/>
        <w:jc w:val="both"/>
      </w:pPr>
      <w:r>
        <w:rPr>
          <w:rFonts w:ascii="Times New Roman"/>
          <w:b w:val="false"/>
          <w:i w:val="false"/>
          <w:color w:val="000000"/>
          <w:sz w:val="28"/>
        </w:rPr>
        <w:t>
      1) исследователи проводят исследование в строгом соответствии с протоколом, согласованным со спонсором и, с уполномоченным органом и разрешенным (одобренным) Комиссией по вопросам этики.</w:t>
      </w:r>
    </w:p>
    <w:bookmarkEnd w:id="1583"/>
    <w:bookmarkStart w:name="z1605" w:id="1584"/>
    <w:p>
      <w:pPr>
        <w:spacing w:after="0"/>
        <w:ind w:left="0"/>
        <w:jc w:val="both"/>
      </w:pPr>
      <w:r>
        <w:rPr>
          <w:rFonts w:ascii="Times New Roman"/>
          <w:b w:val="false"/>
          <w:i w:val="false"/>
          <w:color w:val="000000"/>
          <w:sz w:val="28"/>
        </w:rPr>
        <w:t>
      2) ИРК разрабатываются для сбора требуемых данных из центров, участвующих в многоцентровом исследовании. Исследователям, которые собирают дополнительные данные, предоставляются дополнительные ИРК, разработанные для сбора дополнительных данных.</w:t>
      </w:r>
    </w:p>
    <w:bookmarkEnd w:id="1584"/>
    <w:bookmarkStart w:name="z1606" w:id="1585"/>
    <w:p>
      <w:pPr>
        <w:spacing w:after="0"/>
        <w:ind w:left="0"/>
        <w:jc w:val="both"/>
      </w:pPr>
      <w:r>
        <w:rPr>
          <w:rFonts w:ascii="Times New Roman"/>
          <w:b w:val="false"/>
          <w:i w:val="false"/>
          <w:color w:val="000000"/>
          <w:sz w:val="28"/>
        </w:rPr>
        <w:t>
      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p>
    <w:bookmarkEnd w:id="1585"/>
    <w:bookmarkStart w:name="z1607" w:id="1586"/>
    <w:p>
      <w:pPr>
        <w:spacing w:after="0"/>
        <w:ind w:left="0"/>
        <w:jc w:val="both"/>
      </w:pPr>
      <w:r>
        <w:rPr>
          <w:rFonts w:ascii="Times New Roman"/>
          <w:b w:val="false"/>
          <w:i w:val="false"/>
          <w:color w:val="000000"/>
          <w:sz w:val="28"/>
        </w:rPr>
        <w:t>
      4) всем исследователям предоставляются инструкции по соблюдению протокола, единых стандартов оценки клинических и лабораторных данных, а также по заполнению ИРК.</w:t>
      </w:r>
    </w:p>
    <w:bookmarkEnd w:id="1586"/>
    <w:bookmarkStart w:name="z1608" w:id="1587"/>
    <w:p>
      <w:pPr>
        <w:spacing w:after="0"/>
        <w:ind w:left="0"/>
        <w:jc w:val="both"/>
      </w:pPr>
      <w:r>
        <w:rPr>
          <w:rFonts w:ascii="Times New Roman"/>
          <w:b w:val="false"/>
          <w:i w:val="false"/>
          <w:color w:val="000000"/>
          <w:sz w:val="28"/>
        </w:rPr>
        <w:t>
      5) обеспечивается связь между исследователями.</w:t>
      </w:r>
    </w:p>
    <w:bookmarkEnd w:id="1587"/>
    <w:bookmarkStart w:name="z1609" w:id="1588"/>
    <w:p>
      <w:pPr>
        <w:spacing w:after="0"/>
        <w:ind w:left="0"/>
        <w:jc w:val="left"/>
      </w:pPr>
      <w:r>
        <w:rPr>
          <w:rFonts w:ascii="Times New Roman"/>
          <w:b/>
          <w:i w:val="false"/>
          <w:color w:val="000000"/>
        </w:rPr>
        <w:t xml:space="preserve"> Глава 6. Протокол клинического исследования и поправки к протоколу</w:t>
      </w:r>
    </w:p>
    <w:bookmarkEnd w:id="1588"/>
    <w:bookmarkStart w:name="z1610" w:id="1589"/>
    <w:p>
      <w:pPr>
        <w:spacing w:after="0"/>
        <w:ind w:left="0"/>
        <w:jc w:val="left"/>
      </w:pPr>
      <w:r>
        <w:rPr>
          <w:rFonts w:ascii="Times New Roman"/>
          <w:b/>
          <w:i w:val="false"/>
          <w:color w:val="000000"/>
        </w:rPr>
        <w:t xml:space="preserve"> Параграф 1. Структура протокола исследования</w:t>
      </w:r>
    </w:p>
    <w:bookmarkEnd w:id="1589"/>
    <w:bookmarkStart w:name="z1611" w:id="1590"/>
    <w:p>
      <w:pPr>
        <w:spacing w:after="0"/>
        <w:ind w:left="0"/>
        <w:jc w:val="both"/>
      </w:pPr>
      <w:r>
        <w:rPr>
          <w:rFonts w:ascii="Times New Roman"/>
          <w:b w:val="false"/>
          <w:i w:val="false"/>
          <w:color w:val="000000"/>
          <w:sz w:val="28"/>
        </w:rPr>
        <w:t>
      160. Содержание протокола исследования имеет указанную ниже структуру. Информация, имеющая отношение только к одному исследовательскому центру (медицинской организации), представляется на отдельных страницах протокола или содержится в отдельном соглашении, а часть приведенной ниже информации содержится в других документах, ссылки на которые имеются в протоколе (в БИ).</w:t>
      </w:r>
    </w:p>
    <w:bookmarkEnd w:id="1590"/>
    <w:bookmarkStart w:name="z1612" w:id="1591"/>
    <w:p>
      <w:pPr>
        <w:spacing w:after="0"/>
        <w:ind w:left="0"/>
        <w:jc w:val="both"/>
      </w:pPr>
      <w:r>
        <w:rPr>
          <w:rFonts w:ascii="Times New Roman"/>
          <w:b w:val="false"/>
          <w:i w:val="false"/>
          <w:color w:val="000000"/>
          <w:sz w:val="28"/>
        </w:rPr>
        <w:t>
      161. Общая информация:</w:t>
      </w:r>
    </w:p>
    <w:bookmarkEnd w:id="1591"/>
    <w:bookmarkStart w:name="z1613" w:id="1592"/>
    <w:p>
      <w:pPr>
        <w:spacing w:after="0"/>
        <w:ind w:left="0"/>
        <w:jc w:val="both"/>
      </w:pPr>
      <w:r>
        <w:rPr>
          <w:rFonts w:ascii="Times New Roman"/>
          <w:b w:val="false"/>
          <w:i w:val="false"/>
          <w:color w:val="000000"/>
          <w:sz w:val="28"/>
        </w:rPr>
        <w:t>
      1) название протокола, идентификационный номер протокола и дата издания. Любая поправка имеет номер поправки и дату;</w:t>
      </w:r>
    </w:p>
    <w:bookmarkEnd w:id="1592"/>
    <w:bookmarkStart w:name="z1614" w:id="1593"/>
    <w:p>
      <w:pPr>
        <w:spacing w:after="0"/>
        <w:ind w:left="0"/>
        <w:jc w:val="both"/>
      </w:pPr>
      <w:r>
        <w:rPr>
          <w:rFonts w:ascii="Times New Roman"/>
          <w:b w:val="false"/>
          <w:i w:val="false"/>
          <w:color w:val="000000"/>
          <w:sz w:val="28"/>
        </w:rPr>
        <w:t>
      2) наименование или фамилия, имя, отчество и адрес спонсора и монитора;</w:t>
      </w:r>
    </w:p>
    <w:bookmarkEnd w:id="1593"/>
    <w:bookmarkStart w:name="z1615" w:id="1594"/>
    <w:p>
      <w:pPr>
        <w:spacing w:after="0"/>
        <w:ind w:left="0"/>
        <w:jc w:val="both"/>
      </w:pPr>
      <w:r>
        <w:rPr>
          <w:rFonts w:ascii="Times New Roman"/>
          <w:b w:val="false"/>
          <w:i w:val="false"/>
          <w:color w:val="000000"/>
          <w:sz w:val="28"/>
        </w:rPr>
        <w:t>
      3) фамилия, имя, отчество, должность лиц, уполномоченных от имени спонсора подписывать протокол и поправки к протоколу;</w:t>
      </w:r>
    </w:p>
    <w:bookmarkEnd w:id="1594"/>
    <w:bookmarkStart w:name="z1616" w:id="1595"/>
    <w:p>
      <w:pPr>
        <w:spacing w:after="0"/>
        <w:ind w:left="0"/>
        <w:jc w:val="both"/>
      </w:pPr>
      <w:r>
        <w:rPr>
          <w:rFonts w:ascii="Times New Roman"/>
          <w:b w:val="false"/>
          <w:i w:val="false"/>
          <w:color w:val="000000"/>
          <w:sz w:val="28"/>
        </w:rPr>
        <w:t>
      4) фамилия, имя, отчество, должность, адрес и номер телефона, уполномоченного спонсором медицинского эксперта по данному исследованию;</w:t>
      </w:r>
    </w:p>
    <w:bookmarkEnd w:id="1595"/>
    <w:bookmarkStart w:name="z1617" w:id="1596"/>
    <w:p>
      <w:pPr>
        <w:spacing w:after="0"/>
        <w:ind w:left="0"/>
        <w:jc w:val="both"/>
      </w:pPr>
      <w:r>
        <w:rPr>
          <w:rFonts w:ascii="Times New Roman"/>
          <w:b w:val="false"/>
          <w:i w:val="false"/>
          <w:color w:val="000000"/>
          <w:sz w:val="28"/>
        </w:rPr>
        <w:t>
      5) фамилия, имя, отчество, должность исследователей, отвечающих за проведение исследования, а также адреса и номера телефонов клинических баз;</w:t>
      </w:r>
    </w:p>
    <w:bookmarkEnd w:id="1596"/>
    <w:bookmarkStart w:name="z1618" w:id="1597"/>
    <w:p>
      <w:pPr>
        <w:spacing w:after="0"/>
        <w:ind w:left="0"/>
        <w:jc w:val="both"/>
      </w:pPr>
      <w:r>
        <w:rPr>
          <w:rFonts w:ascii="Times New Roman"/>
          <w:b w:val="false"/>
          <w:i w:val="false"/>
          <w:color w:val="000000"/>
          <w:sz w:val="28"/>
        </w:rPr>
        <w:t>
      6) фамилия, имя, отчество, должность, адрес и номер телефона квалифицированного врача, отвечающего за принятие всех решений медицинского характера на определенной клинической базе, если данное лицо не является исследователем;</w:t>
      </w:r>
    </w:p>
    <w:bookmarkEnd w:id="1597"/>
    <w:bookmarkStart w:name="z1619" w:id="1598"/>
    <w:p>
      <w:pPr>
        <w:spacing w:after="0"/>
        <w:ind w:left="0"/>
        <w:jc w:val="both"/>
      </w:pPr>
      <w:r>
        <w:rPr>
          <w:rFonts w:ascii="Times New Roman"/>
          <w:b w:val="false"/>
          <w:i w:val="false"/>
          <w:color w:val="000000"/>
          <w:sz w:val="28"/>
        </w:rPr>
        <w:t>
      7) наименования и адреса клинических лабораторий и других медицинских и (или) технических служб и (или) организаций, вовлеченных в исследование.</w:t>
      </w:r>
    </w:p>
    <w:bookmarkEnd w:id="1598"/>
    <w:bookmarkStart w:name="z1620" w:id="1599"/>
    <w:p>
      <w:pPr>
        <w:spacing w:after="0"/>
        <w:ind w:left="0"/>
        <w:jc w:val="both"/>
      </w:pPr>
      <w:r>
        <w:rPr>
          <w:rFonts w:ascii="Times New Roman"/>
          <w:b w:val="false"/>
          <w:i w:val="false"/>
          <w:color w:val="000000"/>
          <w:sz w:val="28"/>
        </w:rPr>
        <w:t>
      162. Обоснование исследования:</w:t>
      </w:r>
    </w:p>
    <w:bookmarkEnd w:id="1599"/>
    <w:bookmarkStart w:name="z1621" w:id="1600"/>
    <w:p>
      <w:pPr>
        <w:spacing w:after="0"/>
        <w:ind w:left="0"/>
        <w:jc w:val="both"/>
      </w:pPr>
      <w:r>
        <w:rPr>
          <w:rFonts w:ascii="Times New Roman"/>
          <w:b w:val="false"/>
          <w:i w:val="false"/>
          <w:color w:val="000000"/>
          <w:sz w:val="28"/>
        </w:rPr>
        <w:t>
      1) название и описание исследуемых препаратов;</w:t>
      </w:r>
    </w:p>
    <w:bookmarkEnd w:id="1600"/>
    <w:bookmarkStart w:name="z1622" w:id="1601"/>
    <w:p>
      <w:pPr>
        <w:spacing w:after="0"/>
        <w:ind w:left="0"/>
        <w:jc w:val="both"/>
      </w:pPr>
      <w:r>
        <w:rPr>
          <w:rFonts w:ascii="Times New Roman"/>
          <w:b w:val="false"/>
          <w:i w:val="false"/>
          <w:color w:val="000000"/>
          <w:sz w:val="28"/>
        </w:rPr>
        <w:t>
      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bookmarkEnd w:id="1601"/>
    <w:bookmarkStart w:name="z1623" w:id="1602"/>
    <w:p>
      <w:pPr>
        <w:spacing w:after="0"/>
        <w:ind w:left="0"/>
        <w:jc w:val="both"/>
      </w:pPr>
      <w:r>
        <w:rPr>
          <w:rFonts w:ascii="Times New Roman"/>
          <w:b w:val="false"/>
          <w:i w:val="false"/>
          <w:color w:val="000000"/>
          <w:sz w:val="28"/>
        </w:rPr>
        <w:t>
      3) краткое описание известных и потенциальных рисков и пользы для субъектов исследования, если таковые имеются;</w:t>
      </w:r>
    </w:p>
    <w:bookmarkEnd w:id="1602"/>
    <w:bookmarkStart w:name="z1624" w:id="1603"/>
    <w:p>
      <w:pPr>
        <w:spacing w:after="0"/>
        <w:ind w:left="0"/>
        <w:jc w:val="both"/>
      </w:pPr>
      <w:r>
        <w:rPr>
          <w:rFonts w:ascii="Times New Roman"/>
          <w:b w:val="false"/>
          <w:i w:val="false"/>
          <w:color w:val="000000"/>
          <w:sz w:val="28"/>
        </w:rPr>
        <w:t>
      4) описание и обоснование способа введения, дозировки, режима дозирования и курса лечения;</w:t>
      </w:r>
    </w:p>
    <w:bookmarkEnd w:id="1603"/>
    <w:bookmarkStart w:name="z1625" w:id="1604"/>
    <w:p>
      <w:pPr>
        <w:spacing w:after="0"/>
        <w:ind w:left="0"/>
        <w:jc w:val="both"/>
      </w:pPr>
      <w:r>
        <w:rPr>
          <w:rFonts w:ascii="Times New Roman"/>
          <w:b w:val="false"/>
          <w:i w:val="false"/>
          <w:color w:val="000000"/>
          <w:sz w:val="28"/>
        </w:rPr>
        <w:t>
      5) заявление о том, что данное клиническое исследование будет проводиться в соответствии с протоколом, настоящим Стандартом и нормативными требованиями;</w:t>
      </w:r>
    </w:p>
    <w:bookmarkEnd w:id="1604"/>
    <w:bookmarkStart w:name="z1626" w:id="1605"/>
    <w:p>
      <w:pPr>
        <w:spacing w:after="0"/>
        <w:ind w:left="0"/>
        <w:jc w:val="both"/>
      </w:pPr>
      <w:r>
        <w:rPr>
          <w:rFonts w:ascii="Times New Roman"/>
          <w:b w:val="false"/>
          <w:i w:val="false"/>
          <w:color w:val="000000"/>
          <w:sz w:val="28"/>
        </w:rPr>
        <w:t>
      6) описание исследуемой популяции;</w:t>
      </w:r>
    </w:p>
    <w:bookmarkEnd w:id="1605"/>
    <w:bookmarkStart w:name="z1627" w:id="1606"/>
    <w:p>
      <w:pPr>
        <w:spacing w:after="0"/>
        <w:ind w:left="0"/>
        <w:jc w:val="both"/>
      </w:pPr>
      <w:r>
        <w:rPr>
          <w:rFonts w:ascii="Times New Roman"/>
          <w:b w:val="false"/>
          <w:i w:val="false"/>
          <w:color w:val="000000"/>
          <w:sz w:val="28"/>
        </w:rPr>
        <w:t>
      7) ссылки на литературные источники и данные, существенные для исследования и представляющие собой обоснование данного исследования.</w:t>
      </w:r>
    </w:p>
    <w:bookmarkEnd w:id="1606"/>
    <w:bookmarkStart w:name="z1628" w:id="1607"/>
    <w:p>
      <w:pPr>
        <w:spacing w:after="0"/>
        <w:ind w:left="0"/>
        <w:jc w:val="both"/>
      </w:pPr>
      <w:r>
        <w:rPr>
          <w:rFonts w:ascii="Times New Roman"/>
          <w:b w:val="false"/>
          <w:i w:val="false"/>
          <w:color w:val="000000"/>
          <w:sz w:val="28"/>
        </w:rPr>
        <w:t>
      163. Цели и задачи исследования: детальное описание целей и задач исследования.</w:t>
      </w:r>
    </w:p>
    <w:bookmarkEnd w:id="1607"/>
    <w:bookmarkStart w:name="z1629" w:id="1608"/>
    <w:p>
      <w:pPr>
        <w:spacing w:after="0"/>
        <w:ind w:left="0"/>
        <w:jc w:val="both"/>
      </w:pPr>
      <w:r>
        <w:rPr>
          <w:rFonts w:ascii="Times New Roman"/>
          <w:b w:val="false"/>
          <w:i w:val="false"/>
          <w:color w:val="000000"/>
          <w:sz w:val="28"/>
        </w:rPr>
        <w:t>
      164. 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включает в себя:</w:t>
      </w:r>
    </w:p>
    <w:bookmarkEnd w:id="1608"/>
    <w:bookmarkStart w:name="z1630" w:id="1609"/>
    <w:p>
      <w:pPr>
        <w:spacing w:after="0"/>
        <w:ind w:left="0"/>
        <w:jc w:val="both"/>
      </w:pPr>
      <w:r>
        <w:rPr>
          <w:rFonts w:ascii="Times New Roman"/>
          <w:b w:val="false"/>
          <w:i w:val="false"/>
          <w:color w:val="000000"/>
          <w:sz w:val="28"/>
        </w:rPr>
        <w:t>
      1) указание основных и дополнительных (при наличии) исследуемых параметров, которые оцениваются в ходе исследования;</w:t>
      </w:r>
    </w:p>
    <w:bookmarkEnd w:id="1609"/>
    <w:bookmarkStart w:name="z1631" w:id="1610"/>
    <w:p>
      <w:pPr>
        <w:spacing w:after="0"/>
        <w:ind w:left="0"/>
        <w:jc w:val="both"/>
      </w:pPr>
      <w:r>
        <w:rPr>
          <w:rFonts w:ascii="Times New Roman"/>
          <w:b w:val="false"/>
          <w:i w:val="false"/>
          <w:color w:val="000000"/>
          <w:sz w:val="28"/>
        </w:rPr>
        <w:t>
      2) описание типа (дизайна) проводимого исследования (двойное слепое, плацебо-контролируемое, параллельное) и схематическое изображение дизайна исследования, процедур и этапов исследования;</w:t>
      </w:r>
    </w:p>
    <w:bookmarkEnd w:id="1610"/>
    <w:bookmarkStart w:name="z1632" w:id="1611"/>
    <w:p>
      <w:pPr>
        <w:spacing w:after="0"/>
        <w:ind w:left="0"/>
        <w:jc w:val="both"/>
      </w:pPr>
      <w:r>
        <w:rPr>
          <w:rFonts w:ascii="Times New Roman"/>
          <w:b w:val="false"/>
          <w:i w:val="false"/>
          <w:color w:val="000000"/>
          <w:sz w:val="28"/>
        </w:rPr>
        <w:t>
      3) описание мер, направленных на минимизацию (исключение) субъективности, в том числе рандомизации и слепого метода (маскировки);</w:t>
      </w:r>
    </w:p>
    <w:bookmarkEnd w:id="1611"/>
    <w:bookmarkStart w:name="z1633" w:id="1612"/>
    <w:p>
      <w:pPr>
        <w:spacing w:after="0"/>
        <w:ind w:left="0"/>
        <w:jc w:val="both"/>
      </w:pPr>
      <w:r>
        <w:rPr>
          <w:rFonts w:ascii="Times New Roman"/>
          <w:b w:val="false"/>
          <w:i w:val="false"/>
          <w:color w:val="000000"/>
          <w:sz w:val="28"/>
        </w:rPr>
        <w:t>
      4) описание используемого в исследовании лечения, дозировки и схемы применения исследуемых препаратов. Также включает в себя описание лекарственной формы, упаковки и маркировки исследуемых препаратов;</w:t>
      </w:r>
    </w:p>
    <w:bookmarkEnd w:id="1612"/>
    <w:bookmarkStart w:name="z1634" w:id="1613"/>
    <w:p>
      <w:pPr>
        <w:spacing w:after="0"/>
        <w:ind w:left="0"/>
        <w:jc w:val="both"/>
      </w:pPr>
      <w:r>
        <w:rPr>
          <w:rFonts w:ascii="Times New Roman"/>
          <w:b w:val="false"/>
          <w:i w:val="false"/>
          <w:color w:val="000000"/>
          <w:sz w:val="28"/>
        </w:rPr>
        <w:t>
      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bookmarkEnd w:id="1613"/>
    <w:bookmarkStart w:name="z1635" w:id="1614"/>
    <w:p>
      <w:pPr>
        <w:spacing w:after="0"/>
        <w:ind w:left="0"/>
        <w:jc w:val="both"/>
      </w:pPr>
      <w:r>
        <w:rPr>
          <w:rFonts w:ascii="Times New Roman"/>
          <w:b w:val="false"/>
          <w:i w:val="false"/>
          <w:color w:val="000000"/>
          <w:sz w:val="28"/>
        </w:rPr>
        <w:t>
      6) описание "правил остановки" или "критериев исключения" для отдельных субъектов, частей исследования или исследования в целом;</w:t>
      </w:r>
    </w:p>
    <w:bookmarkEnd w:id="1614"/>
    <w:bookmarkStart w:name="z1636" w:id="1615"/>
    <w:p>
      <w:pPr>
        <w:spacing w:after="0"/>
        <w:ind w:left="0"/>
        <w:jc w:val="both"/>
      </w:pPr>
      <w:r>
        <w:rPr>
          <w:rFonts w:ascii="Times New Roman"/>
          <w:b w:val="false"/>
          <w:i w:val="false"/>
          <w:color w:val="000000"/>
          <w:sz w:val="28"/>
        </w:rPr>
        <w:t>
      7) процедуры учета исследуемых препаратов, включая, при наличии, плацебо и препараты сравнения;</w:t>
      </w:r>
    </w:p>
    <w:bookmarkEnd w:id="1615"/>
    <w:bookmarkStart w:name="z1637" w:id="1616"/>
    <w:p>
      <w:pPr>
        <w:spacing w:after="0"/>
        <w:ind w:left="0"/>
        <w:jc w:val="both"/>
      </w:pPr>
      <w:r>
        <w:rPr>
          <w:rFonts w:ascii="Times New Roman"/>
          <w:b w:val="false"/>
          <w:i w:val="false"/>
          <w:color w:val="000000"/>
          <w:sz w:val="28"/>
        </w:rPr>
        <w:t>
      8) хранение рандомизационных кодов лечения и процедуры их раскрытия;</w:t>
      </w:r>
    </w:p>
    <w:bookmarkEnd w:id="1616"/>
    <w:bookmarkStart w:name="z1638" w:id="1617"/>
    <w:p>
      <w:pPr>
        <w:spacing w:after="0"/>
        <w:ind w:left="0"/>
        <w:jc w:val="both"/>
      </w:pPr>
      <w:r>
        <w:rPr>
          <w:rFonts w:ascii="Times New Roman"/>
          <w:b w:val="false"/>
          <w:i w:val="false"/>
          <w:color w:val="000000"/>
          <w:sz w:val="28"/>
        </w:rPr>
        <w:t>
      9) перечень данных, регистрируемых непосредственно в ИРК и рассматриваемых в качестве первичных данных.</w:t>
      </w:r>
    </w:p>
    <w:bookmarkEnd w:id="1617"/>
    <w:bookmarkStart w:name="z1639" w:id="1618"/>
    <w:p>
      <w:pPr>
        <w:spacing w:after="0"/>
        <w:ind w:left="0"/>
        <w:jc w:val="both"/>
      </w:pPr>
      <w:r>
        <w:rPr>
          <w:rFonts w:ascii="Times New Roman"/>
          <w:b w:val="false"/>
          <w:i w:val="false"/>
          <w:color w:val="000000"/>
          <w:sz w:val="28"/>
        </w:rPr>
        <w:t>
      165. Отбор и исключение субъектов.</w:t>
      </w:r>
    </w:p>
    <w:bookmarkEnd w:id="1618"/>
    <w:bookmarkStart w:name="z1640" w:id="1619"/>
    <w:p>
      <w:pPr>
        <w:spacing w:after="0"/>
        <w:ind w:left="0"/>
        <w:jc w:val="both"/>
      </w:pPr>
      <w:r>
        <w:rPr>
          <w:rFonts w:ascii="Times New Roman"/>
          <w:b w:val="false"/>
          <w:i w:val="false"/>
          <w:color w:val="000000"/>
          <w:sz w:val="28"/>
        </w:rPr>
        <w:t>
      166. Критерии включения субъектов.</w:t>
      </w:r>
    </w:p>
    <w:bookmarkEnd w:id="1619"/>
    <w:bookmarkStart w:name="z1641" w:id="1620"/>
    <w:p>
      <w:pPr>
        <w:spacing w:after="0"/>
        <w:ind w:left="0"/>
        <w:jc w:val="both"/>
      </w:pPr>
      <w:r>
        <w:rPr>
          <w:rFonts w:ascii="Times New Roman"/>
          <w:b w:val="false"/>
          <w:i w:val="false"/>
          <w:color w:val="000000"/>
          <w:sz w:val="28"/>
        </w:rPr>
        <w:t>
      167. Критерии исключения субъектов.</w:t>
      </w:r>
    </w:p>
    <w:bookmarkEnd w:id="1620"/>
    <w:bookmarkStart w:name="z1642" w:id="1621"/>
    <w:p>
      <w:pPr>
        <w:spacing w:after="0"/>
        <w:ind w:left="0"/>
        <w:jc w:val="both"/>
      </w:pPr>
      <w:r>
        <w:rPr>
          <w:rFonts w:ascii="Times New Roman"/>
          <w:b w:val="false"/>
          <w:i w:val="false"/>
          <w:color w:val="000000"/>
          <w:sz w:val="28"/>
        </w:rPr>
        <w:t>
      168. Критерии прекращения участия субъектов в исследовании - прекращение применения исследуемого препарата (исследуемого лечения), а также процедуры, определяющие:</w:t>
      </w:r>
    </w:p>
    <w:bookmarkEnd w:id="1621"/>
    <w:bookmarkStart w:name="z1643" w:id="1622"/>
    <w:p>
      <w:pPr>
        <w:spacing w:after="0"/>
        <w:ind w:left="0"/>
        <w:jc w:val="both"/>
      </w:pPr>
      <w:r>
        <w:rPr>
          <w:rFonts w:ascii="Times New Roman"/>
          <w:b w:val="false"/>
          <w:i w:val="false"/>
          <w:color w:val="000000"/>
          <w:sz w:val="28"/>
        </w:rPr>
        <w:t>
      1) когда и как исключать субъектов из исследования (лечения исследуемым препаратом);</w:t>
      </w:r>
    </w:p>
    <w:bookmarkEnd w:id="1622"/>
    <w:bookmarkStart w:name="z1644" w:id="1623"/>
    <w:p>
      <w:pPr>
        <w:spacing w:after="0"/>
        <w:ind w:left="0"/>
        <w:jc w:val="both"/>
      </w:pPr>
      <w:r>
        <w:rPr>
          <w:rFonts w:ascii="Times New Roman"/>
          <w:b w:val="false"/>
          <w:i w:val="false"/>
          <w:color w:val="000000"/>
          <w:sz w:val="28"/>
        </w:rPr>
        <w:t xml:space="preserve">
      2) Сбор данных по типу и срокам для пациентов, прекративших участие в исследовании; </w:t>
      </w:r>
    </w:p>
    <w:bookmarkEnd w:id="1623"/>
    <w:bookmarkStart w:name="z1645" w:id="1624"/>
    <w:p>
      <w:pPr>
        <w:spacing w:after="0"/>
        <w:ind w:left="0"/>
        <w:jc w:val="both"/>
      </w:pPr>
      <w:r>
        <w:rPr>
          <w:rFonts w:ascii="Times New Roman"/>
          <w:b w:val="false"/>
          <w:i w:val="false"/>
          <w:color w:val="000000"/>
          <w:sz w:val="28"/>
        </w:rPr>
        <w:t>
      3) процедура замены субъектов;</w:t>
      </w:r>
    </w:p>
    <w:bookmarkEnd w:id="1624"/>
    <w:bookmarkStart w:name="z1646" w:id="1625"/>
    <w:p>
      <w:pPr>
        <w:spacing w:after="0"/>
        <w:ind w:left="0"/>
        <w:jc w:val="both"/>
      </w:pPr>
      <w:r>
        <w:rPr>
          <w:rFonts w:ascii="Times New Roman"/>
          <w:b w:val="false"/>
          <w:i w:val="false"/>
          <w:color w:val="000000"/>
          <w:sz w:val="28"/>
        </w:rPr>
        <w:t>
      4) последующее наблюдение за субъектами, исключенными из лечения исследуемым препаратом (исследуемым лечением).</w:t>
      </w:r>
    </w:p>
    <w:bookmarkEnd w:id="1625"/>
    <w:bookmarkStart w:name="z1647" w:id="1626"/>
    <w:p>
      <w:pPr>
        <w:spacing w:after="0"/>
        <w:ind w:left="0"/>
        <w:jc w:val="left"/>
      </w:pPr>
      <w:r>
        <w:rPr>
          <w:rFonts w:ascii="Times New Roman"/>
          <w:b/>
          <w:i w:val="false"/>
          <w:color w:val="000000"/>
        </w:rPr>
        <w:t xml:space="preserve"> Параграф 2. Лечение субъектов</w:t>
      </w:r>
    </w:p>
    <w:bookmarkEnd w:id="1626"/>
    <w:bookmarkStart w:name="z1648" w:id="1627"/>
    <w:p>
      <w:pPr>
        <w:spacing w:after="0"/>
        <w:ind w:left="0"/>
        <w:jc w:val="both"/>
      </w:pPr>
      <w:r>
        <w:rPr>
          <w:rFonts w:ascii="Times New Roman"/>
          <w:b w:val="false"/>
          <w:i w:val="false"/>
          <w:color w:val="000000"/>
          <w:sz w:val="28"/>
        </w:rPr>
        <w:t>
      169. Осуществляемое лечение, включая названия всех препаратов, их дозировки, частота приема, пути или способы введения, а также продолжительность лечения, включая периоды последующего наблюдения для каждой группы субъектов (по группам лечения исследуемым препаратом или группам исследуемого лечения, или группам исследования).</w:t>
      </w:r>
    </w:p>
    <w:bookmarkEnd w:id="1627"/>
    <w:bookmarkStart w:name="z1649" w:id="1628"/>
    <w:p>
      <w:pPr>
        <w:spacing w:after="0"/>
        <w:ind w:left="0"/>
        <w:jc w:val="both"/>
      </w:pPr>
      <w:r>
        <w:rPr>
          <w:rFonts w:ascii="Times New Roman"/>
          <w:b w:val="false"/>
          <w:i w:val="false"/>
          <w:color w:val="000000"/>
          <w:sz w:val="28"/>
        </w:rPr>
        <w:t>
      170. Лекарственные препараты (виды терапии), применение которых разрешено (включая неотложную терапию) или не разрешено до и (или) во время исследования.</w:t>
      </w:r>
    </w:p>
    <w:bookmarkEnd w:id="1628"/>
    <w:bookmarkStart w:name="z1650" w:id="1629"/>
    <w:p>
      <w:pPr>
        <w:spacing w:after="0"/>
        <w:ind w:left="0"/>
        <w:jc w:val="both"/>
      </w:pPr>
      <w:r>
        <w:rPr>
          <w:rFonts w:ascii="Times New Roman"/>
          <w:b w:val="false"/>
          <w:i w:val="false"/>
          <w:color w:val="000000"/>
          <w:sz w:val="28"/>
        </w:rPr>
        <w:t>
      171. Методы контроля за соблюдением процедур субъектами.</w:t>
      </w:r>
    </w:p>
    <w:bookmarkEnd w:id="1629"/>
    <w:bookmarkStart w:name="z1651" w:id="1630"/>
    <w:p>
      <w:pPr>
        <w:spacing w:after="0"/>
        <w:ind w:left="0"/>
        <w:jc w:val="left"/>
      </w:pPr>
      <w:r>
        <w:rPr>
          <w:rFonts w:ascii="Times New Roman"/>
          <w:b/>
          <w:i w:val="false"/>
          <w:color w:val="000000"/>
        </w:rPr>
        <w:t xml:space="preserve"> Параграф 3. Оценка эффективности</w:t>
      </w:r>
    </w:p>
    <w:bookmarkEnd w:id="1630"/>
    <w:bookmarkStart w:name="z1652" w:id="1631"/>
    <w:p>
      <w:pPr>
        <w:spacing w:after="0"/>
        <w:ind w:left="0"/>
        <w:jc w:val="both"/>
      </w:pPr>
      <w:r>
        <w:rPr>
          <w:rFonts w:ascii="Times New Roman"/>
          <w:b w:val="false"/>
          <w:i w:val="false"/>
          <w:color w:val="000000"/>
          <w:sz w:val="28"/>
        </w:rPr>
        <w:t>
      172. Перечень параметров эффективности.</w:t>
      </w:r>
    </w:p>
    <w:bookmarkEnd w:id="1631"/>
    <w:bookmarkStart w:name="z1653" w:id="1632"/>
    <w:p>
      <w:pPr>
        <w:spacing w:after="0"/>
        <w:ind w:left="0"/>
        <w:jc w:val="both"/>
      </w:pPr>
      <w:r>
        <w:rPr>
          <w:rFonts w:ascii="Times New Roman"/>
          <w:b w:val="false"/>
          <w:i w:val="false"/>
          <w:color w:val="000000"/>
          <w:sz w:val="28"/>
        </w:rPr>
        <w:t>
      173. Методы и сроки оценки, регистрации и анализа параметров эффективности.</w:t>
      </w:r>
    </w:p>
    <w:bookmarkEnd w:id="1632"/>
    <w:bookmarkStart w:name="z1654" w:id="1633"/>
    <w:p>
      <w:pPr>
        <w:spacing w:after="0"/>
        <w:ind w:left="0"/>
        <w:jc w:val="left"/>
      </w:pPr>
      <w:r>
        <w:rPr>
          <w:rFonts w:ascii="Times New Roman"/>
          <w:b/>
          <w:i w:val="false"/>
          <w:color w:val="000000"/>
        </w:rPr>
        <w:t xml:space="preserve"> Параграф 4. Оценка безопасности</w:t>
      </w:r>
    </w:p>
    <w:bookmarkEnd w:id="1633"/>
    <w:bookmarkStart w:name="z1655" w:id="1634"/>
    <w:p>
      <w:pPr>
        <w:spacing w:after="0"/>
        <w:ind w:left="0"/>
        <w:jc w:val="both"/>
      </w:pPr>
      <w:r>
        <w:rPr>
          <w:rFonts w:ascii="Times New Roman"/>
          <w:b w:val="false"/>
          <w:i w:val="false"/>
          <w:color w:val="000000"/>
          <w:sz w:val="28"/>
        </w:rPr>
        <w:t>
      174. Перечень параметров безопасности.</w:t>
      </w:r>
    </w:p>
    <w:bookmarkEnd w:id="1634"/>
    <w:bookmarkStart w:name="z1656" w:id="1635"/>
    <w:p>
      <w:pPr>
        <w:spacing w:after="0"/>
        <w:ind w:left="0"/>
        <w:jc w:val="both"/>
      </w:pPr>
      <w:r>
        <w:rPr>
          <w:rFonts w:ascii="Times New Roman"/>
          <w:b w:val="false"/>
          <w:i w:val="false"/>
          <w:color w:val="000000"/>
          <w:sz w:val="28"/>
        </w:rPr>
        <w:t>
      175. Методы и сроки оценки, регистрации и анализа параметров безопасности.</w:t>
      </w:r>
    </w:p>
    <w:bookmarkEnd w:id="1635"/>
    <w:bookmarkStart w:name="z1657" w:id="1636"/>
    <w:p>
      <w:pPr>
        <w:spacing w:after="0"/>
        <w:ind w:left="0"/>
        <w:jc w:val="both"/>
      </w:pPr>
      <w:r>
        <w:rPr>
          <w:rFonts w:ascii="Times New Roman"/>
          <w:b w:val="false"/>
          <w:i w:val="false"/>
          <w:color w:val="000000"/>
          <w:sz w:val="28"/>
        </w:rPr>
        <w:t>
      176. Процедуры заключительных отчетов, регистрации и сообщений о нежелательных явлениях и интеркуррентных заболеваниях.</w:t>
      </w:r>
    </w:p>
    <w:bookmarkEnd w:id="1636"/>
    <w:bookmarkStart w:name="z1658" w:id="1637"/>
    <w:p>
      <w:pPr>
        <w:spacing w:after="0"/>
        <w:ind w:left="0"/>
        <w:jc w:val="both"/>
      </w:pPr>
      <w:r>
        <w:rPr>
          <w:rFonts w:ascii="Times New Roman"/>
          <w:b w:val="false"/>
          <w:i w:val="false"/>
          <w:color w:val="000000"/>
          <w:sz w:val="28"/>
        </w:rPr>
        <w:t>
      177. Метод и продолжительность наблюдения за субъектами после возникновения нежелательных явлений.</w:t>
      </w:r>
    </w:p>
    <w:bookmarkEnd w:id="1637"/>
    <w:bookmarkStart w:name="z1659" w:id="1638"/>
    <w:p>
      <w:pPr>
        <w:spacing w:after="0"/>
        <w:ind w:left="0"/>
        <w:jc w:val="left"/>
      </w:pPr>
      <w:r>
        <w:rPr>
          <w:rFonts w:ascii="Times New Roman"/>
          <w:b/>
          <w:i w:val="false"/>
          <w:color w:val="000000"/>
        </w:rPr>
        <w:t xml:space="preserve"> Параграф 5. Статистические аспекты клинического исследования</w:t>
      </w:r>
    </w:p>
    <w:bookmarkEnd w:id="1638"/>
    <w:bookmarkStart w:name="z1660" w:id="1639"/>
    <w:p>
      <w:pPr>
        <w:spacing w:after="0"/>
        <w:ind w:left="0"/>
        <w:jc w:val="both"/>
      </w:pPr>
      <w:r>
        <w:rPr>
          <w:rFonts w:ascii="Times New Roman"/>
          <w:b w:val="false"/>
          <w:i w:val="false"/>
          <w:color w:val="000000"/>
          <w:sz w:val="28"/>
        </w:rPr>
        <w:t>
      178. Описания статистических методов, которые предполагается использовать, включая сроки каждого планируемого промежуточного анализа.</w:t>
      </w:r>
    </w:p>
    <w:bookmarkEnd w:id="1639"/>
    <w:bookmarkStart w:name="z1661" w:id="1640"/>
    <w:p>
      <w:pPr>
        <w:spacing w:after="0"/>
        <w:ind w:left="0"/>
        <w:jc w:val="both"/>
      </w:pPr>
      <w:r>
        <w:rPr>
          <w:rFonts w:ascii="Times New Roman"/>
          <w:b w:val="false"/>
          <w:i w:val="false"/>
          <w:color w:val="000000"/>
          <w:sz w:val="28"/>
        </w:rPr>
        <w:t>
      179. Планируемое количество субъектов. В случае многоцентровых исследований определяется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bookmarkEnd w:id="1640"/>
    <w:bookmarkStart w:name="z1662" w:id="1641"/>
    <w:p>
      <w:pPr>
        <w:spacing w:after="0"/>
        <w:ind w:left="0"/>
        <w:jc w:val="both"/>
      </w:pPr>
      <w:r>
        <w:rPr>
          <w:rFonts w:ascii="Times New Roman"/>
          <w:b w:val="false"/>
          <w:i w:val="false"/>
          <w:color w:val="000000"/>
          <w:sz w:val="28"/>
        </w:rPr>
        <w:t>
      180. Применяемый уровень значимости.</w:t>
      </w:r>
    </w:p>
    <w:bookmarkEnd w:id="1641"/>
    <w:bookmarkStart w:name="z1663" w:id="1642"/>
    <w:p>
      <w:pPr>
        <w:spacing w:after="0"/>
        <w:ind w:left="0"/>
        <w:jc w:val="both"/>
      </w:pPr>
      <w:r>
        <w:rPr>
          <w:rFonts w:ascii="Times New Roman"/>
          <w:b w:val="false"/>
          <w:i w:val="false"/>
          <w:color w:val="000000"/>
          <w:sz w:val="28"/>
        </w:rPr>
        <w:t>
      181. Критерии прекращения исследования.</w:t>
      </w:r>
    </w:p>
    <w:bookmarkEnd w:id="1642"/>
    <w:bookmarkStart w:name="z1664" w:id="1643"/>
    <w:p>
      <w:pPr>
        <w:spacing w:after="0"/>
        <w:ind w:left="0"/>
        <w:jc w:val="both"/>
      </w:pPr>
      <w:r>
        <w:rPr>
          <w:rFonts w:ascii="Times New Roman"/>
          <w:b w:val="false"/>
          <w:i w:val="false"/>
          <w:color w:val="000000"/>
          <w:sz w:val="28"/>
        </w:rPr>
        <w:t>
      182. Процедуры учета отсутствующих, не подлежащих анализу и фальсифицированных данных.</w:t>
      </w:r>
    </w:p>
    <w:bookmarkEnd w:id="1643"/>
    <w:bookmarkStart w:name="z1665" w:id="1644"/>
    <w:p>
      <w:pPr>
        <w:spacing w:after="0"/>
        <w:ind w:left="0"/>
        <w:jc w:val="both"/>
      </w:pPr>
      <w:r>
        <w:rPr>
          <w:rFonts w:ascii="Times New Roman"/>
          <w:b w:val="false"/>
          <w:i w:val="false"/>
          <w:color w:val="000000"/>
          <w:sz w:val="28"/>
        </w:rPr>
        <w:t>
      183. Процедуры сообщения о любых отклонениях от первоначального статистического плана (все отклонения от первоначального статистического плана описываются и обосновываются в протоколе и (или) заключительном отчете об исследовании).</w:t>
      </w:r>
    </w:p>
    <w:bookmarkEnd w:id="1644"/>
    <w:bookmarkStart w:name="z1666" w:id="1645"/>
    <w:p>
      <w:pPr>
        <w:spacing w:after="0"/>
        <w:ind w:left="0"/>
        <w:jc w:val="both"/>
      </w:pPr>
      <w:r>
        <w:rPr>
          <w:rFonts w:ascii="Times New Roman"/>
          <w:b w:val="false"/>
          <w:i w:val="false"/>
          <w:color w:val="000000"/>
          <w:sz w:val="28"/>
        </w:rPr>
        <w:t>
      184. Принцип отбора субъектов для анализа.</w:t>
      </w:r>
    </w:p>
    <w:bookmarkEnd w:id="1645"/>
    <w:bookmarkStart w:name="z1667" w:id="1646"/>
    <w:p>
      <w:pPr>
        <w:spacing w:after="0"/>
        <w:ind w:left="0"/>
        <w:jc w:val="both"/>
      </w:pPr>
      <w:r>
        <w:rPr>
          <w:rFonts w:ascii="Times New Roman"/>
          <w:b w:val="false"/>
          <w:i w:val="false"/>
          <w:color w:val="000000"/>
          <w:sz w:val="28"/>
        </w:rPr>
        <w:t>
      185. Прямой доступ к первичным данным (документации). Спонсор предусматривает в протоколе или ином письменном соглашении, что исследователь (организация) не препятствует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уполномоченного органа.</w:t>
      </w:r>
    </w:p>
    <w:bookmarkEnd w:id="1646"/>
    <w:bookmarkStart w:name="z1668" w:id="1647"/>
    <w:p>
      <w:pPr>
        <w:spacing w:after="0"/>
        <w:ind w:left="0"/>
        <w:jc w:val="both"/>
      </w:pPr>
      <w:r>
        <w:rPr>
          <w:rFonts w:ascii="Times New Roman"/>
          <w:b w:val="false"/>
          <w:i w:val="false"/>
          <w:color w:val="000000"/>
          <w:sz w:val="28"/>
        </w:rPr>
        <w:t>
      186. Контроль качества и обеспечение качества.</w:t>
      </w:r>
    </w:p>
    <w:bookmarkEnd w:id="1647"/>
    <w:bookmarkStart w:name="z1669" w:id="1648"/>
    <w:p>
      <w:pPr>
        <w:spacing w:after="0"/>
        <w:ind w:left="0"/>
        <w:jc w:val="both"/>
      </w:pPr>
      <w:r>
        <w:rPr>
          <w:rFonts w:ascii="Times New Roman"/>
          <w:b w:val="false"/>
          <w:i w:val="false"/>
          <w:color w:val="000000"/>
          <w:sz w:val="28"/>
        </w:rPr>
        <w:t>
      187. Описание этических аспектов исследования.</w:t>
      </w:r>
    </w:p>
    <w:bookmarkEnd w:id="1648"/>
    <w:bookmarkStart w:name="z1670" w:id="1649"/>
    <w:p>
      <w:pPr>
        <w:spacing w:after="0"/>
        <w:ind w:left="0"/>
        <w:jc w:val="both"/>
      </w:pPr>
      <w:r>
        <w:rPr>
          <w:rFonts w:ascii="Times New Roman"/>
          <w:b w:val="false"/>
          <w:i w:val="false"/>
          <w:color w:val="000000"/>
          <w:sz w:val="28"/>
        </w:rPr>
        <w:t>
      188. Работа с данными и ведение записей.</w:t>
      </w:r>
    </w:p>
    <w:bookmarkEnd w:id="1649"/>
    <w:bookmarkStart w:name="z1671" w:id="1650"/>
    <w:p>
      <w:pPr>
        <w:spacing w:after="0"/>
        <w:ind w:left="0"/>
        <w:jc w:val="both"/>
      </w:pPr>
      <w:r>
        <w:rPr>
          <w:rFonts w:ascii="Times New Roman"/>
          <w:b w:val="false"/>
          <w:i w:val="false"/>
          <w:color w:val="000000"/>
          <w:sz w:val="28"/>
        </w:rPr>
        <w:t>
      189. Финансирование и страхование, если они не описаны в отдельном договоре.</w:t>
      </w:r>
    </w:p>
    <w:bookmarkEnd w:id="1650"/>
    <w:bookmarkStart w:name="z1672" w:id="1651"/>
    <w:p>
      <w:pPr>
        <w:spacing w:after="0"/>
        <w:ind w:left="0"/>
        <w:jc w:val="both"/>
      </w:pPr>
      <w:r>
        <w:rPr>
          <w:rFonts w:ascii="Times New Roman"/>
          <w:b w:val="false"/>
          <w:i w:val="false"/>
          <w:color w:val="000000"/>
          <w:sz w:val="28"/>
        </w:rPr>
        <w:t>
      190. Публикации результатов клинического исследования. Политика в отношении публикаций, если она не описана в отдельном договоре.</w:t>
      </w:r>
    </w:p>
    <w:bookmarkEnd w:id="1651"/>
    <w:bookmarkStart w:name="z1673" w:id="1652"/>
    <w:p>
      <w:pPr>
        <w:spacing w:after="0"/>
        <w:ind w:left="0"/>
        <w:jc w:val="both"/>
      </w:pPr>
      <w:r>
        <w:rPr>
          <w:rFonts w:ascii="Times New Roman"/>
          <w:b w:val="false"/>
          <w:i w:val="false"/>
          <w:color w:val="000000"/>
          <w:sz w:val="28"/>
        </w:rPr>
        <w:t>
      191. Приложения.</w:t>
      </w:r>
    </w:p>
    <w:bookmarkEnd w:id="1652"/>
    <w:bookmarkStart w:name="z1674" w:id="1653"/>
    <w:p>
      <w:pPr>
        <w:spacing w:after="0"/>
        <w:ind w:left="0"/>
        <w:jc w:val="left"/>
      </w:pPr>
      <w:r>
        <w:rPr>
          <w:rFonts w:ascii="Times New Roman"/>
          <w:b/>
          <w:i w:val="false"/>
          <w:color w:val="000000"/>
        </w:rPr>
        <w:t xml:space="preserve"> Глава 7. Брошюра исследователя</w:t>
      </w:r>
    </w:p>
    <w:bookmarkEnd w:id="1653"/>
    <w:bookmarkStart w:name="z1675" w:id="1654"/>
    <w:p>
      <w:pPr>
        <w:spacing w:after="0"/>
        <w:ind w:left="0"/>
        <w:jc w:val="left"/>
      </w:pPr>
      <w:r>
        <w:rPr>
          <w:rFonts w:ascii="Times New Roman"/>
          <w:b/>
          <w:i w:val="false"/>
          <w:color w:val="000000"/>
        </w:rPr>
        <w:t xml:space="preserve"> Параграф 1. Общие положения</w:t>
      </w:r>
    </w:p>
    <w:bookmarkEnd w:id="1654"/>
    <w:bookmarkStart w:name="z1676" w:id="1655"/>
    <w:p>
      <w:pPr>
        <w:spacing w:after="0"/>
        <w:ind w:left="0"/>
        <w:jc w:val="both"/>
      </w:pPr>
      <w:r>
        <w:rPr>
          <w:rFonts w:ascii="Times New Roman"/>
          <w:b w:val="false"/>
          <w:i w:val="false"/>
          <w:color w:val="000000"/>
          <w:sz w:val="28"/>
        </w:rPr>
        <w:t xml:space="preserve">
      192. БИ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 или 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w:t>
      </w:r>
    </w:p>
    <w:bookmarkEnd w:id="1655"/>
    <w:bookmarkStart w:name="z1677" w:id="1656"/>
    <w:p>
      <w:pPr>
        <w:spacing w:after="0"/>
        <w:ind w:left="0"/>
        <w:jc w:val="both"/>
      </w:pPr>
      <w:r>
        <w:rPr>
          <w:rFonts w:ascii="Times New Roman"/>
          <w:b w:val="false"/>
          <w:i w:val="false"/>
          <w:color w:val="000000"/>
          <w:sz w:val="28"/>
        </w:rPr>
        <w:t>
      Информация представляется в краткой, простой, объективной, взвешенной и лишенной рекламного характера форме, позволяющей клиницисту или потенциальному исследователю понять ее и сформулировать свою собственную объективную оценку целесообразности предлагаемого исследования, исходя из соотношения риска и пользы. По этой причине в составлении БИ принимает участие медицинский эксперт, однако содержание БИ одобряется специалистами тех областей, где были получены описываемые данные.</w:t>
      </w:r>
    </w:p>
    <w:bookmarkEnd w:id="1656"/>
    <w:bookmarkStart w:name="z1678" w:id="1657"/>
    <w:p>
      <w:pPr>
        <w:spacing w:after="0"/>
        <w:ind w:left="0"/>
        <w:jc w:val="both"/>
      </w:pPr>
      <w:r>
        <w:rPr>
          <w:rFonts w:ascii="Times New Roman"/>
          <w:b w:val="false"/>
          <w:i w:val="false"/>
          <w:color w:val="000000"/>
          <w:sz w:val="28"/>
        </w:rPr>
        <w:t>
      Настоящий Стандарт определяет минимальный объем информации, которая включается в БИ, и дает рекомендации по структуре изложения данной информации. Предполагается, что характер и объем доступной информации изменяется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БИ составляется менее подробно. С разрешения экспертной организации, вместо БИ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(по новому показанию), БИ составляется с учетом нового применения. БИ следует пересматривать и исправлять не реже одного раза в год и дополнять в соответствии со стандартными процедурами спонсора. БИ пересматривается чаще в зависимости от стадии разработки препарата и по мере поступления новой значимой информации. Однако в соответствии с надлежащей клинической практикой, если появляется новая важная информация, ее сообщают исследователям и Комиссии по вопросам этики и (или) уполномоченному органу до ее включения в новую редакцию БИ.</w:t>
      </w:r>
    </w:p>
    <w:bookmarkEnd w:id="1657"/>
    <w:bookmarkStart w:name="z1679" w:id="1658"/>
    <w:p>
      <w:pPr>
        <w:spacing w:after="0"/>
        <w:ind w:left="0"/>
        <w:jc w:val="both"/>
      </w:pPr>
      <w:r>
        <w:rPr>
          <w:rFonts w:ascii="Times New Roman"/>
          <w:b w:val="false"/>
          <w:i w:val="false"/>
          <w:color w:val="000000"/>
          <w:sz w:val="28"/>
        </w:rPr>
        <w:t>
      Спонсор обеспечивает предоставление исследователям актуальной редакции БИ, а исследователи отвечают за предоставление актуальной редакции БИ соответствующей Комиссии по вопросам этики.</w:t>
      </w:r>
    </w:p>
    <w:bookmarkEnd w:id="1658"/>
    <w:bookmarkStart w:name="z1680" w:id="1659"/>
    <w:p>
      <w:pPr>
        <w:spacing w:after="0"/>
        <w:ind w:left="0"/>
        <w:jc w:val="both"/>
      </w:pPr>
      <w:r>
        <w:rPr>
          <w:rFonts w:ascii="Times New Roman"/>
          <w:b w:val="false"/>
          <w:i w:val="false"/>
          <w:color w:val="000000"/>
          <w:sz w:val="28"/>
        </w:rPr>
        <w:t>
      Если спонсором исследования является исследователь, он рассматривает возможность получения БИ от изготовителя препарата. Если исследуемый препарат предоставляется самим спонсором-исследователем, он доводит необходимую информацию до сведения занятого в исследовании персонала. В тех случаях, когда составление традиционной БИ неосуществимо, в качестве альтернативы спонсор-исследователь включает в протокол исследования раздел, включающий подробно изложенные данные, содержащие минимальный объем текущей информации, предусматриваемой настоящим Стандартом.</w:t>
      </w:r>
    </w:p>
    <w:bookmarkEnd w:id="1659"/>
    <w:bookmarkStart w:name="z1681" w:id="1660"/>
    <w:p>
      <w:pPr>
        <w:spacing w:after="0"/>
        <w:ind w:left="0"/>
        <w:jc w:val="both"/>
      </w:pPr>
      <w:r>
        <w:rPr>
          <w:rFonts w:ascii="Times New Roman"/>
          <w:b w:val="false"/>
          <w:i w:val="false"/>
          <w:color w:val="000000"/>
          <w:sz w:val="28"/>
        </w:rPr>
        <w:t>
      193. БИ включает в себя:</w:t>
      </w:r>
    </w:p>
    <w:bookmarkEnd w:id="1660"/>
    <w:bookmarkStart w:name="z1682" w:id="1661"/>
    <w:p>
      <w:pPr>
        <w:spacing w:after="0"/>
        <w:ind w:left="0"/>
        <w:jc w:val="both"/>
      </w:pPr>
      <w:r>
        <w:rPr>
          <w:rFonts w:ascii="Times New Roman"/>
          <w:b w:val="false"/>
          <w:i w:val="false"/>
          <w:color w:val="000000"/>
          <w:sz w:val="28"/>
        </w:rPr>
        <w:t>
      1) титульный лист. Указываются наименование спонсора, характеристики каждого исследуемого препарата и дата редакции БИ. Рекомендуется указывать номер версии БИ, а также номер и дату предыдущей редакции БИ;</w:t>
      </w:r>
    </w:p>
    <w:bookmarkEnd w:id="1661"/>
    <w:bookmarkStart w:name="z1683" w:id="1662"/>
    <w:p>
      <w:pPr>
        <w:spacing w:after="0"/>
        <w:ind w:left="0"/>
        <w:jc w:val="both"/>
      </w:pPr>
      <w:r>
        <w:rPr>
          <w:rFonts w:ascii="Times New Roman"/>
          <w:b w:val="false"/>
          <w:i w:val="false"/>
          <w:color w:val="000000"/>
          <w:sz w:val="28"/>
        </w:rPr>
        <w:t>
      2) указание на конфиденциальность. По желанию спонсор включает в БИ уведомление исследователей или получателей о том, что они рассматривают БИ как конфиденциальный документ, предназначенный исключительно для ознакомления и использования исследовательским коллективом и Комиссией по вопросам этики.</w:t>
      </w:r>
    </w:p>
    <w:bookmarkEnd w:id="1662"/>
    <w:bookmarkStart w:name="z1684" w:id="1663"/>
    <w:p>
      <w:pPr>
        <w:spacing w:after="0"/>
        <w:ind w:left="0"/>
        <w:jc w:val="left"/>
      </w:pPr>
      <w:r>
        <w:rPr>
          <w:rFonts w:ascii="Times New Roman"/>
          <w:b/>
          <w:i w:val="false"/>
          <w:color w:val="000000"/>
        </w:rPr>
        <w:t xml:space="preserve"> Параграф 2. Содержание БИ</w:t>
      </w:r>
    </w:p>
    <w:bookmarkEnd w:id="1663"/>
    <w:bookmarkStart w:name="z1685" w:id="1664"/>
    <w:p>
      <w:pPr>
        <w:spacing w:after="0"/>
        <w:ind w:left="0"/>
        <w:jc w:val="both"/>
      </w:pPr>
      <w:r>
        <w:rPr>
          <w:rFonts w:ascii="Times New Roman"/>
          <w:b w:val="false"/>
          <w:i w:val="false"/>
          <w:color w:val="000000"/>
          <w:sz w:val="28"/>
        </w:rPr>
        <w:t>
      194. БИ имеет следующие разделы, основные из которых следует сопровождать списком ссылок на литературные источники:</w:t>
      </w:r>
    </w:p>
    <w:bookmarkEnd w:id="1664"/>
    <w:bookmarkStart w:name="z1686" w:id="1665"/>
    <w:p>
      <w:pPr>
        <w:spacing w:after="0"/>
        <w:ind w:left="0"/>
        <w:jc w:val="both"/>
      </w:pPr>
      <w:r>
        <w:rPr>
          <w:rFonts w:ascii="Times New Roman"/>
          <w:b w:val="false"/>
          <w:i w:val="false"/>
          <w:color w:val="000000"/>
          <w:sz w:val="28"/>
        </w:rPr>
        <w:t>
      1) оглавление;</w:t>
      </w:r>
    </w:p>
    <w:bookmarkEnd w:id="1665"/>
    <w:bookmarkStart w:name="z1687" w:id="1666"/>
    <w:p>
      <w:pPr>
        <w:spacing w:after="0"/>
        <w:ind w:left="0"/>
        <w:jc w:val="both"/>
      </w:pPr>
      <w:r>
        <w:rPr>
          <w:rFonts w:ascii="Times New Roman"/>
          <w:b w:val="false"/>
          <w:i w:val="false"/>
          <w:color w:val="000000"/>
          <w:sz w:val="28"/>
        </w:rPr>
        <w:t>
      2) краткий обзор. Представляется краткое резюме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p>
    <w:bookmarkEnd w:id="1666"/>
    <w:bookmarkStart w:name="z1688" w:id="1667"/>
    <w:p>
      <w:pPr>
        <w:spacing w:after="0"/>
        <w:ind w:left="0"/>
        <w:jc w:val="both"/>
      </w:pPr>
      <w:r>
        <w:rPr>
          <w:rFonts w:ascii="Times New Roman"/>
          <w:b w:val="false"/>
          <w:i w:val="false"/>
          <w:color w:val="000000"/>
          <w:sz w:val="28"/>
        </w:rPr>
        <w:t>
      3) введение. В кратком вводном разделе указываются химическое название, международное непатентованное и торговое названия исследуемого препарата, если он зарегистрирован, все активные компоненты, фармакологическая группа, к которой относится исследуемый препарат, а также его потенциальные преимущества в фармакологической группе,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формулируется общий подход к оценке исследуемого препарата.</w:t>
      </w:r>
    </w:p>
    <w:bookmarkEnd w:id="1667"/>
    <w:bookmarkStart w:name="z1689" w:id="1668"/>
    <w:p>
      <w:pPr>
        <w:spacing w:after="0"/>
        <w:ind w:left="0"/>
        <w:jc w:val="both"/>
      </w:pPr>
      <w:r>
        <w:rPr>
          <w:rFonts w:ascii="Times New Roman"/>
          <w:b w:val="false"/>
          <w:i w:val="false"/>
          <w:color w:val="000000"/>
          <w:sz w:val="28"/>
        </w:rPr>
        <w:t>
      4) физические, химические и фармацевтические свойства и лекарственная форма. Представляются описание компонентов исследуемого препарата, включая химические и (или) структурные формулы, а также краткая справка об основных физических, химических и фармацевтических свойствах.</w:t>
      </w:r>
    </w:p>
    <w:bookmarkEnd w:id="1668"/>
    <w:bookmarkStart w:name="z1690" w:id="1669"/>
    <w:p>
      <w:pPr>
        <w:spacing w:after="0"/>
        <w:ind w:left="0"/>
        <w:jc w:val="both"/>
      </w:pPr>
      <w:r>
        <w:rPr>
          <w:rFonts w:ascii="Times New Roman"/>
          <w:b w:val="false"/>
          <w:i w:val="false"/>
          <w:color w:val="000000"/>
          <w:sz w:val="28"/>
        </w:rPr>
        <w:t>
      Для обеспечения мер безопасности в ходе исследования указывается и обосновывается состав лекарственной формы, включая дополнительные вещества. Также предоставляются инструкции по хранению и использованию лекарственных форм.</w:t>
      </w:r>
    </w:p>
    <w:bookmarkEnd w:id="1669"/>
    <w:bookmarkStart w:name="z1691" w:id="1670"/>
    <w:p>
      <w:pPr>
        <w:spacing w:after="0"/>
        <w:ind w:left="0"/>
        <w:jc w:val="both"/>
      </w:pPr>
      <w:r>
        <w:rPr>
          <w:rFonts w:ascii="Times New Roman"/>
          <w:b w:val="false"/>
          <w:i w:val="false"/>
          <w:color w:val="000000"/>
          <w:sz w:val="28"/>
        </w:rPr>
        <w:t>
      Следует упомянуть любое структурное сходство с другими известными соединениями.</w:t>
      </w:r>
    </w:p>
    <w:bookmarkEnd w:id="1670"/>
    <w:bookmarkStart w:name="z1692" w:id="1671"/>
    <w:p>
      <w:pPr>
        <w:spacing w:after="0"/>
        <w:ind w:left="0"/>
        <w:jc w:val="both"/>
      </w:pPr>
      <w:r>
        <w:rPr>
          <w:rFonts w:ascii="Times New Roman"/>
          <w:b w:val="false"/>
          <w:i w:val="false"/>
          <w:color w:val="000000"/>
          <w:sz w:val="28"/>
        </w:rPr>
        <w:t>
      5) доклинические исследования представляются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Описываются использованные методы, представляются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наличия (доступности) информации указывают следующее:</w:t>
      </w:r>
    </w:p>
    <w:bookmarkEnd w:id="1671"/>
    <w:bookmarkStart w:name="z1693" w:id="1672"/>
    <w:p>
      <w:pPr>
        <w:spacing w:after="0"/>
        <w:ind w:left="0"/>
        <w:jc w:val="both"/>
      </w:pPr>
      <w:r>
        <w:rPr>
          <w:rFonts w:ascii="Times New Roman"/>
          <w:b w:val="false"/>
          <w:i w:val="false"/>
          <w:color w:val="000000"/>
          <w:sz w:val="28"/>
        </w:rPr>
        <w:t>
      использованные в исследованиях виды животных;</w:t>
      </w:r>
    </w:p>
    <w:bookmarkEnd w:id="1672"/>
    <w:bookmarkStart w:name="z1694" w:id="1673"/>
    <w:p>
      <w:pPr>
        <w:spacing w:after="0"/>
        <w:ind w:left="0"/>
        <w:jc w:val="both"/>
      </w:pPr>
      <w:r>
        <w:rPr>
          <w:rFonts w:ascii="Times New Roman"/>
          <w:b w:val="false"/>
          <w:i w:val="false"/>
          <w:color w:val="000000"/>
          <w:sz w:val="28"/>
        </w:rPr>
        <w:t>
      количество и пол животных в каждой группе;</w:t>
      </w:r>
    </w:p>
    <w:bookmarkEnd w:id="1673"/>
    <w:bookmarkStart w:name="z1695" w:id="1674"/>
    <w:p>
      <w:pPr>
        <w:spacing w:after="0"/>
        <w:ind w:left="0"/>
        <w:jc w:val="both"/>
      </w:pPr>
      <w:r>
        <w:rPr>
          <w:rFonts w:ascii="Times New Roman"/>
          <w:b w:val="false"/>
          <w:i w:val="false"/>
          <w:color w:val="000000"/>
          <w:sz w:val="28"/>
        </w:rPr>
        <w:t>
      единицы измерения дозы (миллиграмм/килограмм (мг/кг));</w:t>
      </w:r>
    </w:p>
    <w:bookmarkEnd w:id="1674"/>
    <w:bookmarkStart w:name="z1696" w:id="1675"/>
    <w:p>
      <w:pPr>
        <w:spacing w:after="0"/>
        <w:ind w:left="0"/>
        <w:jc w:val="both"/>
      </w:pPr>
      <w:r>
        <w:rPr>
          <w:rFonts w:ascii="Times New Roman"/>
          <w:b w:val="false"/>
          <w:i w:val="false"/>
          <w:color w:val="000000"/>
          <w:sz w:val="28"/>
        </w:rPr>
        <w:t>
      кратность введения;</w:t>
      </w:r>
    </w:p>
    <w:bookmarkEnd w:id="1675"/>
    <w:bookmarkStart w:name="z1697" w:id="1676"/>
    <w:p>
      <w:pPr>
        <w:spacing w:after="0"/>
        <w:ind w:left="0"/>
        <w:jc w:val="both"/>
      </w:pPr>
      <w:r>
        <w:rPr>
          <w:rFonts w:ascii="Times New Roman"/>
          <w:b w:val="false"/>
          <w:i w:val="false"/>
          <w:color w:val="000000"/>
          <w:sz w:val="28"/>
        </w:rPr>
        <w:t>
      путь введения;</w:t>
      </w:r>
    </w:p>
    <w:bookmarkEnd w:id="1676"/>
    <w:bookmarkStart w:name="z1698" w:id="1677"/>
    <w:p>
      <w:pPr>
        <w:spacing w:after="0"/>
        <w:ind w:left="0"/>
        <w:jc w:val="both"/>
      </w:pPr>
      <w:r>
        <w:rPr>
          <w:rFonts w:ascii="Times New Roman"/>
          <w:b w:val="false"/>
          <w:i w:val="false"/>
          <w:color w:val="000000"/>
          <w:sz w:val="28"/>
        </w:rPr>
        <w:t>
      длительность курса введения;</w:t>
      </w:r>
    </w:p>
    <w:bookmarkEnd w:id="1677"/>
    <w:bookmarkStart w:name="z1699" w:id="1678"/>
    <w:p>
      <w:pPr>
        <w:spacing w:after="0"/>
        <w:ind w:left="0"/>
        <w:jc w:val="both"/>
      </w:pPr>
      <w:r>
        <w:rPr>
          <w:rFonts w:ascii="Times New Roman"/>
          <w:b w:val="false"/>
          <w:i w:val="false"/>
          <w:color w:val="000000"/>
          <w:sz w:val="28"/>
        </w:rPr>
        <w:t>
      информация, относящаяся к системному распределению;</w:t>
      </w:r>
    </w:p>
    <w:bookmarkEnd w:id="1678"/>
    <w:bookmarkStart w:name="z1700" w:id="1679"/>
    <w:p>
      <w:pPr>
        <w:spacing w:after="0"/>
        <w:ind w:left="0"/>
        <w:jc w:val="both"/>
      </w:pPr>
      <w:r>
        <w:rPr>
          <w:rFonts w:ascii="Times New Roman"/>
          <w:b w:val="false"/>
          <w:i w:val="false"/>
          <w:color w:val="000000"/>
          <w:sz w:val="28"/>
        </w:rPr>
        <w:t>
      продолжительность последующего наблюдения после окончания введения препарата.</w:t>
      </w:r>
    </w:p>
    <w:bookmarkEnd w:id="1679"/>
    <w:bookmarkStart w:name="z1701" w:id="1680"/>
    <w:p>
      <w:pPr>
        <w:spacing w:after="0"/>
        <w:ind w:left="0"/>
        <w:jc w:val="both"/>
      </w:pPr>
      <w:r>
        <w:rPr>
          <w:rFonts w:ascii="Times New Roman"/>
          <w:b w:val="false"/>
          <w:i w:val="false"/>
          <w:color w:val="000000"/>
          <w:sz w:val="28"/>
        </w:rPr>
        <w:t>
      Результаты, включая раскрытие следующих аспектов:</w:t>
      </w:r>
    </w:p>
    <w:bookmarkEnd w:id="1680"/>
    <w:bookmarkStart w:name="z1702" w:id="1681"/>
    <w:p>
      <w:pPr>
        <w:spacing w:after="0"/>
        <w:ind w:left="0"/>
        <w:jc w:val="both"/>
      </w:pPr>
      <w:r>
        <w:rPr>
          <w:rFonts w:ascii="Times New Roman"/>
          <w:b w:val="false"/>
          <w:i w:val="false"/>
          <w:color w:val="000000"/>
          <w:sz w:val="28"/>
        </w:rPr>
        <w:t>
      характера и частоты фармакологических или токсических эффектов;</w:t>
      </w:r>
    </w:p>
    <w:bookmarkEnd w:id="1681"/>
    <w:bookmarkStart w:name="z1703" w:id="1682"/>
    <w:p>
      <w:pPr>
        <w:spacing w:after="0"/>
        <w:ind w:left="0"/>
        <w:jc w:val="both"/>
      </w:pPr>
      <w:r>
        <w:rPr>
          <w:rFonts w:ascii="Times New Roman"/>
          <w:b w:val="false"/>
          <w:i w:val="false"/>
          <w:color w:val="000000"/>
          <w:sz w:val="28"/>
        </w:rPr>
        <w:t>
      выраженности или степени тяжести фармакологических или токсических эффектов;</w:t>
      </w:r>
    </w:p>
    <w:bookmarkEnd w:id="1682"/>
    <w:bookmarkStart w:name="z1704" w:id="1683"/>
    <w:p>
      <w:pPr>
        <w:spacing w:after="0"/>
        <w:ind w:left="0"/>
        <w:jc w:val="both"/>
      </w:pPr>
      <w:r>
        <w:rPr>
          <w:rFonts w:ascii="Times New Roman"/>
          <w:b w:val="false"/>
          <w:i w:val="false"/>
          <w:color w:val="000000"/>
          <w:sz w:val="28"/>
        </w:rPr>
        <w:t>
      дозозависимости эффектов;</w:t>
      </w:r>
    </w:p>
    <w:bookmarkEnd w:id="1683"/>
    <w:bookmarkStart w:name="z1705" w:id="1684"/>
    <w:p>
      <w:pPr>
        <w:spacing w:after="0"/>
        <w:ind w:left="0"/>
        <w:jc w:val="both"/>
      </w:pPr>
      <w:r>
        <w:rPr>
          <w:rFonts w:ascii="Times New Roman"/>
          <w:b w:val="false"/>
          <w:i w:val="false"/>
          <w:color w:val="000000"/>
          <w:sz w:val="28"/>
        </w:rPr>
        <w:t>
      времени до наступления эффектов;</w:t>
      </w:r>
    </w:p>
    <w:bookmarkEnd w:id="1684"/>
    <w:bookmarkStart w:name="z1706" w:id="1685"/>
    <w:p>
      <w:pPr>
        <w:spacing w:after="0"/>
        <w:ind w:left="0"/>
        <w:jc w:val="both"/>
      </w:pPr>
      <w:r>
        <w:rPr>
          <w:rFonts w:ascii="Times New Roman"/>
          <w:b w:val="false"/>
          <w:i w:val="false"/>
          <w:color w:val="000000"/>
          <w:sz w:val="28"/>
        </w:rPr>
        <w:t>
      обратимости эффектов;</w:t>
      </w:r>
    </w:p>
    <w:bookmarkEnd w:id="1685"/>
    <w:bookmarkStart w:name="z1707" w:id="1686"/>
    <w:p>
      <w:pPr>
        <w:spacing w:after="0"/>
        <w:ind w:left="0"/>
        <w:jc w:val="both"/>
      </w:pPr>
      <w:r>
        <w:rPr>
          <w:rFonts w:ascii="Times New Roman"/>
          <w:b w:val="false"/>
          <w:i w:val="false"/>
          <w:color w:val="000000"/>
          <w:sz w:val="28"/>
        </w:rPr>
        <w:t>
      продолжительности эффектов.</w:t>
      </w:r>
    </w:p>
    <w:bookmarkEnd w:id="1686"/>
    <w:bookmarkStart w:name="z1708" w:id="1687"/>
    <w:p>
      <w:pPr>
        <w:spacing w:after="0"/>
        <w:ind w:left="0"/>
        <w:jc w:val="both"/>
      </w:pPr>
      <w:r>
        <w:rPr>
          <w:rFonts w:ascii="Times New Roman"/>
          <w:b w:val="false"/>
          <w:i w:val="false"/>
          <w:color w:val="000000"/>
          <w:sz w:val="28"/>
        </w:rPr>
        <w:t>
      Для большей наглядности данные рекомендуется представлять в виде таблиц или списков. Последующие разделы содержат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Проводится сравнение результатов исследования эффективных и нетоксических доз препарата на животных одного и того же вида (определить терапевтический индекс). Следует указать, как эти данные соотносятся с дозировками, предлагаемыми для применения у человека. Во всех случаях при проведении сравнений рекомендуется указывать концентрации препарата в крови или ткани, а не дозировки, выраженные в мг/кг.</w:t>
      </w:r>
    </w:p>
    <w:bookmarkEnd w:id="1687"/>
    <w:bookmarkStart w:name="z1709" w:id="1688"/>
    <w:p>
      <w:pPr>
        <w:spacing w:after="0"/>
        <w:ind w:left="0"/>
        <w:jc w:val="both"/>
      </w:pPr>
      <w:r>
        <w:rPr>
          <w:rFonts w:ascii="Times New Roman"/>
          <w:b w:val="false"/>
          <w:i w:val="false"/>
          <w:color w:val="000000"/>
          <w:sz w:val="28"/>
        </w:rPr>
        <w:t>
      Раздел доклиническая фармакология включает краткое описание фармакологических свойств исследуемого препарата и его основных метаболитов по результатам исследований на животных. Краткое описание включает в себя исследования по оценке возможной терапевтической активности: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включая специальные исследования для изучения иных, не имеющих терапевтической направленности, фармакологических эффектов.</w:t>
      </w:r>
    </w:p>
    <w:bookmarkEnd w:id="1688"/>
    <w:bookmarkStart w:name="z1710" w:id="1689"/>
    <w:p>
      <w:pPr>
        <w:spacing w:after="0"/>
        <w:ind w:left="0"/>
        <w:jc w:val="both"/>
      </w:pPr>
      <w:r>
        <w:rPr>
          <w:rFonts w:ascii="Times New Roman"/>
          <w:b w:val="false"/>
          <w:i w:val="false"/>
          <w:color w:val="000000"/>
          <w:sz w:val="28"/>
        </w:rPr>
        <w:t>
      Раздел фармакокинетика и метаболизм препарата у животных включает в себя краткое описание фармакокинетики, метаболизма и распределения исследуемого препарата в тканях животных видов, на которых проводились исследования. Освещается всасывание, местная и системная биодоступность исследуемого препарата и его метаболитов, а также их связь с данными фармакологических и токсикологических исследований на животных.</w:t>
      </w:r>
    </w:p>
    <w:bookmarkEnd w:id="1689"/>
    <w:bookmarkStart w:name="z1711" w:id="1690"/>
    <w:p>
      <w:pPr>
        <w:spacing w:after="0"/>
        <w:ind w:left="0"/>
        <w:jc w:val="both"/>
      </w:pPr>
      <w:r>
        <w:rPr>
          <w:rFonts w:ascii="Times New Roman"/>
          <w:b w:val="false"/>
          <w:i w:val="false"/>
          <w:color w:val="000000"/>
          <w:sz w:val="28"/>
        </w:rPr>
        <w:t>
      Раздел токсикология включает в себя краткое описание токсических эффектов исследуемого препарата, выявленных в исследованиях на животные разные виды. Следует, по возможности, придерживаться нижеприведенной структуры оглавления данного раздела:</w:t>
      </w:r>
    </w:p>
    <w:bookmarkEnd w:id="1690"/>
    <w:bookmarkStart w:name="z1712" w:id="1691"/>
    <w:p>
      <w:pPr>
        <w:spacing w:after="0"/>
        <w:ind w:left="0"/>
        <w:jc w:val="both"/>
      </w:pPr>
      <w:r>
        <w:rPr>
          <w:rFonts w:ascii="Times New Roman"/>
          <w:b w:val="false"/>
          <w:i w:val="false"/>
          <w:color w:val="000000"/>
          <w:sz w:val="28"/>
        </w:rPr>
        <w:t>
      токсичность при однократном введении;</w:t>
      </w:r>
    </w:p>
    <w:bookmarkEnd w:id="1691"/>
    <w:bookmarkStart w:name="z1713" w:id="1692"/>
    <w:p>
      <w:pPr>
        <w:spacing w:after="0"/>
        <w:ind w:left="0"/>
        <w:jc w:val="both"/>
      </w:pPr>
      <w:r>
        <w:rPr>
          <w:rFonts w:ascii="Times New Roman"/>
          <w:b w:val="false"/>
          <w:i w:val="false"/>
          <w:color w:val="000000"/>
          <w:sz w:val="28"/>
        </w:rPr>
        <w:t>
      токсичность при многократном введении;</w:t>
      </w:r>
    </w:p>
    <w:bookmarkEnd w:id="1692"/>
    <w:bookmarkStart w:name="z1714" w:id="1693"/>
    <w:p>
      <w:pPr>
        <w:spacing w:after="0"/>
        <w:ind w:left="0"/>
        <w:jc w:val="both"/>
      </w:pPr>
      <w:r>
        <w:rPr>
          <w:rFonts w:ascii="Times New Roman"/>
          <w:b w:val="false"/>
          <w:i w:val="false"/>
          <w:color w:val="000000"/>
          <w:sz w:val="28"/>
        </w:rPr>
        <w:t>
      канцерогенность;</w:t>
      </w:r>
    </w:p>
    <w:bookmarkEnd w:id="1693"/>
    <w:bookmarkStart w:name="z1715" w:id="1694"/>
    <w:p>
      <w:pPr>
        <w:spacing w:after="0"/>
        <w:ind w:left="0"/>
        <w:jc w:val="both"/>
      </w:pPr>
      <w:r>
        <w:rPr>
          <w:rFonts w:ascii="Times New Roman"/>
          <w:b w:val="false"/>
          <w:i w:val="false"/>
          <w:color w:val="000000"/>
          <w:sz w:val="28"/>
        </w:rPr>
        <w:t>
      специальные исследования (местно-раздражающее действие, исследование сенсибилизирующего действия);</w:t>
      </w:r>
    </w:p>
    <w:bookmarkEnd w:id="1694"/>
    <w:bookmarkStart w:name="z1716" w:id="1695"/>
    <w:p>
      <w:pPr>
        <w:spacing w:after="0"/>
        <w:ind w:left="0"/>
        <w:jc w:val="both"/>
      </w:pPr>
      <w:r>
        <w:rPr>
          <w:rFonts w:ascii="Times New Roman"/>
          <w:b w:val="false"/>
          <w:i w:val="false"/>
          <w:color w:val="000000"/>
          <w:sz w:val="28"/>
        </w:rPr>
        <w:t>
      репродуктивная токсичность;</w:t>
      </w:r>
    </w:p>
    <w:bookmarkEnd w:id="1695"/>
    <w:bookmarkStart w:name="z1717" w:id="1696"/>
    <w:p>
      <w:pPr>
        <w:spacing w:after="0"/>
        <w:ind w:left="0"/>
        <w:jc w:val="both"/>
      </w:pPr>
      <w:r>
        <w:rPr>
          <w:rFonts w:ascii="Times New Roman"/>
          <w:b w:val="false"/>
          <w:i w:val="false"/>
          <w:color w:val="000000"/>
          <w:sz w:val="28"/>
        </w:rPr>
        <w:t>
      генотоксичность (мутагенность).</w:t>
      </w:r>
    </w:p>
    <w:bookmarkEnd w:id="1696"/>
    <w:bookmarkStart w:name="z1718" w:id="1697"/>
    <w:p>
      <w:pPr>
        <w:spacing w:after="0"/>
        <w:ind w:left="0"/>
        <w:jc w:val="both"/>
      </w:pPr>
      <w:r>
        <w:rPr>
          <w:rFonts w:ascii="Times New Roman"/>
          <w:b w:val="false"/>
          <w:i w:val="false"/>
          <w:color w:val="000000"/>
          <w:sz w:val="28"/>
        </w:rPr>
        <w:t>
      6) опыт применения у человека. Раздел фармакокинетика и метаболизм у человека содержит краткую информацию, относящуюся к фармакокинетике исследуемого препарата, и включает в себя следующее (в зависимости от наличия данных):</w:t>
      </w:r>
    </w:p>
    <w:bookmarkEnd w:id="1697"/>
    <w:bookmarkStart w:name="z1719" w:id="1698"/>
    <w:p>
      <w:pPr>
        <w:spacing w:after="0"/>
        <w:ind w:left="0"/>
        <w:jc w:val="both"/>
      </w:pPr>
      <w:r>
        <w:rPr>
          <w:rFonts w:ascii="Times New Roman"/>
          <w:b w:val="false"/>
          <w:i w:val="false"/>
          <w:color w:val="000000"/>
          <w:sz w:val="28"/>
        </w:rPr>
        <w:t>
      фармакокинетику, в том числе метаболизм, всасывание, связывание с белками плазмы, распределение и выведение.</w:t>
      </w:r>
    </w:p>
    <w:bookmarkEnd w:id="1698"/>
    <w:bookmarkStart w:name="z1720" w:id="1699"/>
    <w:p>
      <w:pPr>
        <w:spacing w:after="0"/>
        <w:ind w:left="0"/>
        <w:jc w:val="both"/>
      </w:pPr>
      <w:r>
        <w:rPr>
          <w:rFonts w:ascii="Times New Roman"/>
          <w:b w:val="false"/>
          <w:i w:val="false"/>
          <w:color w:val="000000"/>
          <w:sz w:val="28"/>
        </w:rPr>
        <w:t>
      биодоступность исследуемого препарата (абсолютную и (или) относительную) с использованием определенной лекарственной формы в качестве сравнения.</w:t>
      </w:r>
    </w:p>
    <w:bookmarkEnd w:id="1699"/>
    <w:bookmarkStart w:name="z1721" w:id="1700"/>
    <w:p>
      <w:pPr>
        <w:spacing w:after="0"/>
        <w:ind w:left="0"/>
        <w:jc w:val="both"/>
      </w:pPr>
      <w:r>
        <w:rPr>
          <w:rFonts w:ascii="Times New Roman"/>
          <w:b w:val="false"/>
          <w:i w:val="false"/>
          <w:color w:val="000000"/>
          <w:sz w:val="28"/>
        </w:rPr>
        <w:t>
      субпопуляции населения, с учетом различия по полу, возрасту или нарушениям функций органов.</w:t>
      </w:r>
    </w:p>
    <w:bookmarkEnd w:id="1700"/>
    <w:bookmarkStart w:name="z1722" w:id="1701"/>
    <w:p>
      <w:pPr>
        <w:spacing w:after="0"/>
        <w:ind w:left="0"/>
        <w:jc w:val="both"/>
      </w:pPr>
      <w:r>
        <w:rPr>
          <w:rFonts w:ascii="Times New Roman"/>
          <w:b w:val="false"/>
          <w:i w:val="false"/>
          <w:color w:val="000000"/>
          <w:sz w:val="28"/>
        </w:rPr>
        <w:t>
      взаимодействия (лекарственные взаимодействия и влияние приема пищи).</w:t>
      </w:r>
    </w:p>
    <w:bookmarkEnd w:id="1701"/>
    <w:bookmarkStart w:name="z1723" w:id="1702"/>
    <w:p>
      <w:pPr>
        <w:spacing w:after="0"/>
        <w:ind w:left="0"/>
        <w:jc w:val="both"/>
      </w:pPr>
      <w:r>
        <w:rPr>
          <w:rFonts w:ascii="Times New Roman"/>
          <w:b w:val="false"/>
          <w:i w:val="false"/>
          <w:color w:val="000000"/>
          <w:sz w:val="28"/>
        </w:rPr>
        <w:t>
      Другие данные по фармакокинетике.</w:t>
      </w:r>
    </w:p>
    <w:bookmarkEnd w:id="1702"/>
    <w:bookmarkStart w:name="z1724" w:id="1703"/>
    <w:p>
      <w:pPr>
        <w:spacing w:after="0"/>
        <w:ind w:left="0"/>
        <w:jc w:val="both"/>
      </w:pPr>
      <w:r>
        <w:rPr>
          <w:rFonts w:ascii="Times New Roman"/>
          <w:b w:val="false"/>
          <w:i w:val="false"/>
          <w:color w:val="000000"/>
          <w:sz w:val="28"/>
        </w:rPr>
        <w:t>
      Безопасность и эффективность</w:t>
      </w:r>
    </w:p>
    <w:bookmarkEnd w:id="1703"/>
    <w:bookmarkStart w:name="z1725" w:id="1704"/>
    <w:p>
      <w:pPr>
        <w:spacing w:after="0"/>
        <w:ind w:left="0"/>
        <w:jc w:val="both"/>
      </w:pPr>
      <w:r>
        <w:rPr>
          <w:rFonts w:ascii="Times New Roman"/>
          <w:b w:val="false"/>
          <w:i w:val="false"/>
          <w:color w:val="000000"/>
          <w:sz w:val="28"/>
        </w:rPr>
        <w:t>
      Кратко представляется информация, относящаяся к безопасности, фармакодинамике, эффективности и дозозависимости эффектов исследуемого препарата (и его метаболитов), полученная в ходе проведенных клинических исследований (с участием здоровых добровольцев и (или) пациентов). Представляется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препарата по отдельным показаниям у различных популяций. Также представляются сводные таблицы нежелательных реакций по всем клиническим исследованиям (включая исследования для любых изучавшихся показаний). Освещаются значимые различия в характере (частоте) нежелательных реакций, как для различных показаний, так и для различных популяций.</w:t>
      </w:r>
    </w:p>
    <w:bookmarkEnd w:id="1704"/>
    <w:bookmarkStart w:name="z1726" w:id="1705"/>
    <w:p>
      <w:pPr>
        <w:spacing w:after="0"/>
        <w:ind w:left="0"/>
        <w:jc w:val="both"/>
      </w:pPr>
      <w:r>
        <w:rPr>
          <w:rFonts w:ascii="Times New Roman"/>
          <w:b w:val="false"/>
          <w:i w:val="false"/>
          <w:color w:val="000000"/>
          <w:sz w:val="28"/>
        </w:rPr>
        <w:t>
      В БИ описываются возможные риски и нежелательные реакции, которые ожидаются, основываясь на накопленном опыте применения как исследуемого препарата, так и сходных с ним препаратов. Также описываются меры предосторожности или специальные методы мониторинга, которые применяются при использовании препарата в исследовательских целях.</w:t>
      </w:r>
    </w:p>
    <w:bookmarkEnd w:id="1705"/>
    <w:bookmarkStart w:name="z1727" w:id="1706"/>
    <w:p>
      <w:pPr>
        <w:spacing w:after="0"/>
        <w:ind w:left="0"/>
        <w:jc w:val="both"/>
      </w:pPr>
      <w:r>
        <w:rPr>
          <w:rFonts w:ascii="Times New Roman"/>
          <w:b w:val="false"/>
          <w:i w:val="false"/>
          <w:color w:val="000000"/>
          <w:sz w:val="28"/>
        </w:rPr>
        <w:t>
      Пострегистрационный опыт применения. В БИ указываются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представляется в обобщенном виде. Также в БИ указываются страны, в которых заявителю было отказано в одобрении (регистрации) препарата для коммерческого использования или же разрешение на продажу (свидетельство о регистрации) было аннулировано;</w:t>
      </w:r>
    </w:p>
    <w:bookmarkEnd w:id="1706"/>
    <w:bookmarkStart w:name="z1728" w:id="1707"/>
    <w:p>
      <w:pPr>
        <w:spacing w:after="0"/>
        <w:ind w:left="0"/>
        <w:jc w:val="both"/>
      </w:pPr>
      <w:r>
        <w:rPr>
          <w:rFonts w:ascii="Times New Roman"/>
          <w:b w:val="false"/>
          <w:i w:val="false"/>
          <w:color w:val="000000"/>
          <w:sz w:val="28"/>
        </w:rPr>
        <w:t>
      7) В разделе обсуждение данных и инструкции для исследователя представляется обсуждение доклинических и клинических данных и обобщена информация, полученная из разных источников по различным свойствам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данной информации для последующих клинических исследований.</w:t>
      </w:r>
    </w:p>
    <w:bookmarkEnd w:id="1707"/>
    <w:bookmarkStart w:name="z1729" w:id="1708"/>
    <w:p>
      <w:pPr>
        <w:spacing w:after="0"/>
        <w:ind w:left="0"/>
        <w:jc w:val="both"/>
      </w:pPr>
      <w:r>
        <w:rPr>
          <w:rFonts w:ascii="Times New Roman"/>
          <w:b w:val="false"/>
          <w:i w:val="false"/>
          <w:color w:val="000000"/>
          <w:sz w:val="28"/>
        </w:rPr>
        <w:t>
      Освещаются опубликованные работы по сходным препаратам, если таковые имеются. Это позволит исследователю подготовиться к возможным нежелательным реакциям или другим проблемам, которые возникают в ходе клинических исследований.</w:t>
      </w:r>
    </w:p>
    <w:bookmarkEnd w:id="1708"/>
    <w:bookmarkStart w:name="z1730" w:id="1709"/>
    <w:p>
      <w:pPr>
        <w:spacing w:after="0"/>
        <w:ind w:left="0"/>
        <w:jc w:val="both"/>
      </w:pPr>
      <w:r>
        <w:rPr>
          <w:rFonts w:ascii="Times New Roman"/>
          <w:b w:val="false"/>
          <w:i w:val="false"/>
          <w:color w:val="000000"/>
          <w:sz w:val="28"/>
        </w:rPr>
        <w:t>
      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понадобятся в ходе клинического исследования. Это представление основывается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предоставляются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bookmarkEnd w:id="1709"/>
    <w:bookmarkStart w:name="z1731" w:id="1710"/>
    <w:p>
      <w:pPr>
        <w:spacing w:after="0"/>
        <w:ind w:left="0"/>
        <w:jc w:val="left"/>
      </w:pPr>
      <w:r>
        <w:rPr>
          <w:rFonts w:ascii="Times New Roman"/>
          <w:b/>
          <w:i w:val="false"/>
          <w:color w:val="000000"/>
        </w:rPr>
        <w:t xml:space="preserve"> Глава 8. Перечень основных документов клинического исследования</w:t>
      </w:r>
    </w:p>
    <w:bookmarkEnd w:id="1710"/>
    <w:bookmarkStart w:name="z1732" w:id="1711"/>
    <w:p>
      <w:pPr>
        <w:spacing w:after="0"/>
        <w:ind w:left="0"/>
        <w:jc w:val="both"/>
      </w:pPr>
      <w:r>
        <w:rPr>
          <w:rFonts w:ascii="Times New Roman"/>
          <w:b w:val="false"/>
          <w:i w:val="false"/>
          <w:color w:val="000000"/>
          <w:sz w:val="28"/>
        </w:rPr>
        <w:t>
      195. Основными документами являются документы, которые вместе или по отдельности позволяют оценить проведение исследования и качество полученных данных. Эти документы служат доказательством соблюдения исследователем, спонсором и монитором настоящего Стандарта.</w:t>
      </w:r>
    </w:p>
    <w:bookmarkEnd w:id="1711"/>
    <w:bookmarkStart w:name="z1733" w:id="1712"/>
    <w:p>
      <w:pPr>
        <w:spacing w:after="0"/>
        <w:ind w:left="0"/>
        <w:jc w:val="both"/>
      </w:pPr>
      <w:r>
        <w:rPr>
          <w:rFonts w:ascii="Times New Roman"/>
          <w:b w:val="false"/>
          <w:i w:val="false"/>
          <w:color w:val="000000"/>
          <w:sz w:val="28"/>
        </w:rPr>
        <w:t>
      Своевременное помещение основных документов в файлы исследователя (медицинской организации) и спонсора существенно способствует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уполномоченного органа как части процесса подтверждения законности проведения исследования и достоверности собранных данных.</w:t>
      </w:r>
    </w:p>
    <w:bookmarkEnd w:id="1712"/>
    <w:bookmarkStart w:name="z1734" w:id="1713"/>
    <w:p>
      <w:pPr>
        <w:spacing w:after="0"/>
        <w:ind w:left="0"/>
        <w:jc w:val="both"/>
      </w:pPr>
      <w:r>
        <w:rPr>
          <w:rFonts w:ascii="Times New Roman"/>
          <w:b w:val="false"/>
          <w:i w:val="false"/>
          <w:color w:val="000000"/>
          <w:sz w:val="28"/>
        </w:rPr>
        <w:t>
      Минимальный перечень основных документов сгруппирован в три раздела в зависимости от стадии клинического исследования, на которой они обычно создаются:</w:t>
      </w:r>
    </w:p>
    <w:bookmarkEnd w:id="1713"/>
    <w:bookmarkStart w:name="z1735" w:id="1714"/>
    <w:p>
      <w:pPr>
        <w:spacing w:after="0"/>
        <w:ind w:left="0"/>
        <w:jc w:val="both"/>
      </w:pPr>
      <w:r>
        <w:rPr>
          <w:rFonts w:ascii="Times New Roman"/>
          <w:b w:val="false"/>
          <w:i w:val="false"/>
          <w:color w:val="000000"/>
          <w:sz w:val="28"/>
        </w:rPr>
        <w:t>
      1) перед началом клинической фазы исследования;</w:t>
      </w:r>
    </w:p>
    <w:bookmarkEnd w:id="1714"/>
    <w:bookmarkStart w:name="z1736" w:id="1715"/>
    <w:p>
      <w:pPr>
        <w:spacing w:after="0"/>
        <w:ind w:left="0"/>
        <w:jc w:val="both"/>
      </w:pPr>
      <w:r>
        <w:rPr>
          <w:rFonts w:ascii="Times New Roman"/>
          <w:b w:val="false"/>
          <w:i w:val="false"/>
          <w:color w:val="000000"/>
          <w:sz w:val="28"/>
        </w:rPr>
        <w:t>
      2) во время клинической фазы исследования;</w:t>
      </w:r>
    </w:p>
    <w:bookmarkEnd w:id="1715"/>
    <w:bookmarkStart w:name="z1737" w:id="1716"/>
    <w:p>
      <w:pPr>
        <w:spacing w:after="0"/>
        <w:ind w:left="0"/>
        <w:jc w:val="both"/>
      </w:pPr>
      <w:r>
        <w:rPr>
          <w:rFonts w:ascii="Times New Roman"/>
          <w:b w:val="false"/>
          <w:i w:val="false"/>
          <w:color w:val="000000"/>
          <w:sz w:val="28"/>
        </w:rPr>
        <w:t>
      3) после завершения или преждевременного прекращения исследования.</w:t>
      </w:r>
    </w:p>
    <w:bookmarkEnd w:id="1716"/>
    <w:bookmarkStart w:name="z1738" w:id="1717"/>
    <w:p>
      <w:pPr>
        <w:spacing w:after="0"/>
        <w:ind w:left="0"/>
        <w:jc w:val="both"/>
      </w:pPr>
      <w:r>
        <w:rPr>
          <w:rFonts w:ascii="Times New Roman"/>
          <w:b w:val="false"/>
          <w:i w:val="false"/>
          <w:color w:val="000000"/>
          <w:sz w:val="28"/>
        </w:rPr>
        <w:t>
      В указанных ниже подпунктах раздела 8 указаны цели каждого документа, и место их хранения: в файлах исследователя (медицинской организации) либо спонсора, либо в обоих местах. Допускается объединение некоторых документов при условии, что отдельные элементы легко идентифицируются.</w:t>
      </w:r>
    </w:p>
    <w:bookmarkEnd w:id="1717"/>
    <w:bookmarkStart w:name="z1739" w:id="1718"/>
    <w:p>
      <w:pPr>
        <w:spacing w:after="0"/>
        <w:ind w:left="0"/>
        <w:jc w:val="both"/>
      </w:pPr>
      <w:r>
        <w:rPr>
          <w:rFonts w:ascii="Times New Roman"/>
          <w:b w:val="false"/>
          <w:i w:val="false"/>
          <w:color w:val="000000"/>
          <w:sz w:val="28"/>
        </w:rPr>
        <w:t>
      Файлы исследования создаются в начале исследования как в месте нахождения исследователя (медицинской организации), так и в офисе спонсора. Исследование можно считать официально завершенным только после того, как монитор проверит файлы исследователя (медицинской организации), и спонсора и подтвердит наличие всех необходимых документов в соответствующих файлах.</w:t>
      </w:r>
    </w:p>
    <w:bookmarkEnd w:id="1718"/>
    <w:bookmarkStart w:name="z1740" w:id="1719"/>
    <w:p>
      <w:pPr>
        <w:spacing w:after="0"/>
        <w:ind w:left="0"/>
        <w:jc w:val="both"/>
      </w:pPr>
      <w:r>
        <w:rPr>
          <w:rFonts w:ascii="Times New Roman"/>
          <w:b w:val="false"/>
          <w:i w:val="false"/>
          <w:color w:val="000000"/>
          <w:sz w:val="28"/>
        </w:rPr>
        <w:t>
      Перечисленные в настоящем Стандарте документы, как по отдельности, так и в совокупности подвергаются аудиту спонсора и инспекции (проверке) уполномоченного органа и предъявляются при проведении таковых.</w:t>
      </w:r>
    </w:p>
    <w:bookmarkEnd w:id="1719"/>
    <w:bookmarkStart w:name="z1741" w:id="1720"/>
    <w:p>
      <w:pPr>
        <w:spacing w:after="0"/>
        <w:ind w:left="0"/>
        <w:jc w:val="both"/>
      </w:pPr>
      <w:r>
        <w:rPr>
          <w:rFonts w:ascii="Times New Roman"/>
          <w:b w:val="false"/>
          <w:i w:val="false"/>
          <w:color w:val="000000"/>
          <w:sz w:val="28"/>
        </w:rPr>
        <w:t>
      196. На стадии планирования исследования до его формального начала создаются и помещаются в файл следующие документы:</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Брошюра исследователя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передачи исследователю (медицинской организации) необходимой и актуальной научной информации об исследуемом препарате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721"/>
          <w:p>
            <w:pPr>
              <w:spacing w:after="20"/>
              <w:ind w:left="20"/>
              <w:jc w:val="both"/>
            </w:pPr>
            <w:r>
              <w:rPr>
                <w:rFonts w:ascii="Times New Roman"/>
                <w:b w:val="false"/>
                <w:i w:val="false"/>
                <w:color w:val="000000"/>
                <w:sz w:val="20"/>
              </w:rPr>
              <w:t>
2) Документы планирования клинического исследования</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 Подписанный протокол</w:t>
            </w:r>
          </w:p>
          <w:p>
            <w:pPr>
              <w:spacing w:after="20"/>
              <w:ind w:left="20"/>
              <w:jc w:val="both"/>
            </w:pPr>
            <w:r>
              <w:rPr>
                <w:rFonts w:ascii="Times New Roman"/>
                <w:b w:val="false"/>
                <w:i w:val="false"/>
                <w:color w:val="000000"/>
                <w:sz w:val="20"/>
              </w:rPr>
              <w:t>
</w:t>
            </w:r>
            <w:r>
              <w:rPr>
                <w:rFonts w:ascii="Times New Roman"/>
                <w:b w:val="false"/>
                <w:i w:val="false"/>
                <w:color w:val="000000"/>
                <w:sz w:val="20"/>
              </w:rPr>
              <w:t>- Подписанные поправки к нему (если таковые имеются)</w:t>
            </w:r>
          </w:p>
          <w:p>
            <w:pPr>
              <w:spacing w:after="20"/>
              <w:ind w:left="20"/>
              <w:jc w:val="both"/>
            </w:pPr>
            <w:r>
              <w:rPr>
                <w:rFonts w:ascii="Times New Roman"/>
                <w:b w:val="false"/>
                <w:i w:val="false"/>
                <w:color w:val="000000"/>
                <w:sz w:val="20"/>
              </w:rPr>
              <w:t>
- Образец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факт утверждения спонсором и исследователем протокола (поправок) и ИРК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722"/>
          <w:p>
            <w:pPr>
              <w:spacing w:after="20"/>
              <w:ind w:left="20"/>
              <w:jc w:val="both"/>
            </w:pPr>
            <w:r>
              <w:rPr>
                <w:rFonts w:ascii="Times New Roman"/>
                <w:b w:val="false"/>
                <w:i w:val="false"/>
                <w:color w:val="000000"/>
                <w:sz w:val="20"/>
              </w:rPr>
              <w:t>
3) Информация, предоставляемая субъекту исследования</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 Форма информированного согласия (включая все необходимые разъяснительные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Любая другая письменная информация</w:t>
            </w:r>
          </w:p>
          <w:p>
            <w:pPr>
              <w:spacing w:after="20"/>
              <w:ind w:left="20"/>
              <w:jc w:val="both"/>
            </w:pPr>
            <w:r>
              <w:rPr>
                <w:rFonts w:ascii="Times New Roman"/>
                <w:b w:val="false"/>
                <w:i w:val="false"/>
                <w:color w:val="000000"/>
                <w:sz w:val="20"/>
              </w:rPr>
              <w:t xml:space="preserve">
 - Рекламные объявления для привлечения субъектов в исследование (если используются)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23"/>
          <w:p>
            <w:pPr>
              <w:spacing w:after="20"/>
              <w:ind w:left="20"/>
              <w:jc w:val="both"/>
            </w:pPr>
            <w:r>
              <w:rPr>
                <w:rFonts w:ascii="Times New Roman"/>
                <w:b w:val="false"/>
                <w:i w:val="false"/>
                <w:color w:val="000000"/>
                <w:sz w:val="20"/>
              </w:rPr>
              <w:t>
Документально оформить факт получения информированного согласия</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Документально подтвердить, что субъектам предоставлена соответствующая (с точки зрения содержания и доступности для понимания) письменная информация, помогающая им дать согласие на основе полной информированности</w:t>
            </w:r>
          </w:p>
          <w:p>
            <w:pPr>
              <w:spacing w:after="20"/>
              <w:ind w:left="20"/>
              <w:jc w:val="both"/>
            </w:pPr>
            <w:r>
              <w:rPr>
                <w:rFonts w:ascii="Times New Roman"/>
                <w:b w:val="false"/>
                <w:i w:val="false"/>
                <w:color w:val="000000"/>
                <w:sz w:val="20"/>
              </w:rPr>
              <w:t xml:space="preserve">
 Документально подтвердить, что меры по привлечению субъектов адекватны и отсутствует элемент принуждения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24"/>
          <w:p>
            <w:pPr>
              <w:spacing w:after="20"/>
              <w:ind w:left="20"/>
              <w:jc w:val="both"/>
            </w:pPr>
            <w:r>
              <w:rPr>
                <w:rFonts w:ascii="Times New Roman"/>
                <w:b w:val="false"/>
                <w:i w:val="false"/>
                <w:color w:val="000000"/>
                <w:sz w:val="20"/>
              </w:rPr>
              <w:t>
 </w:t>
            </w:r>
          </w:p>
          <w:bookmarkEnd w:id="1724"/>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25"/>
          <w:p>
            <w:pPr>
              <w:spacing w:after="20"/>
              <w:ind w:left="20"/>
              <w:jc w:val="both"/>
            </w:pPr>
            <w:r>
              <w:rPr>
                <w:rFonts w:ascii="Times New Roman"/>
                <w:b w:val="false"/>
                <w:i w:val="false"/>
                <w:color w:val="000000"/>
                <w:sz w:val="20"/>
              </w:rPr>
              <w:t>
 </w:t>
            </w:r>
          </w:p>
          <w:bookmarkEnd w:id="1725"/>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Финансовые аспекты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финансовое соглашение по исследованию между спонсором и исследователем (медицинской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Страховое обязательство (если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в случае причинения ущерба, связанного с исследованием, субъектам будет доступна компенсация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26"/>
          <w:p>
            <w:pPr>
              <w:spacing w:after="20"/>
              <w:ind w:left="20"/>
              <w:jc w:val="both"/>
            </w:pPr>
            <w:r>
              <w:rPr>
                <w:rFonts w:ascii="Times New Roman"/>
                <w:b w:val="false"/>
                <w:i w:val="false"/>
                <w:color w:val="000000"/>
                <w:sz w:val="20"/>
              </w:rPr>
              <w:t>
6) Подписанный договор вовлеченных сторон:</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 между исследователем (медицинской организацией) и спонсором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 исследователем (медицинской организацией) и контрактной исследовательской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между спонсором и контрактной исследовательской организацией</w:t>
            </w:r>
          </w:p>
          <w:p>
            <w:pPr>
              <w:spacing w:after="20"/>
              <w:ind w:left="20"/>
              <w:jc w:val="both"/>
            </w:pPr>
            <w:r>
              <w:rPr>
                <w:rFonts w:ascii="Times New Roman"/>
                <w:b w:val="false"/>
                <w:i w:val="false"/>
                <w:color w:val="000000"/>
                <w:sz w:val="20"/>
              </w:rPr>
              <w:t>
- между исследователем (медицинской организацией) и уполномоченным органом (если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права, обязанности и отношения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27"/>
          <w:p>
            <w:pPr>
              <w:spacing w:after="20"/>
              <w:ind w:left="20"/>
              <w:jc w:val="both"/>
            </w:pPr>
            <w:r>
              <w:rPr>
                <w:rFonts w:ascii="Times New Roman"/>
                <w:b w:val="false"/>
                <w:i w:val="false"/>
                <w:color w:val="000000"/>
                <w:sz w:val="20"/>
              </w:rPr>
              <w:t>
 </w:t>
            </w:r>
          </w:p>
          <w:bookmarkEnd w:id="1727"/>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28"/>
          <w:p>
            <w:pPr>
              <w:spacing w:after="20"/>
              <w:ind w:left="20"/>
              <w:jc w:val="both"/>
            </w:pPr>
            <w:r>
              <w:rPr>
                <w:rFonts w:ascii="Times New Roman"/>
                <w:b w:val="false"/>
                <w:i w:val="false"/>
                <w:color w:val="000000"/>
                <w:sz w:val="20"/>
              </w:rPr>
              <w:t>
 </w:t>
            </w:r>
          </w:p>
          <w:bookmarkEnd w:id="1728"/>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29"/>
          <w:p>
            <w:pPr>
              <w:spacing w:after="20"/>
              <w:ind w:left="20"/>
              <w:jc w:val="both"/>
            </w:pPr>
            <w:r>
              <w:rPr>
                <w:rFonts w:ascii="Times New Roman"/>
                <w:b w:val="false"/>
                <w:i w:val="false"/>
                <w:color w:val="000000"/>
                <w:sz w:val="20"/>
              </w:rPr>
              <w:t>
7) Датированное и документально оформленное одобрение (заключение) Комиссии по вопросам этики следующих документов:</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 протокола и любых поправок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 ИРК (если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формы информированного согласия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любой другой письменной информации, предоставляемой субъектам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рекламных объявлений для привлечения субъектов в исследование (если используются)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информации о компенсации субъектам (при наличии)</w:t>
            </w:r>
          </w:p>
          <w:p>
            <w:pPr>
              <w:spacing w:after="20"/>
              <w:ind w:left="20"/>
              <w:jc w:val="both"/>
            </w:pPr>
            <w:r>
              <w:rPr>
                <w:rFonts w:ascii="Times New Roman"/>
                <w:b w:val="false"/>
                <w:i w:val="false"/>
                <w:color w:val="000000"/>
                <w:sz w:val="20"/>
              </w:rPr>
              <w:t xml:space="preserve">
 - любых иных разрешенных (одобренных)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данное исследование рассмотрено и разрешено (одобрено) Комиссией по вопросам этики. Указывают номер версии и дату документа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Состав Комиссии по вопросам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соответствие состава Комиссии по вопросам этики требованиям настоящего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30"/>
          <w:p>
            <w:pPr>
              <w:spacing w:after="20"/>
              <w:ind w:left="20"/>
              <w:jc w:val="both"/>
            </w:pPr>
            <w:r>
              <w:rPr>
                <w:rFonts w:ascii="Times New Roman"/>
                <w:b w:val="false"/>
                <w:i w:val="false"/>
                <w:color w:val="000000"/>
                <w:sz w:val="20"/>
              </w:rPr>
              <w:t>
X</w:t>
            </w:r>
          </w:p>
          <w:bookmarkEnd w:id="1730"/>
          <w:p>
            <w:pPr>
              <w:spacing w:after="20"/>
              <w:ind w:left="20"/>
              <w:jc w:val="both"/>
            </w:pPr>
            <w:r>
              <w:rPr>
                <w:rFonts w:ascii="Times New Roman"/>
                <w:b w:val="false"/>
                <w:i w:val="false"/>
                <w:color w:val="000000"/>
                <w:sz w:val="20"/>
              </w:rPr>
              <w:t>
(где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Разрешение или одобрение протокола или уведомление о протоколе от уполномоченного органа (где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разрешение или одобрение или уведомление уполномоченного органа получено до начала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31"/>
          <w:p>
            <w:pPr>
              <w:spacing w:after="20"/>
              <w:ind w:left="20"/>
              <w:jc w:val="both"/>
            </w:pPr>
            <w:r>
              <w:rPr>
                <w:rFonts w:ascii="Times New Roman"/>
                <w:b w:val="false"/>
                <w:i w:val="false"/>
                <w:color w:val="000000"/>
                <w:sz w:val="20"/>
              </w:rPr>
              <w:t>
X</w:t>
            </w:r>
          </w:p>
          <w:bookmarkEnd w:id="1731"/>
          <w:p>
            <w:pPr>
              <w:spacing w:after="20"/>
              <w:ind w:left="20"/>
              <w:jc w:val="both"/>
            </w:pPr>
            <w:r>
              <w:rPr>
                <w:rFonts w:ascii="Times New Roman"/>
                <w:b w:val="false"/>
                <w:i w:val="false"/>
                <w:color w:val="000000"/>
                <w:sz w:val="20"/>
              </w:rPr>
              <w:t>
(где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32"/>
          <w:p>
            <w:pPr>
              <w:spacing w:after="20"/>
              <w:ind w:left="20"/>
              <w:jc w:val="both"/>
            </w:pPr>
            <w:r>
              <w:rPr>
                <w:rFonts w:ascii="Times New Roman"/>
                <w:b w:val="false"/>
                <w:i w:val="false"/>
                <w:color w:val="000000"/>
                <w:sz w:val="20"/>
              </w:rPr>
              <w:t>
X</w:t>
            </w:r>
          </w:p>
          <w:bookmarkEnd w:id="1732"/>
          <w:p>
            <w:pPr>
              <w:spacing w:after="20"/>
              <w:ind w:left="20"/>
              <w:jc w:val="both"/>
            </w:pPr>
            <w:r>
              <w:rPr>
                <w:rFonts w:ascii="Times New Roman"/>
                <w:b w:val="false"/>
                <w:i w:val="false"/>
                <w:color w:val="000000"/>
                <w:sz w:val="20"/>
              </w:rPr>
              <w:t>
(где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Резюме и другие документы, подтверждающие квалификацию исследователей и соисследователей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квалификацию и пригодность для проведения исследования и (или) осуществления медицинского наблюдения за субъектами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Нормальный диапазон значений для предусмотренных протоколом медицинских, лабораторных, технических процедур и (или) 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нормальный диапазон значений для лабораторных 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33"/>
          <w:p>
            <w:pPr>
              <w:spacing w:after="20"/>
              <w:ind w:left="20"/>
              <w:jc w:val="both"/>
            </w:pPr>
            <w:r>
              <w:rPr>
                <w:rFonts w:ascii="Times New Roman"/>
                <w:b w:val="false"/>
                <w:i w:val="false"/>
                <w:color w:val="000000"/>
                <w:sz w:val="20"/>
              </w:rPr>
              <w:t>
12) Медицинские или лабораторные, или технические процедуры (тесты):</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 сертификация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аккредитация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внутренний и (или) внешний контроль качества или</w:t>
            </w:r>
          </w:p>
          <w:p>
            <w:pPr>
              <w:spacing w:after="20"/>
              <w:ind w:left="20"/>
              <w:jc w:val="both"/>
            </w:pPr>
            <w:r>
              <w:rPr>
                <w:rFonts w:ascii="Times New Roman"/>
                <w:b w:val="false"/>
                <w:i w:val="false"/>
                <w:color w:val="000000"/>
                <w:sz w:val="20"/>
              </w:rPr>
              <w:t xml:space="preserve">
 - другие методы подтверждения (где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пригодность оборудования для проведения требуемых тестов и обеспечения надежности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34"/>
          <w:p>
            <w:pPr>
              <w:spacing w:after="20"/>
              <w:ind w:left="20"/>
              <w:jc w:val="both"/>
            </w:pPr>
            <w:r>
              <w:rPr>
                <w:rFonts w:ascii="Times New Roman"/>
                <w:b w:val="false"/>
                <w:i w:val="false"/>
                <w:color w:val="000000"/>
                <w:sz w:val="20"/>
              </w:rPr>
              <w:t>
X</w:t>
            </w:r>
          </w:p>
          <w:bookmarkEnd w:id="1734"/>
          <w:p>
            <w:pPr>
              <w:spacing w:after="20"/>
              <w:ind w:left="20"/>
              <w:jc w:val="both"/>
            </w:pPr>
            <w:r>
              <w:rPr>
                <w:rFonts w:ascii="Times New Roman"/>
                <w:b w:val="false"/>
                <w:i w:val="false"/>
                <w:color w:val="000000"/>
                <w:sz w:val="20"/>
              </w:rPr>
              <w:t>
(где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Образцы этикеток на упаковках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соблюдение соответствующих требований к маркировке исследуемого препарата и пригодность инструкций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Инструкция по обращению с исследуемыми препаратами и расходными материалами (если не БИ)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Учет поставок исследуемых препаратов и расходных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Сертификаты анализов поставляемых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подлинность, чистоту и количественное содержание активного вещества (дозировку)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Процедуры раскрытия кода для исследований, проводимых слепым методом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процедуру экстренной идентификации маскированного исследуемого препарата без нарушения маскировки для остальных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35"/>
          <w:p>
            <w:pPr>
              <w:spacing w:after="20"/>
              <w:ind w:left="20"/>
              <w:jc w:val="both"/>
            </w:pPr>
            <w:r>
              <w:rPr>
                <w:rFonts w:ascii="Times New Roman"/>
                <w:b w:val="false"/>
                <w:i w:val="false"/>
                <w:color w:val="000000"/>
                <w:sz w:val="20"/>
              </w:rPr>
              <w:t>
X</w:t>
            </w:r>
          </w:p>
          <w:bookmarkEnd w:id="1735"/>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Рандомизационный список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метод рандомизации субъектов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36"/>
          <w:p>
            <w:pPr>
              <w:spacing w:after="20"/>
              <w:ind w:left="20"/>
              <w:jc w:val="both"/>
            </w:pPr>
            <w:r>
              <w:rPr>
                <w:rFonts w:ascii="Times New Roman"/>
                <w:b w:val="false"/>
                <w:i w:val="false"/>
                <w:color w:val="000000"/>
                <w:sz w:val="20"/>
              </w:rPr>
              <w:t>
X</w:t>
            </w:r>
          </w:p>
          <w:bookmarkEnd w:id="1736"/>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Отчет монитора о выборе исследователького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приемлемость исследовательского центра для данного исследования (может быть объединено с пунктом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Отчет монитора о готовности клинической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ознакомления исследователя и исследовательский персонал с процедурами исследования (может быть объединено с пунктом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Сообщение спонсора о начале клинического исследования в адрес уполномоченного органа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начала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0" w:id="1737"/>
    <w:p>
      <w:pPr>
        <w:spacing w:after="0"/>
        <w:ind w:left="0"/>
        <w:jc w:val="both"/>
      </w:pPr>
      <w:r>
        <w:rPr>
          <w:rFonts w:ascii="Times New Roman"/>
          <w:b w:val="false"/>
          <w:i w:val="false"/>
          <w:color w:val="000000"/>
          <w:sz w:val="28"/>
        </w:rPr>
        <w:t>
      197. Во время клинической фазы исследования. 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добавляются следующие документы:</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22)Обновленные версии БИ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своевременного сообщения исследователю (медицинской организации) необходимой информации по мере ее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38"/>
          <w:p>
            <w:pPr>
              <w:spacing w:after="20"/>
              <w:ind w:left="20"/>
              <w:jc w:val="both"/>
            </w:pPr>
            <w:r>
              <w:rPr>
                <w:rFonts w:ascii="Times New Roman"/>
                <w:b w:val="false"/>
                <w:i w:val="false"/>
                <w:color w:val="000000"/>
                <w:sz w:val="20"/>
              </w:rPr>
              <w:t>
23)Любое изменение:</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 протокола (поправок) и ИРК</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формы информированного согласия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любой другой письменной информации, предоставляемой субъектам</w:t>
            </w:r>
          </w:p>
          <w:p>
            <w:pPr>
              <w:spacing w:after="20"/>
              <w:ind w:left="20"/>
              <w:jc w:val="both"/>
            </w:pPr>
            <w:r>
              <w:rPr>
                <w:rFonts w:ascii="Times New Roman"/>
                <w:b w:val="false"/>
                <w:i w:val="false"/>
                <w:color w:val="000000"/>
                <w:sz w:val="20"/>
              </w:rPr>
              <w:t xml:space="preserve">
 - рекламных объявлений для привлечения субъектов в исследование (если используются)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изменения данных документов, произведенные во время исследования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39"/>
          <w:p>
            <w:pPr>
              <w:spacing w:after="20"/>
              <w:ind w:left="20"/>
              <w:jc w:val="both"/>
            </w:pPr>
            <w:r>
              <w:rPr>
                <w:rFonts w:ascii="Times New Roman"/>
                <w:b w:val="false"/>
                <w:i w:val="false"/>
                <w:color w:val="000000"/>
                <w:sz w:val="20"/>
              </w:rPr>
              <w:t>
24) Датированное и документально оформленное одобрение (заключение) Комиссией по вопросам этики следующих документов:</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 поправок к протоколу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новых редакций: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формы информированного согласия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предоставляемых субъектам информационных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рекламных объявлений для привлечения субъектов в исследование (если используется)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других разрешенных (одобренных) документов</w:t>
            </w:r>
          </w:p>
          <w:p>
            <w:pPr>
              <w:spacing w:after="20"/>
              <w:ind w:left="20"/>
              <w:jc w:val="both"/>
            </w:pPr>
            <w:r>
              <w:rPr>
                <w:rFonts w:ascii="Times New Roman"/>
                <w:b w:val="false"/>
                <w:i w:val="false"/>
                <w:color w:val="000000"/>
                <w:sz w:val="20"/>
              </w:rPr>
              <w:t xml:space="preserve">
 - результатов периодического рассмотрения документации по исследованию (где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факт рассмотрения и одобрения (выдачи заключения) Комиссией по вопросам этики поправок и (или) новых редакций. Указываются редакция и дата документа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40"/>
          <w:p>
            <w:pPr>
              <w:spacing w:after="20"/>
              <w:ind w:left="20"/>
              <w:jc w:val="both"/>
            </w:pPr>
            <w:r>
              <w:rPr>
                <w:rFonts w:ascii="Times New Roman"/>
                <w:b w:val="false"/>
                <w:i w:val="false"/>
                <w:color w:val="000000"/>
                <w:sz w:val="20"/>
              </w:rPr>
              <w:t xml:space="preserve">
25) Где требуется, разрешение, одобрение, уведомление уполномоченных органов для: </w:t>
            </w:r>
          </w:p>
          <w:bookmarkEnd w:id="1740"/>
          <w:p>
            <w:pPr>
              <w:spacing w:after="20"/>
              <w:ind w:left="20"/>
              <w:jc w:val="both"/>
            </w:pPr>
            <w:r>
              <w:rPr>
                <w:rFonts w:ascii="Times New Roman"/>
                <w:b w:val="false"/>
                <w:i w:val="false"/>
                <w:color w:val="000000"/>
                <w:sz w:val="20"/>
              </w:rPr>
              <w:t xml:space="preserve">
 - поправок к протоколу и других документов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соответствие нормативным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(где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Текущую редакцию резюме исследователя, новых исследователей и (или) соисследователей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Смотрите подпункт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Изменения нормального диапазона значений для предусмотренных протоколом медицинских, лабораторных, технических процедур (тестов)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нормальный диапазон значений тестов, измененных в ходе исследования (смотрите подпункт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41"/>
          <w:p>
            <w:pPr>
              <w:spacing w:after="20"/>
              <w:ind w:left="20"/>
              <w:jc w:val="both"/>
            </w:pPr>
            <w:r>
              <w:rPr>
                <w:rFonts w:ascii="Times New Roman"/>
                <w:b w:val="false"/>
                <w:i w:val="false"/>
                <w:color w:val="000000"/>
                <w:sz w:val="20"/>
              </w:rPr>
              <w:t>
28) Изменения в медицинских, лабораторных, технических процедурах (тестах):</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 сертификация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аккредитация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внутренний и (или) внешний контроль качества или</w:t>
            </w:r>
          </w:p>
          <w:p>
            <w:pPr>
              <w:spacing w:after="20"/>
              <w:ind w:left="20"/>
              <w:jc w:val="both"/>
            </w:pPr>
            <w:r>
              <w:rPr>
                <w:rFonts w:ascii="Times New Roman"/>
                <w:b w:val="false"/>
                <w:i w:val="false"/>
                <w:color w:val="000000"/>
                <w:sz w:val="20"/>
              </w:rPr>
              <w:t xml:space="preserve">
 - другие методы подтверждения (где требуется)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что тесты продолжают отвечать требованиям в течение периода исследования (смотрите подпункт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(где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Документация по поставкам исследуемых препаратов и расходных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Смотрите подпункт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Сертификаты анализа новых серий исследуемых препаратов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Смотрите подпункт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Отчеты мониторов о визитах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визиты мониторов и их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42"/>
          <w:p>
            <w:pPr>
              <w:spacing w:after="20"/>
              <w:ind w:left="20"/>
              <w:jc w:val="both"/>
            </w:pPr>
            <w:r>
              <w:rPr>
                <w:rFonts w:ascii="Times New Roman"/>
                <w:b w:val="false"/>
                <w:i w:val="false"/>
                <w:color w:val="000000"/>
                <w:sz w:val="20"/>
              </w:rPr>
              <w:t>
32) Существенные для исследования переговоры (переписка) (помимо визитов):</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 переписка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записи встреч</w:t>
            </w:r>
          </w:p>
          <w:p>
            <w:pPr>
              <w:spacing w:after="20"/>
              <w:ind w:left="20"/>
              <w:jc w:val="both"/>
            </w:pPr>
            <w:r>
              <w:rPr>
                <w:rFonts w:ascii="Times New Roman"/>
                <w:b w:val="false"/>
                <w:i w:val="false"/>
                <w:color w:val="000000"/>
                <w:sz w:val="20"/>
              </w:rPr>
              <w:t xml:space="preserve">
 - записи телефонных переговоров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любые соглашения либо существенные переговоры, касающиеся вопросов проведения исследования, административных аспектов, нарушений протокола, отчетности по нежелательным явлениям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Подписанные формы информированного согласия (информационного листка)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согласие каждого субъекта получено в соответствии с настоящим Стандартом и протоколом до начала участия в исследовании. Кроме того, документально закрепить разрешение на прямой доступ (смотрите подпункт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Первичная документация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Заполненные, датированные и подписанные ИРК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(оригинал)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36)Документирование исправлений в ИРК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все изменения (дополнения) или исправления, сделанные в ИРК после записи первоначальных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(оригинал)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Уведомление спонсора исследователем о серьезных нежелательных явлениях и соответствующие отчеты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спонсора исследователем о серьезных нежелательных явлениях и соответствующие отчеты согласно параграфу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Уведомление спонсором и (или) исследователем, медицинской организацией уполномоченного органа и Комиссии по вопросам этики о непредвиденных серьезных нежелательных лекарственных реакциях и о другой информации по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спонсором и (или) исследователем или медицинской организацией уполномоченного органа и Комиссии по вопросам этики о непредвиденных серьезных нежелательных реакциях в соответствии с параграфом 16 и п. 86. и о другой информации по безопасности в соответствии с п. 142 и 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(где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Сообщение спонсором исследователю информации по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спонсором исследователю информации по безопасности в соответствии с пунктом 142.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Промежуточные или годовые отчеты, предоставляемые Комиссии по вопросам этики и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или годовые отчеты, предоставляемые Комиссии по вопросам этики в соответствии с параграфом 10 и уполномоченному органу в соответствии с пунктом 145.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(где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Журнал скрининга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идентификацию субъектов, прошедших перед исследованием скрининг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(где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Список идентификационных кодов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подтвердить, что исследователь (медицинская организация) хранят конфиденциальный список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любого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Журнал регистрации включения субъектов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хронологическую последовательность включения субъектов по идентификационным кодам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Учет исследуемого препарата на клинической базе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использование исследуемого препарата в соответствии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Лист образцов подписей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образцы подписей и инициалов всех лиц, уполномоченных вносить данные и (или) исправления в ИРК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Учет хранящихся образцов биологических жидкостей или тканей (если имеются)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закрепить местонахождение и идентификацию хранящихся образцов в случае необходимости проведения повторных анализов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1800" w:id="1743"/>
    <w:p>
      <w:pPr>
        <w:spacing w:after="0"/>
        <w:ind w:left="0"/>
        <w:jc w:val="both"/>
      </w:pPr>
      <w:r>
        <w:rPr>
          <w:rFonts w:ascii="Times New Roman"/>
          <w:b w:val="false"/>
          <w:i w:val="false"/>
          <w:color w:val="000000"/>
          <w:sz w:val="28"/>
        </w:rPr>
        <w:t>
      198. После завершения или досрочного прекращения исследования все документы, перечисленные в 196 и 197, содержатся в файле исследования вместе с нижеуказанными документами:</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исследователя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Учет исследуемого препарата на клинической базе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клинической базой или медицинской организацией, выданного субъектам, возвращенного субъектами и возвращенного спонсору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Документация по уничтожению исследуемого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уничтожения неиспользованных исследуемых препаратов спонсором или в исследовательском центре/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(если препарат уничтожен на клинической базе)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Итоговый список идентификационных кодов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Сделать возможной идентификацию всех включенных в исследование субъектов в случае необходимости их последующего наблюдения. Список хранится с соблюдением требований конфиденциальности в течение согласованного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Сертификат аудита (если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факт проведения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Итоговый отчет монитора о завершении исследования на клинической базе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Документация по распределению субъектов по группам и раскрытию кодов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Возвращается спонсору для документального закрепления имевших место случаев вскрытия кодов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Итоговый отчет исследователя, предоставляемый Комиссии по вопросам этики (если требуется) и уполномоченному органу (где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завершение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Отчет о клиническом исследовании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 результаты исследования и их интерпретацию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(если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надлежащей</w:t>
            </w:r>
            <w:r>
              <w:br/>
            </w:r>
            <w:r>
              <w:rPr>
                <w:rFonts w:ascii="Times New Roman"/>
                <w:b w:val="false"/>
                <w:i w:val="false"/>
                <w:color w:val="000000"/>
                <w:sz w:val="20"/>
              </w:rPr>
              <w:t>клинической практики (GCP)</w:t>
            </w:r>
          </w:p>
        </w:tc>
      </w:tr>
    </w:tbl>
    <w:bookmarkStart w:name="z1802" w:id="1744"/>
    <w:p>
      <w:pPr>
        <w:spacing w:after="0"/>
        <w:ind w:left="0"/>
        <w:jc w:val="left"/>
      </w:pPr>
      <w:r>
        <w:rPr>
          <w:rFonts w:ascii="Times New Roman"/>
          <w:b/>
          <w:i w:val="false"/>
          <w:color w:val="000000"/>
        </w:rPr>
        <w:t xml:space="preserve"> Порядок представления информации по безопасности в ходе клинических исследований</w:t>
      </w:r>
    </w:p>
    <w:bookmarkEnd w:id="1744"/>
    <w:bookmarkStart w:name="z1803" w:id="1745"/>
    <w:p>
      <w:pPr>
        <w:spacing w:after="0"/>
        <w:ind w:left="0"/>
        <w:jc w:val="left"/>
      </w:pPr>
      <w:r>
        <w:rPr>
          <w:rFonts w:ascii="Times New Roman"/>
          <w:b/>
          <w:i w:val="false"/>
          <w:color w:val="000000"/>
        </w:rPr>
        <w:t xml:space="preserve"> Глава I. Спонсор по представлению информации по безопасности в ходе клинического исследования</w:t>
      </w:r>
    </w:p>
    <w:bookmarkEnd w:id="1745"/>
    <w:bookmarkStart w:name="z1804" w:id="1746"/>
    <w:p>
      <w:pPr>
        <w:spacing w:after="0"/>
        <w:ind w:left="0"/>
        <w:jc w:val="left"/>
      </w:pPr>
      <w:r>
        <w:rPr>
          <w:rFonts w:ascii="Times New Roman"/>
          <w:b/>
          <w:i w:val="false"/>
          <w:color w:val="000000"/>
        </w:rPr>
        <w:t xml:space="preserve"> Параграф 1. Организация системы письменных стандартных процедур</w:t>
      </w:r>
    </w:p>
    <w:bookmarkEnd w:id="1746"/>
    <w:bookmarkStart w:name="z1805" w:id="1747"/>
    <w:p>
      <w:pPr>
        <w:spacing w:after="0"/>
        <w:ind w:left="0"/>
        <w:jc w:val="both"/>
      </w:pPr>
      <w:r>
        <w:rPr>
          <w:rFonts w:ascii="Times New Roman"/>
          <w:b w:val="false"/>
          <w:i w:val="false"/>
          <w:color w:val="000000"/>
          <w:sz w:val="28"/>
        </w:rPr>
        <w:t>
      1. Спонсор отвечает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отчетности и представления последующей информации по выявляемым нежелательным реакциям при проведении клинических исследований.</w:t>
      </w:r>
    </w:p>
    <w:bookmarkEnd w:id="1747"/>
    <w:bookmarkStart w:name="z1806" w:id="1748"/>
    <w:p>
      <w:pPr>
        <w:spacing w:after="0"/>
        <w:ind w:left="0"/>
        <w:jc w:val="left"/>
      </w:pPr>
      <w:r>
        <w:rPr>
          <w:rFonts w:ascii="Times New Roman"/>
          <w:b/>
          <w:i w:val="false"/>
          <w:color w:val="000000"/>
        </w:rPr>
        <w:t xml:space="preserve"> Параграф 2. Срок представления информации о серьезных непредвиденных нежелательных реакциях</w:t>
      </w:r>
    </w:p>
    <w:bookmarkEnd w:id="1748"/>
    <w:bookmarkStart w:name="z1807" w:id="1749"/>
    <w:p>
      <w:pPr>
        <w:spacing w:after="0"/>
        <w:ind w:left="0"/>
        <w:jc w:val="both"/>
      </w:pPr>
      <w:r>
        <w:rPr>
          <w:rFonts w:ascii="Times New Roman"/>
          <w:b w:val="false"/>
          <w:i w:val="false"/>
          <w:color w:val="000000"/>
          <w:sz w:val="28"/>
        </w:rPr>
        <w:t>
      2. Спонсор представляет информацию обо всех серьезных непредвиденных нежелательных реакциях (далее - СННР) на исследуемый препарат, выявленных в ходе клинических исследований, одобренных к проведению в Республике Казахстан, в экспертную организацию и Комиссии по вопросам этики соответствующих клинических баз в соответствии с процедурами указанных комиссий:</w:t>
      </w:r>
    </w:p>
    <w:bookmarkEnd w:id="1749"/>
    <w:bookmarkStart w:name="z1808" w:id="1750"/>
    <w:p>
      <w:pPr>
        <w:spacing w:after="0"/>
        <w:ind w:left="0"/>
        <w:jc w:val="both"/>
      </w:pPr>
      <w:r>
        <w:rPr>
          <w:rFonts w:ascii="Times New Roman"/>
          <w:b w:val="false"/>
          <w:i w:val="false"/>
          <w:color w:val="000000"/>
          <w:sz w:val="28"/>
        </w:rPr>
        <w:t>
      1) в срок до 7 календарных дней от даты получения информации о выявлении СННР в случае, если они привели к смерти или представляли угрозу для жизни;</w:t>
      </w:r>
    </w:p>
    <w:bookmarkEnd w:id="1750"/>
    <w:bookmarkStart w:name="z1809" w:id="1751"/>
    <w:p>
      <w:pPr>
        <w:spacing w:after="0"/>
        <w:ind w:left="0"/>
        <w:jc w:val="both"/>
      </w:pPr>
      <w:r>
        <w:rPr>
          <w:rFonts w:ascii="Times New Roman"/>
          <w:b w:val="false"/>
          <w:i w:val="false"/>
          <w:color w:val="000000"/>
          <w:sz w:val="28"/>
        </w:rPr>
        <w:t xml:space="preserve">
      2) в срок до 15 календарных дней от даты получения информации о выявлении СННР для остальных серьезных непредвиденных нежелательных реакций. </w:t>
      </w:r>
    </w:p>
    <w:bookmarkEnd w:id="1751"/>
    <w:bookmarkStart w:name="z1810" w:id="1752"/>
    <w:p>
      <w:pPr>
        <w:spacing w:after="0"/>
        <w:ind w:left="0"/>
        <w:jc w:val="both"/>
      </w:pPr>
      <w:r>
        <w:rPr>
          <w:rFonts w:ascii="Times New Roman"/>
          <w:b w:val="false"/>
          <w:i w:val="false"/>
          <w:color w:val="000000"/>
          <w:sz w:val="28"/>
        </w:rPr>
        <w:t xml:space="preserve">
      3. В случае отсутствия у спонсора полной информации на дату представления срочного сообщения о случае смерти или развитии жизнеугрожающего состояния, спонсором предпринимаются все меры по получению полной информации, которая представляется в форме последующего срочного сообщения о выявленной серьезной непредвиденной нежелательной реакции в срок до 8 календарных дней от даты представления первичного сообщения. </w:t>
      </w:r>
    </w:p>
    <w:bookmarkEnd w:id="1752"/>
    <w:bookmarkStart w:name="z1811" w:id="1753"/>
    <w:p>
      <w:pPr>
        <w:spacing w:after="0"/>
        <w:ind w:left="0"/>
        <w:jc w:val="both"/>
      </w:pPr>
      <w:r>
        <w:rPr>
          <w:rFonts w:ascii="Times New Roman"/>
          <w:b w:val="false"/>
          <w:i w:val="false"/>
          <w:color w:val="000000"/>
          <w:sz w:val="28"/>
        </w:rPr>
        <w:t>
      4. В случае получения спонсором новой значимой информации по выявленной серьезной непредвиденной нежелательной реакции, данная информация представляется в форме последующего сообщения в течение 15 календарных дней от даты ее получения.</w:t>
      </w:r>
    </w:p>
    <w:bookmarkEnd w:id="1753"/>
    <w:bookmarkStart w:name="z1812" w:id="1754"/>
    <w:p>
      <w:pPr>
        <w:spacing w:after="0"/>
        <w:ind w:left="0"/>
        <w:jc w:val="both"/>
      </w:pPr>
      <w:r>
        <w:rPr>
          <w:rFonts w:ascii="Times New Roman"/>
          <w:b w:val="false"/>
          <w:i w:val="false"/>
          <w:color w:val="000000"/>
          <w:sz w:val="28"/>
        </w:rPr>
        <w:t>
      5. Требования по представлению информации о серьезных непредвиденных нежелательных реакциях распространяются на исследуемый препарат, включая препарат сравнения и плацебо. Случаи СННР, связанные с приемом плацебо, не подлежат срочному представлению, за исключением случаев, когда данная реакция обусловлена компонентами, входящими в состав плацебо.</w:t>
      </w:r>
    </w:p>
    <w:bookmarkEnd w:id="1754"/>
    <w:bookmarkStart w:name="z1813" w:id="1755"/>
    <w:p>
      <w:pPr>
        <w:spacing w:after="0"/>
        <w:ind w:left="0"/>
        <w:jc w:val="left"/>
      </w:pPr>
      <w:r>
        <w:rPr>
          <w:rFonts w:ascii="Times New Roman"/>
          <w:b/>
          <w:i w:val="false"/>
          <w:color w:val="000000"/>
        </w:rPr>
        <w:t xml:space="preserve"> Параграф 3. Требования к информации о серьезной непредвиденной нежелательной реакции</w:t>
      </w:r>
    </w:p>
    <w:bookmarkEnd w:id="1755"/>
    <w:bookmarkStart w:name="z1814" w:id="1756"/>
    <w:p>
      <w:pPr>
        <w:spacing w:after="0"/>
        <w:ind w:left="0"/>
        <w:jc w:val="both"/>
      </w:pPr>
      <w:r>
        <w:rPr>
          <w:rFonts w:ascii="Times New Roman"/>
          <w:b w:val="false"/>
          <w:i w:val="false"/>
          <w:color w:val="000000"/>
          <w:sz w:val="28"/>
        </w:rPr>
        <w:t>
      6. 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p>
    <w:bookmarkEnd w:id="1756"/>
    <w:bookmarkStart w:name="z1815" w:id="1757"/>
    <w:p>
      <w:pPr>
        <w:spacing w:after="0"/>
        <w:ind w:left="0"/>
        <w:jc w:val="both"/>
      </w:pPr>
      <w:r>
        <w:rPr>
          <w:rFonts w:ascii="Times New Roman"/>
          <w:b w:val="false"/>
          <w:i w:val="false"/>
          <w:color w:val="000000"/>
          <w:sz w:val="28"/>
        </w:rPr>
        <w:t xml:space="preserve">
      1) указание подозреваемого исследуемого препарата; </w:t>
      </w:r>
    </w:p>
    <w:bookmarkEnd w:id="1757"/>
    <w:bookmarkStart w:name="z1816" w:id="1758"/>
    <w:p>
      <w:pPr>
        <w:spacing w:after="0"/>
        <w:ind w:left="0"/>
        <w:jc w:val="both"/>
      </w:pPr>
      <w:r>
        <w:rPr>
          <w:rFonts w:ascii="Times New Roman"/>
          <w:b w:val="false"/>
          <w:i w:val="false"/>
          <w:color w:val="000000"/>
          <w:sz w:val="28"/>
        </w:rPr>
        <w:t xml:space="preserve">
      2) идентификационный код субъекта исследования, у которого развилась нежелательная реакция; </w:t>
      </w:r>
    </w:p>
    <w:bookmarkEnd w:id="1758"/>
    <w:bookmarkStart w:name="z1817" w:id="1759"/>
    <w:p>
      <w:pPr>
        <w:spacing w:after="0"/>
        <w:ind w:left="0"/>
        <w:jc w:val="both"/>
      </w:pPr>
      <w:r>
        <w:rPr>
          <w:rFonts w:ascii="Times New Roman"/>
          <w:b w:val="false"/>
          <w:i w:val="false"/>
          <w:color w:val="000000"/>
          <w:sz w:val="28"/>
        </w:rPr>
        <w:t>
      3) 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w:t>
      </w:r>
    </w:p>
    <w:bookmarkEnd w:id="1759"/>
    <w:bookmarkStart w:name="z1818" w:id="1760"/>
    <w:p>
      <w:pPr>
        <w:spacing w:after="0"/>
        <w:ind w:left="0"/>
        <w:jc w:val="both"/>
      </w:pPr>
      <w:r>
        <w:rPr>
          <w:rFonts w:ascii="Times New Roman"/>
          <w:b w:val="false"/>
          <w:i w:val="false"/>
          <w:color w:val="000000"/>
          <w:sz w:val="28"/>
        </w:rPr>
        <w:t xml:space="preserve">
      4) результат оценки причинно-следственной связи; </w:t>
      </w:r>
    </w:p>
    <w:bookmarkEnd w:id="1760"/>
    <w:bookmarkStart w:name="z1819" w:id="1761"/>
    <w:p>
      <w:pPr>
        <w:spacing w:after="0"/>
        <w:ind w:left="0"/>
        <w:jc w:val="both"/>
      </w:pPr>
      <w:r>
        <w:rPr>
          <w:rFonts w:ascii="Times New Roman"/>
          <w:b w:val="false"/>
          <w:i w:val="false"/>
          <w:color w:val="000000"/>
          <w:sz w:val="28"/>
        </w:rPr>
        <w:t xml:space="preserve">
      5) источник получения информации о нежелательной реакции; </w:t>
      </w:r>
    </w:p>
    <w:bookmarkEnd w:id="1761"/>
    <w:bookmarkStart w:name="z1820" w:id="1762"/>
    <w:p>
      <w:pPr>
        <w:spacing w:after="0"/>
        <w:ind w:left="0"/>
        <w:jc w:val="both"/>
      </w:pPr>
      <w:r>
        <w:rPr>
          <w:rFonts w:ascii="Times New Roman"/>
          <w:b w:val="false"/>
          <w:i w:val="false"/>
          <w:color w:val="000000"/>
          <w:sz w:val="28"/>
        </w:rPr>
        <w:t>
      6) идентификационный номер сообщения о нежелательной реакции, присвоенный спонсором;</w:t>
      </w:r>
    </w:p>
    <w:bookmarkEnd w:id="1762"/>
    <w:bookmarkStart w:name="z1821" w:id="1763"/>
    <w:p>
      <w:pPr>
        <w:spacing w:after="0"/>
        <w:ind w:left="0"/>
        <w:jc w:val="both"/>
      </w:pPr>
      <w:r>
        <w:rPr>
          <w:rFonts w:ascii="Times New Roman"/>
          <w:b w:val="false"/>
          <w:i w:val="false"/>
          <w:color w:val="000000"/>
          <w:sz w:val="28"/>
        </w:rPr>
        <w:t xml:space="preserve">
      7) номер протокола исследования. </w:t>
      </w:r>
    </w:p>
    <w:bookmarkEnd w:id="1763"/>
    <w:bookmarkStart w:name="z1822" w:id="1764"/>
    <w:p>
      <w:pPr>
        <w:spacing w:after="0"/>
        <w:ind w:left="0"/>
        <w:jc w:val="both"/>
      </w:pPr>
      <w:r>
        <w:rPr>
          <w:rFonts w:ascii="Times New Roman"/>
          <w:b w:val="false"/>
          <w:i w:val="false"/>
          <w:color w:val="000000"/>
          <w:sz w:val="28"/>
        </w:rPr>
        <w:t>
      7. В полной информации о серьезной непредвиденной нежелательной реакции обеспечивается последующий сбор и представление полной информации о случае СННР, которая соответствует требованиям руководства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bookmarkEnd w:id="1764"/>
    <w:bookmarkStart w:name="z1823" w:id="1765"/>
    <w:p>
      <w:pPr>
        <w:spacing w:after="0"/>
        <w:ind w:left="0"/>
        <w:jc w:val="left"/>
      </w:pPr>
      <w:r>
        <w:rPr>
          <w:rFonts w:ascii="Times New Roman"/>
          <w:b/>
          <w:i w:val="false"/>
          <w:color w:val="000000"/>
        </w:rPr>
        <w:t xml:space="preserve"> Параграф 4. Справочная информация по безопасности</w:t>
      </w:r>
    </w:p>
    <w:bookmarkEnd w:id="1765"/>
    <w:bookmarkStart w:name="z1824" w:id="1766"/>
    <w:p>
      <w:pPr>
        <w:spacing w:after="0"/>
        <w:ind w:left="0"/>
        <w:jc w:val="both"/>
      </w:pPr>
      <w:r>
        <w:rPr>
          <w:rFonts w:ascii="Times New Roman"/>
          <w:b w:val="false"/>
          <w:i w:val="false"/>
          <w:color w:val="000000"/>
          <w:sz w:val="28"/>
        </w:rPr>
        <w:t>
      8. В целях определения предвиденности выявленной в ходе проведения клинического исследования СНР на исследуемый препарат используется действующая на дату выявления СНР версия БИ.</w:t>
      </w:r>
    </w:p>
    <w:bookmarkEnd w:id="1766"/>
    <w:bookmarkStart w:name="z1825" w:id="1767"/>
    <w:p>
      <w:pPr>
        <w:spacing w:after="0"/>
        <w:ind w:left="0"/>
        <w:jc w:val="both"/>
      </w:pPr>
      <w:r>
        <w:rPr>
          <w:rFonts w:ascii="Times New Roman"/>
          <w:b w:val="false"/>
          <w:i w:val="false"/>
          <w:color w:val="000000"/>
          <w:sz w:val="28"/>
        </w:rPr>
        <w:t>
      9. 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СНР, используется действующая на дату выявления нежелательной реакции версия инструкции по медицинскому применению.</w:t>
      </w:r>
    </w:p>
    <w:bookmarkEnd w:id="1767"/>
    <w:bookmarkStart w:name="z1826" w:id="1768"/>
    <w:p>
      <w:pPr>
        <w:spacing w:after="0"/>
        <w:ind w:left="0"/>
        <w:jc w:val="left"/>
      </w:pPr>
      <w:r>
        <w:rPr>
          <w:rFonts w:ascii="Times New Roman"/>
          <w:b/>
          <w:i w:val="false"/>
          <w:color w:val="000000"/>
        </w:rPr>
        <w:t xml:space="preserve"> Параграф 5. Представление иной информации по безопасности</w:t>
      </w:r>
    </w:p>
    <w:bookmarkEnd w:id="1768"/>
    <w:bookmarkStart w:name="z1827" w:id="1769"/>
    <w:p>
      <w:pPr>
        <w:spacing w:after="0"/>
        <w:ind w:left="0"/>
        <w:jc w:val="both"/>
      </w:pPr>
      <w:r>
        <w:rPr>
          <w:rFonts w:ascii="Times New Roman"/>
          <w:b w:val="false"/>
          <w:i w:val="false"/>
          <w:color w:val="000000"/>
          <w:sz w:val="28"/>
        </w:rPr>
        <w:t>
      10. Спонсор в срок до 15 календарных дней в срочном порядке представляет в экспертную организацию Республики Казахстан и Комиссии по вопросам этики соответствующих клинических центров в соответствии с процедурами указанных комиссий иную информацию по безопасности, которая изменяет оценку соотношения польза-риск исследуемого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w:t>
      </w:r>
    </w:p>
    <w:bookmarkEnd w:id="1769"/>
    <w:bookmarkStart w:name="z1828" w:id="1770"/>
    <w:p>
      <w:pPr>
        <w:spacing w:after="0"/>
        <w:ind w:left="0"/>
        <w:jc w:val="both"/>
      </w:pPr>
      <w:r>
        <w:rPr>
          <w:rFonts w:ascii="Times New Roman"/>
          <w:b w:val="false"/>
          <w:i w:val="false"/>
          <w:color w:val="000000"/>
          <w:sz w:val="28"/>
        </w:rPr>
        <w:t>
      1) о клинически значимом превышении ожидаемой частоты и изменении характера ожидаемых серьезных нежелательных реакций;</w:t>
      </w:r>
    </w:p>
    <w:bookmarkEnd w:id="1770"/>
    <w:bookmarkStart w:name="z1829" w:id="1771"/>
    <w:p>
      <w:pPr>
        <w:spacing w:after="0"/>
        <w:ind w:left="0"/>
        <w:jc w:val="both"/>
      </w:pPr>
      <w:r>
        <w:rPr>
          <w:rFonts w:ascii="Times New Roman"/>
          <w:b w:val="false"/>
          <w:i w:val="false"/>
          <w:color w:val="000000"/>
          <w:sz w:val="28"/>
        </w:rPr>
        <w:t>
      2) о серьезных непредвиденных нежелательных реакциях, развившихся у пациента после завершения его участия в клиническом исследовании;</w:t>
      </w:r>
    </w:p>
    <w:bookmarkEnd w:id="1771"/>
    <w:bookmarkStart w:name="z1830" w:id="1772"/>
    <w:p>
      <w:pPr>
        <w:spacing w:after="0"/>
        <w:ind w:left="0"/>
        <w:jc w:val="both"/>
      </w:pPr>
      <w:r>
        <w:rPr>
          <w:rFonts w:ascii="Times New Roman"/>
          <w:b w:val="false"/>
          <w:i w:val="false"/>
          <w:color w:val="000000"/>
          <w:sz w:val="28"/>
        </w:rPr>
        <w:t>
      3)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таких как:</w:t>
      </w:r>
    </w:p>
    <w:bookmarkEnd w:id="1772"/>
    <w:bookmarkStart w:name="z1831" w:id="1773"/>
    <w:p>
      <w:pPr>
        <w:spacing w:after="0"/>
        <w:ind w:left="0"/>
        <w:jc w:val="both"/>
      </w:pPr>
      <w:r>
        <w:rPr>
          <w:rFonts w:ascii="Times New Roman"/>
          <w:b w:val="false"/>
          <w:i w:val="false"/>
          <w:color w:val="000000"/>
          <w:sz w:val="28"/>
        </w:rPr>
        <w:t>
      серьезные нежелательные явления, связанные с процедурой проведения исследования, на основании которой требуется внесение изменений в протокол проведения исследования;</w:t>
      </w:r>
    </w:p>
    <w:bookmarkEnd w:id="1773"/>
    <w:bookmarkStart w:name="z1832" w:id="1774"/>
    <w:p>
      <w:pPr>
        <w:spacing w:after="0"/>
        <w:ind w:left="0"/>
        <w:jc w:val="both"/>
      </w:pPr>
      <w:r>
        <w:rPr>
          <w:rFonts w:ascii="Times New Roman"/>
          <w:b w:val="false"/>
          <w:i w:val="false"/>
          <w:color w:val="000000"/>
          <w:sz w:val="28"/>
        </w:rPr>
        <w:t>
      отсутствие эффективности исследуемого препарата, применяемого при патологии, представляющей угрозу для жизни;</w:t>
      </w:r>
    </w:p>
    <w:bookmarkEnd w:id="1774"/>
    <w:bookmarkStart w:name="z1833" w:id="1775"/>
    <w:p>
      <w:pPr>
        <w:spacing w:after="0"/>
        <w:ind w:left="0"/>
        <w:jc w:val="both"/>
      </w:pPr>
      <w:r>
        <w:rPr>
          <w:rFonts w:ascii="Times New Roman"/>
          <w:b w:val="false"/>
          <w:i w:val="false"/>
          <w:color w:val="000000"/>
          <w:sz w:val="28"/>
        </w:rPr>
        <w:t>
      4) новые важные данные по безопасности, полученные в ходе недавно завершившихся исследований на животных, в том числе выявленный канцерогенный эффект и аналогичные по тяжести и важности эффекты;</w:t>
      </w:r>
    </w:p>
    <w:bookmarkEnd w:id="1775"/>
    <w:bookmarkStart w:name="z1834" w:id="1776"/>
    <w:p>
      <w:pPr>
        <w:spacing w:after="0"/>
        <w:ind w:left="0"/>
        <w:jc w:val="both"/>
      </w:pPr>
      <w:r>
        <w:rPr>
          <w:rFonts w:ascii="Times New Roman"/>
          <w:b w:val="false"/>
          <w:i w:val="false"/>
          <w:color w:val="000000"/>
          <w:sz w:val="28"/>
        </w:rPr>
        <w:t>
      5) преждевременное прекращение или приостановка исследования в другой стране (странах), обусловленные изменением в оценке безопасности аналогичного исследуемого препарата;</w:t>
      </w:r>
    </w:p>
    <w:bookmarkEnd w:id="1776"/>
    <w:bookmarkStart w:name="z1835" w:id="1777"/>
    <w:p>
      <w:pPr>
        <w:spacing w:after="0"/>
        <w:ind w:left="0"/>
        <w:jc w:val="both"/>
      </w:pPr>
      <w:r>
        <w:rPr>
          <w:rFonts w:ascii="Times New Roman"/>
          <w:b w:val="false"/>
          <w:i w:val="false"/>
          <w:color w:val="000000"/>
          <w:sz w:val="28"/>
        </w:rPr>
        <w:t>
      6) иные данные по безопасности, которые изменяют соотношение польза-риск для субъектов исследования;</w:t>
      </w:r>
    </w:p>
    <w:bookmarkEnd w:id="1777"/>
    <w:bookmarkStart w:name="z1836" w:id="1778"/>
    <w:p>
      <w:pPr>
        <w:spacing w:after="0"/>
        <w:ind w:left="0"/>
        <w:jc w:val="both"/>
      </w:pPr>
      <w:r>
        <w:rPr>
          <w:rFonts w:ascii="Times New Roman"/>
          <w:b w:val="false"/>
          <w:i w:val="false"/>
          <w:color w:val="000000"/>
          <w:sz w:val="28"/>
        </w:rPr>
        <w:t>
      7) о рекомендациях Группы, по независимой оценке, результатов клинического исследования в отношении оценки безопасности исследуемого препарата.</w:t>
      </w:r>
    </w:p>
    <w:bookmarkEnd w:id="1778"/>
    <w:bookmarkStart w:name="z1837" w:id="1779"/>
    <w:p>
      <w:pPr>
        <w:spacing w:after="0"/>
        <w:ind w:left="0"/>
        <w:jc w:val="left"/>
      </w:pPr>
      <w:r>
        <w:rPr>
          <w:rFonts w:ascii="Times New Roman"/>
          <w:b/>
          <w:i w:val="false"/>
          <w:color w:val="000000"/>
        </w:rPr>
        <w:t xml:space="preserve"> Параграф 6. Форма представления информации по безопасности</w:t>
      </w:r>
    </w:p>
    <w:bookmarkEnd w:id="1779"/>
    <w:bookmarkStart w:name="z1838" w:id="1780"/>
    <w:p>
      <w:pPr>
        <w:spacing w:after="0"/>
        <w:ind w:left="0"/>
        <w:jc w:val="both"/>
      </w:pPr>
      <w:r>
        <w:rPr>
          <w:rFonts w:ascii="Times New Roman"/>
          <w:b w:val="false"/>
          <w:i w:val="false"/>
          <w:color w:val="000000"/>
          <w:sz w:val="28"/>
        </w:rPr>
        <w:t>
      11. Информация о СННР представляется в экспертную организацию Республики Казахстан и Комиссию по вопросам этики спонсором в форме сообщения о нежелательной реакции. Формат сообщений соответствует руководству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p>
    <w:bookmarkEnd w:id="1780"/>
    <w:bookmarkStart w:name="z1839" w:id="1781"/>
    <w:p>
      <w:pPr>
        <w:spacing w:after="0"/>
        <w:ind w:left="0"/>
        <w:jc w:val="both"/>
      </w:pPr>
      <w:r>
        <w:rPr>
          <w:rFonts w:ascii="Times New Roman"/>
          <w:b w:val="false"/>
          <w:i w:val="false"/>
          <w:color w:val="000000"/>
          <w:sz w:val="28"/>
        </w:rPr>
        <w:t>
      12. Информация о СННР представляется исследователям в обобщенном виде в форме перечисления с кратким описанием нежелательных реакций за период, продолжительность которого определяется профилем безопасности исследуемого препарата и количеством выявляемых СННР. Данный список сопровождается кратким заключением, по текущей оценке, профиля безопасности за отчетный период.</w:t>
      </w:r>
    </w:p>
    <w:bookmarkEnd w:id="1781"/>
    <w:bookmarkStart w:name="z1840" w:id="1782"/>
    <w:p>
      <w:pPr>
        <w:spacing w:after="0"/>
        <w:ind w:left="0"/>
        <w:jc w:val="both"/>
      </w:pPr>
      <w:r>
        <w:rPr>
          <w:rFonts w:ascii="Times New Roman"/>
          <w:b w:val="false"/>
          <w:i w:val="false"/>
          <w:color w:val="000000"/>
          <w:sz w:val="28"/>
        </w:rPr>
        <w:t>
      13. Иная информация по безопасности согласно параграфу 5 настоящего приложения представляется в экспертную организацию Республики Казахстан и Комиссию по вопросам этики спонсором в письменном виде с указанием названия клинического исследования, номера протокола исследования и краткого описания новой информации по безопасности.</w:t>
      </w:r>
    </w:p>
    <w:bookmarkEnd w:id="1782"/>
    <w:bookmarkStart w:name="z1841" w:id="1783"/>
    <w:p>
      <w:pPr>
        <w:spacing w:after="0"/>
        <w:ind w:left="0"/>
        <w:jc w:val="left"/>
      </w:pPr>
      <w:r>
        <w:rPr>
          <w:rFonts w:ascii="Times New Roman"/>
          <w:b/>
          <w:i w:val="false"/>
          <w:color w:val="000000"/>
        </w:rPr>
        <w:t xml:space="preserve"> Параграф 7. Область распространения требования по представлению информации по безопасности</w:t>
      </w:r>
    </w:p>
    <w:bookmarkEnd w:id="1783"/>
    <w:bookmarkStart w:name="z1842" w:id="1784"/>
    <w:p>
      <w:pPr>
        <w:spacing w:after="0"/>
        <w:ind w:left="0"/>
        <w:jc w:val="both"/>
      </w:pPr>
      <w:r>
        <w:rPr>
          <w:rFonts w:ascii="Times New Roman"/>
          <w:b w:val="false"/>
          <w:i w:val="false"/>
          <w:color w:val="000000"/>
          <w:sz w:val="28"/>
        </w:rPr>
        <w:t>
      14. Требования параграфов 2-5 настоящего приложения по представлению информации по выявленным СННР и иной информации по безопасности исследуемого препарата распространяются в отношении клинических исследований, одобренных к проведению на территории Республики Казахстан на все клинические центры, в которых спонсором либо его партнером на договорной основе выполняется клиническое исследование исследуемого препарата, включая клинические центры, расположенные не на территории Республики Казахстан.</w:t>
      </w:r>
    </w:p>
    <w:bookmarkEnd w:id="1784"/>
    <w:bookmarkStart w:name="z1843" w:id="1785"/>
    <w:p>
      <w:pPr>
        <w:spacing w:after="0"/>
        <w:ind w:left="0"/>
        <w:jc w:val="both"/>
      </w:pPr>
      <w:r>
        <w:rPr>
          <w:rFonts w:ascii="Times New Roman"/>
          <w:b w:val="false"/>
          <w:i w:val="false"/>
          <w:color w:val="000000"/>
          <w:sz w:val="28"/>
        </w:rPr>
        <w:t>
      15. Требования параграфа 2 настоящего приложения по представлению информации по выявленным СННР распространяется на выполняемые спонсором либо его партнером на договорной основе клинические исследования, в которых исследуемый препарат включает одно и то же действующее вещество, вне зависимости от лекарственной формы, дозировки, режима дозирования и показаний к применению.</w:t>
      </w:r>
    </w:p>
    <w:bookmarkEnd w:id="1785"/>
    <w:bookmarkStart w:name="z1844" w:id="1786"/>
    <w:p>
      <w:pPr>
        <w:spacing w:after="0"/>
        <w:ind w:left="0"/>
        <w:jc w:val="left"/>
      </w:pPr>
      <w:r>
        <w:rPr>
          <w:rFonts w:ascii="Times New Roman"/>
          <w:b/>
          <w:i w:val="false"/>
          <w:color w:val="000000"/>
        </w:rPr>
        <w:t xml:space="preserve"> Параграф 8. Серьезные нежелательные реакции, не связанные с исследуемым препаратом</w:t>
      </w:r>
    </w:p>
    <w:bookmarkEnd w:id="1786"/>
    <w:bookmarkStart w:name="z1845" w:id="1787"/>
    <w:p>
      <w:pPr>
        <w:spacing w:after="0"/>
        <w:ind w:left="0"/>
        <w:jc w:val="both"/>
      </w:pPr>
      <w:r>
        <w:rPr>
          <w:rFonts w:ascii="Times New Roman"/>
          <w:b w:val="false"/>
          <w:i w:val="false"/>
          <w:color w:val="000000"/>
          <w:sz w:val="28"/>
        </w:rPr>
        <w:t>
      16. Информацию о СНР, которые выявлены при проведении клинического исследования и для которых определяется взаимосвязь с назначением не исследуемого препарата, а иных назначаемых лекарственных препаратов (при исключении реакции взаимодействия с исследуемым препаратом), спонсор представляет в экспертную организацию Республики Казахстан или соответствующим владельцам регистрационных удостоверений в соответствии с действующим законодательством.</w:t>
      </w:r>
    </w:p>
    <w:bookmarkEnd w:id="1787"/>
    <w:bookmarkStart w:name="z1846" w:id="1788"/>
    <w:p>
      <w:pPr>
        <w:spacing w:after="0"/>
        <w:ind w:left="0"/>
        <w:jc w:val="left"/>
      </w:pPr>
      <w:r>
        <w:rPr>
          <w:rFonts w:ascii="Times New Roman"/>
          <w:b/>
          <w:i w:val="false"/>
          <w:color w:val="000000"/>
        </w:rPr>
        <w:t xml:space="preserve"> Параграф 9. Раскрытие рандомизационного кода</w:t>
      </w:r>
    </w:p>
    <w:bookmarkEnd w:id="1788"/>
    <w:bookmarkStart w:name="z1847" w:id="1789"/>
    <w:p>
      <w:pPr>
        <w:spacing w:after="0"/>
        <w:ind w:left="0"/>
        <w:jc w:val="both"/>
      </w:pPr>
      <w:r>
        <w:rPr>
          <w:rFonts w:ascii="Times New Roman"/>
          <w:b w:val="false"/>
          <w:i w:val="false"/>
          <w:color w:val="000000"/>
          <w:sz w:val="28"/>
        </w:rPr>
        <w:t xml:space="preserve">
      17. В случае получения сообщения о нежелательном явлении, которое оценивается как СННР, спонсором выполняется раскрытие рандомизационного кода непосредственно по субъекту исследования, у которого развилась данная нежелательная реакция. Спонсором выполняется требование параграфе 2 настоящего приложения по срочному представлению информации о выявленной СННР в экспертную организацию с учетом результатов раскрытия кода рандомизации. При этом спонсором сохраняется ослепление по таким случаям для лиц, отвечающих за дальнейшее проведение клинического исследования (мониторов, исследователей), а также за обработку данных. Информация по нежелательным реакциям с раскрытием рандомизационных кодов субъектов исследования доступна лицам, уполномоченным за выполнение требований по представлению информации о нежелательных реакциях в экспертную организацию Республики Казахстан, представителям уполномоченного органа Республики Казахстан, членам Комиссии по вопросам этики, членам Группы по независимой оценке результатов клинического исследования или иным лицам, отвечающим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 </w:t>
      </w:r>
    </w:p>
    <w:bookmarkEnd w:id="1789"/>
    <w:bookmarkStart w:name="z1848" w:id="1790"/>
    <w:p>
      <w:pPr>
        <w:spacing w:after="0"/>
        <w:ind w:left="0"/>
        <w:jc w:val="both"/>
      </w:pPr>
      <w:r>
        <w:rPr>
          <w:rFonts w:ascii="Times New Roman"/>
          <w:b w:val="false"/>
          <w:i w:val="false"/>
          <w:color w:val="000000"/>
          <w:sz w:val="28"/>
        </w:rPr>
        <w:t>
      18. Результаты раскрытия рандомизационного кода соответствующим образом отражаются в базах данных спонсора и уполномоченных органов. Обновление информации по безопасности в БИ выполняется на основании анализа данных с раскрытым кодом лечения.</w:t>
      </w:r>
    </w:p>
    <w:bookmarkEnd w:id="1790"/>
    <w:bookmarkStart w:name="z1849" w:id="1791"/>
    <w:p>
      <w:pPr>
        <w:spacing w:after="0"/>
        <w:ind w:left="0"/>
        <w:jc w:val="both"/>
      </w:pPr>
      <w:r>
        <w:rPr>
          <w:rFonts w:ascii="Times New Roman"/>
          <w:b w:val="false"/>
          <w:i w:val="false"/>
          <w:color w:val="000000"/>
          <w:sz w:val="28"/>
        </w:rPr>
        <w:t>
      19. При проведении клинических исследований с участием популяции, для которой характерен высокий уровень осложнений и смертности, в случаях, когда конечные точки по оценке эффективности могут являться одновременно СННР, либо, когда смерть или иной серьезный неблагоприятный исход является конечной точкой по оценке эффективности исследуемого препарата, достоверность результатов клинического исследования нарушается при систематическом раскрытии рандомизационных кодов. В этих, либо подобных случаях, спонсор при получении одобрения протокола клинического исследования по согласованию с уполномоченным органом определяет, какие серьезные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экспертную организацию. В этих случаях обязательным является назначение и обеспечение функционирования Группы, по независимой оценке, результатов клинического исследования с целью выполнения постоянной оценки и анализа данных по безопасности выполняемого клинического исследования и 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w:t>
      </w:r>
    </w:p>
    <w:bookmarkEnd w:id="1791"/>
    <w:bookmarkStart w:name="z1850" w:id="1792"/>
    <w:p>
      <w:pPr>
        <w:spacing w:after="0"/>
        <w:ind w:left="0"/>
        <w:jc w:val="left"/>
      </w:pPr>
      <w:r>
        <w:rPr>
          <w:rFonts w:ascii="Times New Roman"/>
          <w:b/>
          <w:i w:val="false"/>
          <w:color w:val="000000"/>
        </w:rPr>
        <w:t xml:space="preserve"> Параграф 10. Ежегодное представление информации по безопасности</w:t>
      </w:r>
    </w:p>
    <w:bookmarkEnd w:id="1792"/>
    <w:bookmarkStart w:name="z1851" w:id="1793"/>
    <w:p>
      <w:pPr>
        <w:spacing w:after="0"/>
        <w:ind w:left="0"/>
        <w:jc w:val="both"/>
      </w:pPr>
      <w:r>
        <w:rPr>
          <w:rFonts w:ascii="Times New Roman"/>
          <w:b w:val="false"/>
          <w:i w:val="false"/>
          <w:color w:val="000000"/>
          <w:sz w:val="28"/>
        </w:rPr>
        <w:t>
      20. Спонсор в течение всего срока клинического исследования ежегодно представляет в экспертную организацию Республики Казахстан, на территории которого проводится клиническое исследование исследуемого препарата, периодический отчет по безопасности исследуемого препарата, содержание которого отвечает требованиям, приведенным в приложении к Порядку представления информации по безопасности в ходе клинических исследований "Требования к периодическому отчету по безопасности разрабатываемого лекарственного препарата" настоящего Стандарта.</w:t>
      </w:r>
    </w:p>
    <w:bookmarkEnd w:id="1793"/>
    <w:bookmarkStart w:name="z1852" w:id="1794"/>
    <w:p>
      <w:pPr>
        <w:spacing w:after="0"/>
        <w:ind w:left="0"/>
        <w:jc w:val="both"/>
      </w:pPr>
      <w:r>
        <w:rPr>
          <w:rFonts w:ascii="Times New Roman"/>
          <w:b w:val="false"/>
          <w:i w:val="false"/>
          <w:color w:val="000000"/>
          <w:sz w:val="28"/>
        </w:rPr>
        <w:t>
      Информация по периодическому отчету по безопасности исследуемого препарата представляется в Комиссию по вопросам этики в форме краткого изложения основного содержания отчета с приложением структурированного перечня серьезных нежелательных реакций согласно приложению "Требования к периодическому отчету по безопасности разрабатываемого лекарственного препарата" настоящего Стандарта.</w:t>
      </w:r>
    </w:p>
    <w:bookmarkEnd w:id="1794"/>
    <w:bookmarkStart w:name="z1853" w:id="1795"/>
    <w:p>
      <w:pPr>
        <w:spacing w:after="0"/>
        <w:ind w:left="0"/>
        <w:jc w:val="left"/>
      </w:pPr>
      <w:r>
        <w:rPr>
          <w:rFonts w:ascii="Times New Roman"/>
          <w:b/>
          <w:i w:val="false"/>
          <w:color w:val="000000"/>
        </w:rPr>
        <w:t xml:space="preserve"> Глава II. Представление исследователем информации о выявленных в ходе клинического исследования нежелательных реакциях.</w:t>
      </w:r>
    </w:p>
    <w:bookmarkEnd w:id="1795"/>
    <w:bookmarkStart w:name="z1854" w:id="1796"/>
    <w:p>
      <w:pPr>
        <w:spacing w:after="0"/>
        <w:ind w:left="0"/>
        <w:jc w:val="left"/>
      </w:pPr>
      <w:r>
        <w:rPr>
          <w:rFonts w:ascii="Times New Roman"/>
          <w:b/>
          <w:i w:val="false"/>
          <w:color w:val="000000"/>
        </w:rPr>
        <w:t xml:space="preserve"> Параграф 1. Представление информации по безопасности спонсору</w:t>
      </w:r>
    </w:p>
    <w:bookmarkEnd w:id="1796"/>
    <w:bookmarkStart w:name="z1855" w:id="1797"/>
    <w:p>
      <w:pPr>
        <w:spacing w:after="0"/>
        <w:ind w:left="0"/>
        <w:jc w:val="both"/>
      </w:pPr>
      <w:r>
        <w:rPr>
          <w:rFonts w:ascii="Times New Roman"/>
          <w:b w:val="false"/>
          <w:i w:val="false"/>
          <w:color w:val="000000"/>
          <w:sz w:val="28"/>
        </w:rPr>
        <w:t>
      21. Исследователь незамедлительно, в срок не более 24 часов от даты выявления (либо получения информации о выявлении), представляет спонсору информацию обо всех серьезных нежелательных явлениях, кроме тех серьезных нежелательных явлений, которые определены в протоколе или в другом документе (в БИ), как не требующие немедленного уведомления.</w:t>
      </w:r>
    </w:p>
    <w:bookmarkEnd w:id="1797"/>
    <w:bookmarkStart w:name="z1856" w:id="1798"/>
    <w:p>
      <w:pPr>
        <w:spacing w:after="0"/>
        <w:ind w:left="0"/>
        <w:jc w:val="both"/>
      </w:pPr>
      <w:r>
        <w:rPr>
          <w:rFonts w:ascii="Times New Roman"/>
          <w:b w:val="false"/>
          <w:i w:val="false"/>
          <w:color w:val="000000"/>
          <w:sz w:val="28"/>
        </w:rPr>
        <w:t>
      После представления срочного сообщения о СНЯ исследователь представляет спонсору детальное сообщение с подробной информацией по серьезному нежелательному явлению, позволяющей спонсору сделать оценку необходимости пересмотра соотношения, польза-риск клинического исследования.</w:t>
      </w:r>
    </w:p>
    <w:bookmarkEnd w:id="1798"/>
    <w:bookmarkStart w:name="z1857" w:id="1799"/>
    <w:p>
      <w:pPr>
        <w:spacing w:after="0"/>
        <w:ind w:left="0"/>
        <w:jc w:val="both"/>
      </w:pPr>
      <w:r>
        <w:rPr>
          <w:rFonts w:ascii="Times New Roman"/>
          <w:b w:val="false"/>
          <w:i w:val="false"/>
          <w:color w:val="000000"/>
          <w:sz w:val="28"/>
        </w:rPr>
        <w:t>
      22. Исследователь представляет спонсору информацию о нежелательных реакциях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bookmarkEnd w:id="1799"/>
    <w:bookmarkStart w:name="z1858" w:id="1800"/>
    <w:p>
      <w:pPr>
        <w:spacing w:after="0"/>
        <w:ind w:left="0"/>
        <w:jc w:val="both"/>
      </w:pPr>
      <w:r>
        <w:rPr>
          <w:rFonts w:ascii="Times New Roman"/>
          <w:b w:val="false"/>
          <w:i w:val="false"/>
          <w:color w:val="000000"/>
          <w:sz w:val="28"/>
        </w:rPr>
        <w:t>
      23. Дополнительные требования по представлению информации о выявленных СНР на исследуемый препарат, не рассмотренные в рамках настоящего документа, определяются действующим законодательством Республики Казахстан.</w:t>
      </w:r>
    </w:p>
    <w:bookmarkEnd w:id="1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Порядку </w:t>
            </w:r>
            <w:r>
              <w:br/>
            </w:r>
            <w:r>
              <w:rPr>
                <w:rFonts w:ascii="Times New Roman"/>
                <w:b w:val="false"/>
                <w:i w:val="false"/>
                <w:color w:val="000000"/>
                <w:sz w:val="20"/>
              </w:rPr>
              <w:t xml:space="preserve">представления информации по </w:t>
            </w:r>
            <w:r>
              <w:br/>
            </w:r>
            <w:r>
              <w:rPr>
                <w:rFonts w:ascii="Times New Roman"/>
                <w:b w:val="false"/>
                <w:i w:val="false"/>
                <w:color w:val="000000"/>
                <w:sz w:val="20"/>
              </w:rPr>
              <w:t xml:space="preserve">безопасности в ходе </w:t>
            </w:r>
            <w:r>
              <w:br/>
            </w:r>
            <w:r>
              <w:rPr>
                <w:rFonts w:ascii="Times New Roman"/>
                <w:b w:val="false"/>
                <w:i w:val="false"/>
                <w:color w:val="000000"/>
                <w:sz w:val="20"/>
              </w:rPr>
              <w:t xml:space="preserve">клинических исследований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w:t>
            </w:r>
          </w:p>
        </w:tc>
      </w:tr>
    </w:tbl>
    <w:bookmarkStart w:name="z1860" w:id="1801"/>
    <w:p>
      <w:pPr>
        <w:spacing w:after="0"/>
        <w:ind w:left="0"/>
        <w:jc w:val="left"/>
      </w:pPr>
      <w:r>
        <w:rPr>
          <w:rFonts w:ascii="Times New Roman"/>
          <w:b/>
          <w:i w:val="false"/>
          <w:color w:val="000000"/>
        </w:rPr>
        <w:t xml:space="preserve"> Периодический отчет по безопасности разрабатываемого лекарственного препарата</w:t>
      </w:r>
    </w:p>
    <w:bookmarkEnd w:id="1801"/>
    <w:bookmarkStart w:name="z1861" w:id="1802"/>
    <w:p>
      <w:pPr>
        <w:spacing w:after="0"/>
        <w:ind w:left="0"/>
        <w:jc w:val="left"/>
      </w:pPr>
      <w:r>
        <w:rPr>
          <w:rFonts w:ascii="Times New Roman"/>
          <w:b/>
          <w:i w:val="false"/>
          <w:color w:val="000000"/>
        </w:rPr>
        <w:t xml:space="preserve"> Глава I. Общие положения</w:t>
      </w:r>
    </w:p>
    <w:bookmarkEnd w:id="1802"/>
    <w:bookmarkStart w:name="z1862" w:id="1803"/>
    <w:p>
      <w:pPr>
        <w:spacing w:after="0"/>
        <w:ind w:left="0"/>
        <w:jc w:val="left"/>
      </w:pPr>
      <w:r>
        <w:rPr>
          <w:rFonts w:ascii="Times New Roman"/>
          <w:b/>
          <w:i w:val="false"/>
          <w:color w:val="000000"/>
        </w:rPr>
        <w:t xml:space="preserve"> Параграф 1. Термины и определения.</w:t>
      </w:r>
    </w:p>
    <w:bookmarkEnd w:id="1803"/>
    <w:bookmarkStart w:name="z1863" w:id="1804"/>
    <w:p>
      <w:pPr>
        <w:spacing w:after="0"/>
        <w:ind w:left="0"/>
        <w:jc w:val="both"/>
      </w:pPr>
      <w:r>
        <w:rPr>
          <w:rFonts w:ascii="Times New Roman"/>
          <w:b w:val="false"/>
          <w:i w:val="false"/>
          <w:color w:val="000000"/>
          <w:sz w:val="28"/>
        </w:rPr>
        <w:t xml:space="preserve">
      1. Термины и определения: </w:t>
      </w:r>
    </w:p>
    <w:bookmarkEnd w:id="1804"/>
    <w:bookmarkStart w:name="z1864" w:id="1805"/>
    <w:p>
      <w:pPr>
        <w:spacing w:after="0"/>
        <w:ind w:left="0"/>
        <w:jc w:val="both"/>
      </w:pPr>
      <w:r>
        <w:rPr>
          <w:rFonts w:ascii="Times New Roman"/>
          <w:b w:val="false"/>
          <w:i w:val="false"/>
          <w:color w:val="000000"/>
          <w:sz w:val="28"/>
        </w:rPr>
        <w:t>
      1) важный идентифицированный риск и важный потенциальный риск - идентифицированный риск или потенциальный риск, который оказывает влияние на соотношение польза-риск лекарственного препарата или имеет последствия для общественного здравоохранения;</w:t>
      </w:r>
    </w:p>
    <w:bookmarkEnd w:id="1805"/>
    <w:bookmarkStart w:name="z1865" w:id="1806"/>
    <w:p>
      <w:pPr>
        <w:spacing w:after="0"/>
        <w:ind w:left="0"/>
        <w:jc w:val="both"/>
      </w:pPr>
      <w:r>
        <w:rPr>
          <w:rFonts w:ascii="Times New Roman"/>
          <w:b w:val="false"/>
          <w:i w:val="false"/>
          <w:color w:val="000000"/>
          <w:sz w:val="28"/>
        </w:rPr>
        <w:t>
      2) дата окончания сбора данных - дата завершения сбора данных для включения в периодический отчет по безопасности исследуемого препарата;</w:t>
      </w:r>
    </w:p>
    <w:bookmarkEnd w:id="1806"/>
    <w:bookmarkStart w:name="z1866" w:id="1807"/>
    <w:p>
      <w:pPr>
        <w:spacing w:after="0"/>
        <w:ind w:left="0"/>
        <w:jc w:val="both"/>
      </w:pPr>
      <w:r>
        <w:rPr>
          <w:rFonts w:ascii="Times New Roman"/>
          <w:b w:val="false"/>
          <w:i w:val="false"/>
          <w:color w:val="000000"/>
          <w:sz w:val="28"/>
        </w:rPr>
        <w:t>
      3) завершенное клиническое исследование- клиническое исследование, по результатам которого составлен итоговый отчет клинического исследования;</w:t>
      </w:r>
    </w:p>
    <w:bookmarkEnd w:id="1807"/>
    <w:bookmarkStart w:name="z1867" w:id="1808"/>
    <w:p>
      <w:pPr>
        <w:spacing w:after="0"/>
        <w:ind w:left="0"/>
        <w:jc w:val="both"/>
      </w:pPr>
      <w:r>
        <w:rPr>
          <w:rFonts w:ascii="Times New Roman"/>
          <w:b w:val="false"/>
          <w:i w:val="false"/>
          <w:color w:val="000000"/>
          <w:sz w:val="28"/>
        </w:rPr>
        <w:t>
      4) идентифицированный риск - 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bookmarkEnd w:id="1808"/>
    <w:bookmarkStart w:name="z1868" w:id="1809"/>
    <w:p>
      <w:pPr>
        <w:spacing w:after="0"/>
        <w:ind w:left="0"/>
        <w:jc w:val="both"/>
      </w:pPr>
      <w:r>
        <w:rPr>
          <w:rFonts w:ascii="Times New Roman"/>
          <w:b w:val="false"/>
          <w:i w:val="false"/>
          <w:color w:val="000000"/>
          <w:sz w:val="28"/>
        </w:rPr>
        <w:t>
      5) интервенционное клиническое исследование - клиническое исследование, в котором субъектам исследования выполняется проспективное назначение одного или нескольких медицинских вмешательств в виде профилактического вмешательства, назначения лекарственных препаратов, выполнения хирургических вмешательств, поведенческой терапии и других с целью оценки влияния данных вмешательств на показатели состояния здоровья;</w:t>
      </w:r>
    </w:p>
    <w:bookmarkEnd w:id="1809"/>
    <w:bookmarkStart w:name="z1869" w:id="1810"/>
    <w:p>
      <w:pPr>
        <w:spacing w:after="0"/>
        <w:ind w:left="0"/>
        <w:jc w:val="both"/>
      </w:pPr>
      <w:r>
        <w:rPr>
          <w:rFonts w:ascii="Times New Roman"/>
          <w:b w:val="false"/>
          <w:i w:val="false"/>
          <w:color w:val="000000"/>
          <w:sz w:val="28"/>
        </w:rPr>
        <w:t>
      6) исследуемый препарат - согласно приложения "Порядок представления информации по безопасности в ходе клинических исследований", под исследуемым препаратом понимается препарат, находящийся в разработке. В рамках данного Приложения термин имеет более узкое значение и не включает препараты сравнения и плацебо;</w:t>
      </w:r>
    </w:p>
    <w:bookmarkEnd w:id="1810"/>
    <w:bookmarkStart w:name="z1870" w:id="1811"/>
    <w:p>
      <w:pPr>
        <w:spacing w:after="0"/>
        <w:ind w:left="0"/>
        <w:jc w:val="both"/>
      </w:pPr>
      <w:r>
        <w:rPr>
          <w:rFonts w:ascii="Times New Roman"/>
          <w:b w:val="false"/>
          <w:i w:val="false"/>
          <w:color w:val="000000"/>
          <w:sz w:val="28"/>
        </w:rPr>
        <w:t>
      7) международная дата одобрения разрабатываемого лекарственного препарата (МДОРЛП) - дата первого одобрения для проведения интервенционного клинического исследования в любой из стран мира;</w:t>
      </w:r>
    </w:p>
    <w:bookmarkEnd w:id="1811"/>
    <w:bookmarkStart w:name="z1871" w:id="1812"/>
    <w:p>
      <w:pPr>
        <w:spacing w:after="0"/>
        <w:ind w:left="0"/>
        <w:jc w:val="both"/>
      </w:pPr>
      <w:r>
        <w:rPr>
          <w:rFonts w:ascii="Times New Roman"/>
          <w:b w:val="false"/>
          <w:i w:val="false"/>
          <w:color w:val="000000"/>
          <w:sz w:val="28"/>
        </w:rPr>
        <w:t>
      8) нежелательные явления, представляющие особый интерес - нежелательное явление, имеющее особый научный и медицинский интерес применительно к исследуемому препарату или исследовательской программе спонсора, требующее непрерывного мониторинга и незамедлительного информирования спонсора со стороны исследователя. Данные нежелательные явления могут потребовать дальнейшего изучения с целью надлежащей характеристики и оценки. В зависимости от характера нежелательного явления, представляющего особый интерес, требуется срочное представление информации от спонсора третьим сторонам;</w:t>
      </w:r>
    </w:p>
    <w:bookmarkEnd w:id="1812"/>
    <w:bookmarkStart w:name="z1872" w:id="1813"/>
    <w:p>
      <w:pPr>
        <w:spacing w:after="0"/>
        <w:ind w:left="0"/>
        <w:jc w:val="both"/>
      </w:pPr>
      <w:r>
        <w:rPr>
          <w:rFonts w:ascii="Times New Roman"/>
          <w:b w:val="false"/>
          <w:i w:val="false"/>
          <w:color w:val="000000"/>
          <w:sz w:val="28"/>
        </w:rPr>
        <w:t>
      9) неинтервенционное клиническое исследование - исследование (испытание), которое соответствует следующим требованиям:</w:t>
      </w:r>
    </w:p>
    <w:bookmarkEnd w:id="1813"/>
    <w:bookmarkStart w:name="z1873" w:id="1814"/>
    <w:p>
      <w:pPr>
        <w:spacing w:after="0"/>
        <w:ind w:left="0"/>
        <w:jc w:val="both"/>
      </w:pPr>
      <w:r>
        <w:rPr>
          <w:rFonts w:ascii="Times New Roman"/>
          <w:b w:val="false"/>
          <w:i w:val="false"/>
          <w:color w:val="000000"/>
          <w:sz w:val="28"/>
        </w:rPr>
        <w:t>
      а) лекарственный препарат назначается в соответствии с инструкцией по медицинскому применению;</w:t>
      </w:r>
    </w:p>
    <w:bookmarkEnd w:id="1814"/>
    <w:bookmarkStart w:name="z1874" w:id="1815"/>
    <w:p>
      <w:pPr>
        <w:spacing w:after="0"/>
        <w:ind w:left="0"/>
        <w:jc w:val="both"/>
      </w:pPr>
      <w:r>
        <w:rPr>
          <w:rFonts w:ascii="Times New Roman"/>
          <w:b w:val="false"/>
          <w:i w:val="false"/>
          <w:color w:val="000000"/>
          <w:sz w:val="28"/>
        </w:rPr>
        <w:t xml:space="preserve">
      б) решение о назначении пациенту определенного лечения не принимается заранее согласно протоколу исследования, но соответствует принятой практике, и назначение лекарственного препарата четко отделено от решения о включении пациента в исследование; </w:t>
      </w:r>
    </w:p>
    <w:bookmarkEnd w:id="1815"/>
    <w:bookmarkStart w:name="z1875" w:id="1816"/>
    <w:p>
      <w:pPr>
        <w:spacing w:after="0"/>
        <w:ind w:left="0"/>
        <w:jc w:val="both"/>
      </w:pPr>
      <w:r>
        <w:rPr>
          <w:rFonts w:ascii="Times New Roman"/>
          <w:b w:val="false"/>
          <w:i w:val="false"/>
          <w:color w:val="000000"/>
          <w:sz w:val="28"/>
        </w:rPr>
        <w:t>
      в) к пациентам не применяются какие-либо дополнительные диагностические или контрольные процедуры, а для анализа полученных данных используют эпидемиологические методы.</w:t>
      </w:r>
    </w:p>
    <w:bookmarkEnd w:id="1816"/>
    <w:bookmarkStart w:name="z1876" w:id="1817"/>
    <w:p>
      <w:pPr>
        <w:spacing w:after="0"/>
        <w:ind w:left="0"/>
        <w:jc w:val="both"/>
      </w:pPr>
      <w:r>
        <w:rPr>
          <w:rFonts w:ascii="Times New Roman"/>
          <w:b w:val="false"/>
          <w:i w:val="false"/>
          <w:color w:val="000000"/>
          <w:sz w:val="28"/>
        </w:rPr>
        <w:t>
      10) ожидаемая эффективность (польза) - эффективность (польза), которая еще не была установлена для исследуемого продукта, но ожидается, исходя из имеющихся знаний об эффективности (пользе) данного класса лекарственных препаратов, либо данных предшествующих клинических или доклинических исследований;</w:t>
      </w:r>
    </w:p>
    <w:bookmarkEnd w:id="1817"/>
    <w:bookmarkStart w:name="z1877" w:id="1818"/>
    <w:p>
      <w:pPr>
        <w:spacing w:after="0"/>
        <w:ind w:left="0"/>
        <w:jc w:val="both"/>
      </w:pPr>
      <w:r>
        <w:rPr>
          <w:rFonts w:ascii="Times New Roman"/>
          <w:b w:val="false"/>
          <w:i w:val="false"/>
          <w:color w:val="000000"/>
          <w:sz w:val="28"/>
        </w:rPr>
        <w:t>
      11) программа клинической разработки - совокупность клинических исследований одного и того же исследуемого препарата, вне зависимости от показаний к назначению и лекарственной формы;</w:t>
      </w:r>
    </w:p>
    <w:bookmarkEnd w:id="1818"/>
    <w:bookmarkStart w:name="z1878" w:id="1819"/>
    <w:p>
      <w:pPr>
        <w:spacing w:after="0"/>
        <w:ind w:left="0"/>
        <w:jc w:val="both"/>
      </w:pPr>
      <w:r>
        <w:rPr>
          <w:rFonts w:ascii="Times New Roman"/>
          <w:b w:val="false"/>
          <w:i w:val="false"/>
          <w:color w:val="000000"/>
          <w:sz w:val="28"/>
        </w:rPr>
        <w:t>
      12) продолжающееся клиническое исследование- клиническое исследование, с начавшимся включением субъектов исследования, вне зависимости от его приостановки или завершения анализа, по результатам которого не подготовлен заключительный отчет;</w:t>
      </w:r>
    </w:p>
    <w:bookmarkEnd w:id="1819"/>
    <w:bookmarkStart w:name="z1879" w:id="1820"/>
    <w:p>
      <w:pPr>
        <w:spacing w:after="0"/>
        <w:ind w:left="0"/>
        <w:jc w:val="both"/>
      </w:pPr>
      <w:r>
        <w:rPr>
          <w:rFonts w:ascii="Times New Roman"/>
          <w:b w:val="false"/>
          <w:i w:val="false"/>
          <w:color w:val="000000"/>
          <w:sz w:val="28"/>
        </w:rPr>
        <w:t>
      13) потенциальный риск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bookmarkEnd w:id="1820"/>
    <w:bookmarkStart w:name="z1880" w:id="1821"/>
    <w:p>
      <w:pPr>
        <w:spacing w:after="0"/>
        <w:ind w:left="0"/>
        <w:jc w:val="both"/>
      </w:pPr>
      <w:r>
        <w:rPr>
          <w:rFonts w:ascii="Times New Roman"/>
          <w:b w:val="false"/>
          <w:i w:val="false"/>
          <w:color w:val="000000"/>
          <w:sz w:val="28"/>
        </w:rPr>
        <w:t>
      14) регистр - совокупность данных по пациентам, характеризующихся каким-либо одинаковым признаком. Данный признак представляет собой заболевание (регистр по заболеванию) или специфическое воздействие (лекарственный регистр). Регистр направлен на проспективный сбор определенной совокупности данных по пациентам с использованием стандартизованного опросника. Лекарственные регистры направлены на сбор данных на протяжении определенного времени по популяции, подвергающейся воздействию изучаемого лекарственного средства и (или) по определенной популяции. Пациенты могут быть включены в когортное исследование для сбора данных о нежелательных явлениях с применением стандартизированных опросников. Регистры могут быть полезными для усиления сигнала, особенно для редких нежелательных реакций;</w:t>
      </w:r>
    </w:p>
    <w:bookmarkEnd w:id="1821"/>
    <w:bookmarkStart w:name="z1881" w:id="1822"/>
    <w:p>
      <w:pPr>
        <w:spacing w:after="0"/>
        <w:ind w:left="0"/>
        <w:jc w:val="both"/>
      </w:pPr>
      <w:r>
        <w:rPr>
          <w:rFonts w:ascii="Times New Roman"/>
          <w:b w:val="false"/>
          <w:i w:val="false"/>
          <w:color w:val="000000"/>
          <w:sz w:val="28"/>
        </w:rPr>
        <w:t>
      15)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1822"/>
    <w:bookmarkStart w:name="z1882" w:id="1823"/>
    <w:p>
      <w:pPr>
        <w:spacing w:after="0"/>
        <w:ind w:left="0"/>
        <w:jc w:val="both"/>
      </w:pPr>
      <w:r>
        <w:rPr>
          <w:rFonts w:ascii="Times New Roman"/>
          <w:b w:val="false"/>
          <w:i w:val="false"/>
          <w:color w:val="000000"/>
          <w:sz w:val="28"/>
        </w:rPr>
        <w:t>
      16) спонсор-исследователь - физическое лицо, которое инициирует и выполняет клиническое исследование самостоятельно либо с иными исследователями и под непосредственным руководством которого выполняется назначение, выдача или использование исследуемого препарата субъектами исследования. В обязанности спонсора-исследователя входят обязанности как спонсора, так и исследователя.</w:t>
      </w:r>
    </w:p>
    <w:bookmarkEnd w:id="1823"/>
    <w:bookmarkStart w:name="z1883" w:id="1824"/>
    <w:p>
      <w:pPr>
        <w:spacing w:after="0"/>
        <w:ind w:left="0"/>
        <w:jc w:val="left"/>
      </w:pPr>
      <w:r>
        <w:rPr>
          <w:rFonts w:ascii="Times New Roman"/>
          <w:b/>
          <w:i w:val="false"/>
          <w:color w:val="000000"/>
        </w:rPr>
        <w:t xml:space="preserve"> Параграф 2. Введение</w:t>
      </w:r>
    </w:p>
    <w:bookmarkEnd w:id="1824"/>
    <w:bookmarkStart w:name="z1884" w:id="1825"/>
    <w:p>
      <w:pPr>
        <w:spacing w:after="0"/>
        <w:ind w:left="0"/>
        <w:jc w:val="both"/>
      </w:pPr>
      <w:r>
        <w:rPr>
          <w:rFonts w:ascii="Times New Roman"/>
          <w:b w:val="false"/>
          <w:i w:val="false"/>
          <w:color w:val="000000"/>
          <w:sz w:val="28"/>
        </w:rPr>
        <w:t>
      2. Периодический анализ информации по безопасности при выполнении клинической разработки исследуемого препарата имеет решающее значение для непрерывной оценки риска субъектов исследования. Важным является обеспечение регулярного информирования уполномоченного органа Республики Казахстан и иных заинтересованных сторон (Комиссии по вопросам этики) в отношении результатов данного анализа и получения данных в отношении профиля безопасности исследуемого препарата, а также уведомления в отношении действия, принятых в отношении возникающих вопросов по безопасности. Периодический отчет по безопасности разрабатываемого (исследуемого) лекарственного препарата (РОБ) является стандартом для периодической отчетности по разрабатываемым (исследуемым) препаратам (включая зарегистрированные препараты, по которым продолжается выполнение разработки).</w:t>
      </w:r>
    </w:p>
    <w:bookmarkEnd w:id="1825"/>
    <w:bookmarkStart w:name="z1885" w:id="1826"/>
    <w:p>
      <w:pPr>
        <w:spacing w:after="0"/>
        <w:ind w:left="0"/>
        <w:jc w:val="both"/>
      </w:pPr>
      <w:r>
        <w:rPr>
          <w:rFonts w:ascii="Times New Roman"/>
          <w:b w:val="false"/>
          <w:i w:val="false"/>
          <w:color w:val="000000"/>
          <w:sz w:val="28"/>
        </w:rPr>
        <w:t>
      Основной целью РОБ является представление исчерпывающего и глубокого ежегодного обзора и оценки информации по безопасности исследуемого препарата, которая была собрана на протяжении отчетного периода вне зависимости от его регистрационного статуса посредством:</w:t>
      </w:r>
    </w:p>
    <w:bookmarkEnd w:id="1826"/>
    <w:bookmarkStart w:name="z1886" w:id="1827"/>
    <w:p>
      <w:pPr>
        <w:spacing w:after="0"/>
        <w:ind w:left="0"/>
        <w:jc w:val="both"/>
      </w:pPr>
      <w:r>
        <w:rPr>
          <w:rFonts w:ascii="Times New Roman"/>
          <w:b w:val="false"/>
          <w:i w:val="false"/>
          <w:color w:val="000000"/>
          <w:sz w:val="28"/>
        </w:rPr>
        <w:t xml:space="preserve">
      1) 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 </w:t>
      </w:r>
    </w:p>
    <w:bookmarkEnd w:id="1827"/>
    <w:bookmarkStart w:name="z1887" w:id="1828"/>
    <w:p>
      <w:pPr>
        <w:spacing w:after="0"/>
        <w:ind w:left="0"/>
        <w:jc w:val="both"/>
      </w:pPr>
      <w:r>
        <w:rPr>
          <w:rFonts w:ascii="Times New Roman"/>
          <w:b w:val="false"/>
          <w:i w:val="false"/>
          <w:color w:val="000000"/>
          <w:sz w:val="28"/>
        </w:rPr>
        <w:t xml:space="preserve">
      2) описание новых выявленных аспектов профиля безопасности, которые могут оказать влияние на обеспечение безопасности субъектов исследования; </w:t>
      </w:r>
    </w:p>
    <w:bookmarkEnd w:id="1828"/>
    <w:bookmarkStart w:name="z1888" w:id="1829"/>
    <w:p>
      <w:pPr>
        <w:spacing w:after="0"/>
        <w:ind w:left="0"/>
        <w:jc w:val="both"/>
      </w:pPr>
      <w:r>
        <w:rPr>
          <w:rFonts w:ascii="Times New Roman"/>
          <w:b w:val="false"/>
          <w:i w:val="false"/>
          <w:color w:val="000000"/>
          <w:sz w:val="28"/>
        </w:rPr>
        <w:t xml:space="preserve">
      3) обобщение данных, по текущей оценке, и управлению идентифицированными и потенциальными рисками; </w:t>
      </w:r>
    </w:p>
    <w:bookmarkEnd w:id="1829"/>
    <w:bookmarkStart w:name="z1889" w:id="1830"/>
    <w:p>
      <w:pPr>
        <w:spacing w:after="0"/>
        <w:ind w:left="0"/>
        <w:jc w:val="both"/>
      </w:pPr>
      <w:r>
        <w:rPr>
          <w:rFonts w:ascii="Times New Roman"/>
          <w:b w:val="false"/>
          <w:i w:val="false"/>
          <w:color w:val="000000"/>
          <w:sz w:val="28"/>
        </w:rPr>
        <w:t>
      4) представление обновления по состоянию клинического изучения или программы разработки и результатов исследования.</w:t>
      </w:r>
    </w:p>
    <w:bookmarkEnd w:id="1830"/>
    <w:bookmarkStart w:name="z1890" w:id="1831"/>
    <w:p>
      <w:pPr>
        <w:spacing w:after="0"/>
        <w:ind w:left="0"/>
        <w:jc w:val="both"/>
      </w:pPr>
      <w:r>
        <w:rPr>
          <w:rFonts w:ascii="Times New Roman"/>
          <w:b w:val="false"/>
          <w:i w:val="false"/>
          <w:color w:val="000000"/>
          <w:sz w:val="28"/>
        </w:rPr>
        <w:t>
      РОБ представляет уполномоченным органам информацию, позволяющую подтвердить обеспечение спонсором надлежащего мониторинга и оценки данных по профилю безопасности исследуемого препарата. В РОБ подлежат отражению все новые аспекты профиля безопасности, выявленные за отчетный период. РОБ не используется в целях первичного уведомления о значимых новых данных по безопасности либо в качестве способа выявления новых аспектов профиля безопасности.</w:t>
      </w:r>
    </w:p>
    <w:bookmarkEnd w:id="1831"/>
    <w:bookmarkStart w:name="z1891" w:id="1832"/>
    <w:p>
      <w:pPr>
        <w:spacing w:after="0"/>
        <w:ind w:left="0"/>
        <w:jc w:val="both"/>
      </w:pPr>
      <w:r>
        <w:rPr>
          <w:rFonts w:ascii="Times New Roman"/>
          <w:b w:val="false"/>
          <w:i w:val="false"/>
          <w:color w:val="000000"/>
          <w:sz w:val="28"/>
        </w:rPr>
        <w:t>
      Основной включаемой в РОБ информацией являются данные и результаты клинических исследований лекарственных препаратов и биологических веществ, вне зависимости от их регистрационного статуса. В случае продолжения клинического изучения после регистрации лекарственного препарата, РОБ включает также данные пострегистрационных исследований. РОБ направлен на оценку исследуемого (разрабатываемого) препарата, информация по препаратам сравнения и плацебо в него включается только в случае безопасности субъектов исследования.</w:t>
      </w:r>
    </w:p>
    <w:bookmarkEnd w:id="1832"/>
    <w:bookmarkStart w:name="z1892" w:id="1833"/>
    <w:p>
      <w:pPr>
        <w:spacing w:after="0"/>
        <w:ind w:left="0"/>
        <w:jc w:val="both"/>
      </w:pPr>
      <w:r>
        <w:rPr>
          <w:rFonts w:ascii="Times New Roman"/>
          <w:b w:val="false"/>
          <w:i w:val="false"/>
          <w:color w:val="000000"/>
          <w:sz w:val="28"/>
        </w:rPr>
        <w:t>
      В РОБ включается информация по безопасности, получаемая в ходе всех продолжающихся клинических исследований и иных исследований, выполняемых или завершенных спонсором на протяжении отчетного периода, включая:</w:t>
      </w:r>
    </w:p>
    <w:bookmarkEnd w:id="1833"/>
    <w:bookmarkStart w:name="z1893" w:id="1834"/>
    <w:p>
      <w:pPr>
        <w:spacing w:after="0"/>
        <w:ind w:left="0"/>
        <w:jc w:val="both"/>
      </w:pPr>
      <w:r>
        <w:rPr>
          <w:rFonts w:ascii="Times New Roman"/>
          <w:b w:val="false"/>
          <w:i w:val="false"/>
          <w:color w:val="000000"/>
          <w:sz w:val="28"/>
        </w:rPr>
        <w:t>
      1) клинические исследования разрабатываемого (исследуемого) препарата (фармакологические исследования у человека, терапевтические поисковые исследования и терапевтические подтверждающие исследования [Фазы I-III]);</w:t>
      </w:r>
    </w:p>
    <w:bookmarkEnd w:id="1834"/>
    <w:bookmarkStart w:name="z1894" w:id="1835"/>
    <w:p>
      <w:pPr>
        <w:spacing w:after="0"/>
        <w:ind w:left="0"/>
        <w:jc w:val="both"/>
      </w:pPr>
      <w:r>
        <w:rPr>
          <w:rFonts w:ascii="Times New Roman"/>
          <w:b w:val="false"/>
          <w:i w:val="false"/>
          <w:color w:val="000000"/>
          <w:sz w:val="28"/>
        </w:rPr>
        <w:t>
      2) клинические исследования зарегистрированного лекарственного препарата по одобренным показаниям (исследование терапевтического применения [Фаза IV]);</w:t>
      </w:r>
    </w:p>
    <w:bookmarkEnd w:id="1835"/>
    <w:bookmarkStart w:name="z1895" w:id="1836"/>
    <w:p>
      <w:pPr>
        <w:spacing w:after="0"/>
        <w:ind w:left="0"/>
        <w:jc w:val="both"/>
      </w:pPr>
      <w:r>
        <w:rPr>
          <w:rFonts w:ascii="Times New Roman"/>
          <w:b w:val="false"/>
          <w:i w:val="false"/>
          <w:color w:val="000000"/>
          <w:sz w:val="28"/>
        </w:rPr>
        <w:t>
      3) терапевтическое применение исследуемого препарата (программы расширенного доступа, программы применения в связи с исключительными обстоятельствами из соображений сострадания, программы сострадательного доступа, программы индивидуального доступа по запросу врача);</w:t>
      </w:r>
    </w:p>
    <w:bookmarkEnd w:id="1836"/>
    <w:bookmarkStart w:name="z1896" w:id="1837"/>
    <w:p>
      <w:pPr>
        <w:spacing w:after="0"/>
        <w:ind w:left="0"/>
        <w:jc w:val="both"/>
      </w:pPr>
      <w:r>
        <w:rPr>
          <w:rFonts w:ascii="Times New Roman"/>
          <w:b w:val="false"/>
          <w:i w:val="false"/>
          <w:color w:val="000000"/>
          <w:sz w:val="28"/>
        </w:rPr>
        <w:t>
      4) клинические исследования, проводимые для поддержки изменений процесса производства лекарственного средства.</w:t>
      </w:r>
    </w:p>
    <w:bookmarkEnd w:id="1837"/>
    <w:bookmarkStart w:name="z1897" w:id="1838"/>
    <w:p>
      <w:pPr>
        <w:spacing w:after="0"/>
        <w:ind w:left="0"/>
        <w:jc w:val="both"/>
      </w:pPr>
      <w:r>
        <w:rPr>
          <w:rFonts w:ascii="Times New Roman"/>
          <w:b w:val="false"/>
          <w:i w:val="false"/>
          <w:color w:val="000000"/>
          <w:sz w:val="28"/>
        </w:rPr>
        <w:t>
      РОБ также включает иные данные, которые являются значимыми в отношении безопасности разрабатываемого (исследуемого) препарата, в том числе следующих данных:</w:t>
      </w:r>
    </w:p>
    <w:bookmarkEnd w:id="1838"/>
    <w:bookmarkStart w:name="z1898" w:id="1839"/>
    <w:p>
      <w:pPr>
        <w:spacing w:after="0"/>
        <w:ind w:left="0"/>
        <w:jc w:val="both"/>
      </w:pPr>
      <w:r>
        <w:rPr>
          <w:rFonts w:ascii="Times New Roman"/>
          <w:b w:val="false"/>
          <w:i w:val="false"/>
          <w:color w:val="000000"/>
          <w:sz w:val="28"/>
        </w:rPr>
        <w:t>
      1) наблюдательных и эпидемиологических исследований;</w:t>
      </w:r>
    </w:p>
    <w:bookmarkEnd w:id="1839"/>
    <w:bookmarkStart w:name="z1899" w:id="1840"/>
    <w:p>
      <w:pPr>
        <w:spacing w:after="0"/>
        <w:ind w:left="0"/>
        <w:jc w:val="both"/>
      </w:pPr>
      <w:r>
        <w:rPr>
          <w:rFonts w:ascii="Times New Roman"/>
          <w:b w:val="false"/>
          <w:i w:val="false"/>
          <w:color w:val="000000"/>
          <w:sz w:val="28"/>
        </w:rPr>
        <w:t>
      2) доклинических исследований (токсикологические исследования и исследования вне живого организма (in vitro));</w:t>
      </w:r>
    </w:p>
    <w:bookmarkEnd w:id="1840"/>
    <w:bookmarkStart w:name="z1900" w:id="1841"/>
    <w:p>
      <w:pPr>
        <w:spacing w:after="0"/>
        <w:ind w:left="0"/>
        <w:jc w:val="both"/>
      </w:pPr>
      <w:r>
        <w:rPr>
          <w:rFonts w:ascii="Times New Roman"/>
          <w:b w:val="false"/>
          <w:i w:val="false"/>
          <w:color w:val="000000"/>
          <w:sz w:val="28"/>
        </w:rPr>
        <w:t>
      3) других РОБ, которые имеют отношение к исследуемому препарату;</w:t>
      </w:r>
    </w:p>
    <w:bookmarkEnd w:id="1841"/>
    <w:bookmarkStart w:name="z1901" w:id="1842"/>
    <w:p>
      <w:pPr>
        <w:spacing w:after="0"/>
        <w:ind w:left="0"/>
        <w:jc w:val="both"/>
      </w:pPr>
      <w:r>
        <w:rPr>
          <w:rFonts w:ascii="Times New Roman"/>
          <w:b w:val="false"/>
          <w:i w:val="false"/>
          <w:color w:val="000000"/>
          <w:sz w:val="28"/>
        </w:rPr>
        <w:t>
      4) производственных и микробиологических изменений;</w:t>
      </w:r>
    </w:p>
    <w:bookmarkEnd w:id="1842"/>
    <w:bookmarkStart w:name="z1902" w:id="1843"/>
    <w:p>
      <w:pPr>
        <w:spacing w:after="0"/>
        <w:ind w:left="0"/>
        <w:jc w:val="both"/>
      </w:pPr>
      <w:r>
        <w:rPr>
          <w:rFonts w:ascii="Times New Roman"/>
          <w:b w:val="false"/>
          <w:i w:val="false"/>
          <w:color w:val="000000"/>
          <w:sz w:val="28"/>
        </w:rPr>
        <w:t>
      5) недавно опубликованных в медицинской литературе;</w:t>
      </w:r>
    </w:p>
    <w:bookmarkEnd w:id="1843"/>
    <w:bookmarkStart w:name="z1903" w:id="1844"/>
    <w:p>
      <w:pPr>
        <w:spacing w:after="0"/>
        <w:ind w:left="0"/>
        <w:jc w:val="both"/>
      </w:pPr>
      <w:r>
        <w:rPr>
          <w:rFonts w:ascii="Times New Roman"/>
          <w:b w:val="false"/>
          <w:i w:val="false"/>
          <w:color w:val="000000"/>
          <w:sz w:val="28"/>
        </w:rPr>
        <w:t>
      6) клинических исследований, по результатам которых была выявлена недостаточная эффективность, что могло оказать непосредственное влияние на безопасность субъектов исследования (ухудшение основного заболевания в случае серьезной или угрожающей жизни патологии);</w:t>
      </w:r>
    </w:p>
    <w:bookmarkEnd w:id="1844"/>
    <w:bookmarkStart w:name="z1904" w:id="1845"/>
    <w:p>
      <w:pPr>
        <w:spacing w:after="0"/>
        <w:ind w:left="0"/>
        <w:jc w:val="both"/>
      </w:pPr>
      <w:r>
        <w:rPr>
          <w:rFonts w:ascii="Times New Roman"/>
          <w:b w:val="false"/>
          <w:i w:val="false"/>
          <w:color w:val="000000"/>
          <w:sz w:val="28"/>
        </w:rPr>
        <w:t>
      7) иных источников данных по безопасности аналогичного терапевтического класса;</w:t>
      </w:r>
    </w:p>
    <w:bookmarkEnd w:id="1845"/>
    <w:bookmarkStart w:name="z1905" w:id="1846"/>
    <w:p>
      <w:pPr>
        <w:spacing w:after="0"/>
        <w:ind w:left="0"/>
        <w:jc w:val="both"/>
      </w:pPr>
      <w:r>
        <w:rPr>
          <w:rFonts w:ascii="Times New Roman"/>
          <w:b w:val="false"/>
          <w:i w:val="false"/>
          <w:color w:val="000000"/>
          <w:sz w:val="28"/>
        </w:rPr>
        <w:t>
      8) клинических исследований, проведенных партнерами спонсора по разработке, если это предусмотрено договорными соглашениями.</w:t>
      </w:r>
    </w:p>
    <w:bookmarkEnd w:id="1846"/>
    <w:bookmarkStart w:name="z1906" w:id="1847"/>
    <w:p>
      <w:pPr>
        <w:spacing w:after="0"/>
        <w:ind w:left="0"/>
        <w:jc w:val="left"/>
      </w:pPr>
      <w:r>
        <w:rPr>
          <w:rFonts w:ascii="Times New Roman"/>
          <w:b/>
          <w:i w:val="false"/>
          <w:color w:val="000000"/>
        </w:rPr>
        <w:t xml:space="preserve"> Параграф 3. Общие принципы</w:t>
      </w:r>
    </w:p>
    <w:bookmarkEnd w:id="1847"/>
    <w:bookmarkStart w:name="z1907" w:id="1848"/>
    <w:p>
      <w:pPr>
        <w:spacing w:after="0"/>
        <w:ind w:left="0"/>
        <w:jc w:val="both"/>
      </w:pPr>
      <w:r>
        <w:rPr>
          <w:rFonts w:ascii="Times New Roman"/>
          <w:b w:val="false"/>
          <w:i w:val="false"/>
          <w:color w:val="000000"/>
          <w:sz w:val="28"/>
        </w:rPr>
        <w:t>
      3. С целью обеспечения исчерпывающего анализа и представления данных по безопасности исследуемого препарата спонсор представляет единый РОБ, включающий данные по всем лекарственным формам и дозировкам, показаниям к назначению, исследуемым популяциям. В случаях, когда это не представляется возможным (когда данные недоступны спонсору), следует представить соответствующее объяснение во вводной части отчета.</w:t>
      </w:r>
    </w:p>
    <w:bookmarkEnd w:id="1848"/>
    <w:bookmarkStart w:name="z1908" w:id="1849"/>
    <w:p>
      <w:pPr>
        <w:spacing w:after="0"/>
        <w:ind w:left="0"/>
        <w:jc w:val="both"/>
      </w:pPr>
      <w:r>
        <w:rPr>
          <w:rFonts w:ascii="Times New Roman"/>
          <w:b w:val="false"/>
          <w:i w:val="false"/>
          <w:color w:val="000000"/>
          <w:sz w:val="28"/>
        </w:rPr>
        <w:t>
      В случае, если в разработке исследуемого препарата участвует более одного спонсора, в частности при выполнении совместной разработки или на основании иных договорных соглашений, спонсорами предоставляется единый РОБ.</w:t>
      </w:r>
    </w:p>
    <w:bookmarkEnd w:id="1849"/>
    <w:bookmarkStart w:name="z1909" w:id="1850"/>
    <w:p>
      <w:pPr>
        <w:spacing w:after="0"/>
        <w:ind w:left="0"/>
        <w:jc w:val="both"/>
      </w:pPr>
      <w:r>
        <w:rPr>
          <w:rFonts w:ascii="Times New Roman"/>
          <w:b w:val="false"/>
          <w:i w:val="false"/>
          <w:color w:val="000000"/>
          <w:sz w:val="28"/>
        </w:rPr>
        <w:t>
      4. Начало ежегодного периода по представлению отчета определяется в соответствии с МДОРЛП. Месяц и дата МДОРЛП являются датой начала отсчета годового периода для подачи РОБ.</w:t>
      </w:r>
    </w:p>
    <w:bookmarkEnd w:id="1850"/>
    <w:bookmarkStart w:name="z1910" w:id="1851"/>
    <w:p>
      <w:pPr>
        <w:spacing w:after="0"/>
        <w:ind w:left="0"/>
        <w:jc w:val="both"/>
      </w:pPr>
      <w:r>
        <w:rPr>
          <w:rFonts w:ascii="Times New Roman"/>
          <w:b w:val="false"/>
          <w:i w:val="false"/>
          <w:color w:val="000000"/>
          <w:sz w:val="28"/>
        </w:rPr>
        <w:t>
      В случае проведения первого клинического исследования на территории страны, в которой отсутствует официальная процедура одобрения клинического исследования, спонсором назначается соответствующая дата, связанная с началом первого клинического исследования. Для всех стран, в которых выполняются клинические исследования исследуемого препарата, поддерживается и используется единая МДОРЛП при подготовке РОБ.</w:t>
      </w:r>
    </w:p>
    <w:bookmarkEnd w:id="1851"/>
    <w:bookmarkStart w:name="z1911" w:id="1852"/>
    <w:p>
      <w:pPr>
        <w:spacing w:after="0"/>
        <w:ind w:left="0"/>
        <w:jc w:val="both"/>
      </w:pPr>
      <w:r>
        <w:rPr>
          <w:rFonts w:ascii="Times New Roman"/>
          <w:b w:val="false"/>
          <w:i w:val="false"/>
          <w:color w:val="000000"/>
          <w:sz w:val="28"/>
        </w:rPr>
        <w:t xml:space="preserve">
      Датой окончания сбора данных РОБ является последний день отчетного периода, составляющего один год. Для удобства выполнения административных процедур по желанию спонсора датой окончания сбора данных определяется последний день месяца, предшествующего МДОРЛП. </w:t>
      </w:r>
    </w:p>
    <w:bookmarkEnd w:id="1852"/>
    <w:bookmarkStart w:name="z1912" w:id="1853"/>
    <w:p>
      <w:pPr>
        <w:spacing w:after="0"/>
        <w:ind w:left="0"/>
        <w:jc w:val="both"/>
      </w:pPr>
      <w:r>
        <w:rPr>
          <w:rFonts w:ascii="Times New Roman"/>
          <w:b w:val="false"/>
          <w:i w:val="false"/>
          <w:color w:val="000000"/>
          <w:sz w:val="28"/>
        </w:rPr>
        <w:t>
      В случае продолжения выполнения программы клинической разработки лекарственного препарата на территории Республики Казахстан после его государственной регистрации, в соответствии с требованиями законодательства Республики Казахстан, представляются как РОБ, так и периодические отчеты по безопасности исследуемого препарата (ПОБ). По желанию спонсора РОБ подготавливается исходя из международной даты регистрации (МДР), используемой в ПОБ, что позволит синхронизировать даты подачи обоих периодических отчетов. В случае синхронизации дат подачи периодических отчетов, отчетный период для следующего периодического отчета по безопасности исследуемого препарата не превышает один год.</w:t>
      </w:r>
    </w:p>
    <w:bookmarkEnd w:id="1853"/>
    <w:bookmarkStart w:name="z1913" w:id="1854"/>
    <w:p>
      <w:pPr>
        <w:spacing w:after="0"/>
        <w:ind w:left="0"/>
        <w:jc w:val="both"/>
      </w:pPr>
      <w:r>
        <w:rPr>
          <w:rFonts w:ascii="Times New Roman"/>
          <w:b w:val="false"/>
          <w:i w:val="false"/>
          <w:color w:val="000000"/>
          <w:sz w:val="28"/>
        </w:rPr>
        <w:t>
      РОБ представляется уполномоченному органу Республики Казахстан, на территории которых проводятся клинические исследования (испытания) исследуемого препарата, не позднее 60 календарных дней от даты окончания сбора данных.</w:t>
      </w:r>
    </w:p>
    <w:bookmarkEnd w:id="1854"/>
    <w:bookmarkStart w:name="z1914" w:id="1855"/>
    <w:p>
      <w:pPr>
        <w:spacing w:after="0"/>
        <w:ind w:left="0"/>
        <w:jc w:val="both"/>
      </w:pPr>
      <w:r>
        <w:rPr>
          <w:rFonts w:ascii="Times New Roman"/>
          <w:b w:val="false"/>
          <w:i w:val="false"/>
          <w:color w:val="000000"/>
          <w:sz w:val="28"/>
        </w:rPr>
        <w:t>
      5. Продолжительность подачи РОБ определяется требованиями законодательства Республики Казахстан. Если в отдельной стране или регионе в соответствии с требованиями локального законодательства прекращается подача РОБ, спонсору следует сделать указание, что заключительный РОБ является последним ежегодным отчетом для исследуемого препарата в Республике Казахстан. Спонсору также следует сделать указание о наличии продолжающихся клинических исследований в других странах.</w:t>
      </w:r>
    </w:p>
    <w:bookmarkEnd w:id="1855"/>
    <w:bookmarkStart w:name="z1915" w:id="1856"/>
    <w:p>
      <w:pPr>
        <w:spacing w:after="0"/>
        <w:ind w:left="0"/>
        <w:jc w:val="left"/>
      </w:pPr>
      <w:r>
        <w:rPr>
          <w:rFonts w:ascii="Times New Roman"/>
          <w:b/>
          <w:i w:val="false"/>
          <w:color w:val="000000"/>
        </w:rPr>
        <w:t xml:space="preserve"> Параграф 4. Подготовка и представление РОБ</w:t>
      </w:r>
    </w:p>
    <w:bookmarkEnd w:id="1856"/>
    <w:bookmarkStart w:name="z1916" w:id="1857"/>
    <w:p>
      <w:pPr>
        <w:spacing w:after="0"/>
        <w:ind w:left="0"/>
        <w:jc w:val="both"/>
      </w:pPr>
      <w:r>
        <w:rPr>
          <w:rFonts w:ascii="Times New Roman"/>
          <w:b w:val="false"/>
          <w:i w:val="false"/>
          <w:color w:val="000000"/>
          <w:sz w:val="28"/>
        </w:rPr>
        <w:t>
      6. Спонсор клинического исследования отвечает за подготовку, содержание и подачу РОБ. Спонсор имеет право делегировать выполнение работ по подготовке РОБ третьей стороне, контрактной исследовательской организации.</w:t>
      </w:r>
    </w:p>
    <w:bookmarkEnd w:id="1857"/>
    <w:bookmarkStart w:name="z1917" w:id="1858"/>
    <w:p>
      <w:pPr>
        <w:spacing w:after="0"/>
        <w:ind w:left="0"/>
        <w:jc w:val="both"/>
      </w:pPr>
      <w:r>
        <w:rPr>
          <w:rFonts w:ascii="Times New Roman"/>
          <w:b w:val="false"/>
          <w:i w:val="false"/>
          <w:color w:val="000000"/>
          <w:sz w:val="28"/>
        </w:rPr>
        <w:t xml:space="preserve">
      В случае, когда спонсор не имеет доступа к информации, включаемой в определенные разделы РОБ, спонсор-исследователь не располагает информацией по аспектам производственного процесса, данным доклинических исследований, информации по регистрации лекарственного препарата, отмечается соответствующее указание в РОБ. </w:t>
      </w:r>
    </w:p>
    <w:bookmarkEnd w:id="1858"/>
    <w:bookmarkStart w:name="z1918" w:id="1859"/>
    <w:p>
      <w:pPr>
        <w:spacing w:after="0"/>
        <w:ind w:left="0"/>
        <w:jc w:val="both"/>
      </w:pPr>
      <w:r>
        <w:rPr>
          <w:rFonts w:ascii="Times New Roman"/>
          <w:b w:val="false"/>
          <w:i w:val="false"/>
          <w:color w:val="000000"/>
          <w:sz w:val="28"/>
        </w:rPr>
        <w:t>
      7. В случае выполнения клинического исследования или программы разработки несколькими спонсорами, стороны организовывают подготовку единого РОБ. Данное требование распространяется при наличии у спонсора официальных договорных взаимоотношений по совместной разработке или лицензионных взаимоотношений с одной или более сторонами, либо в случае выполнения отдельных клинических исследований или программы разработки лекарственного препарата с вовлечением государственных и частных организаций, деловых партнеров или иных сторон. В этих случаях спонсор располагает письменными соглашениями, определяющими порядок обмена данными и детальное распределение обязанностей по подготовке и представлению РОБ.</w:t>
      </w:r>
    </w:p>
    <w:bookmarkEnd w:id="1859"/>
    <w:bookmarkStart w:name="z1919" w:id="1860"/>
    <w:p>
      <w:pPr>
        <w:spacing w:after="0"/>
        <w:ind w:left="0"/>
        <w:jc w:val="both"/>
      </w:pPr>
      <w:r>
        <w:rPr>
          <w:rFonts w:ascii="Times New Roman"/>
          <w:b w:val="false"/>
          <w:i w:val="false"/>
          <w:color w:val="000000"/>
          <w:sz w:val="28"/>
        </w:rPr>
        <w:t>
      В случае, когда организация представления единого РОБ не представляется возможной, несколько спонсоров приходят к соглашению о подаче отдельных РОБ на один и тот же разрабатываемый препарат. Данная ситуация возникает, когда различные стороны исследуют разрабатываемый препарат по разным показаниям, по разным способам введения, либо с использованием различных лекарственных форм. В каждом случае, в РОБ приводится обоснование представления отдельных отчетов.</w:t>
      </w:r>
    </w:p>
    <w:bookmarkEnd w:id="1860"/>
    <w:bookmarkStart w:name="z1920" w:id="1861"/>
    <w:p>
      <w:pPr>
        <w:spacing w:after="0"/>
        <w:ind w:left="0"/>
        <w:jc w:val="both"/>
      </w:pPr>
      <w:r>
        <w:rPr>
          <w:rFonts w:ascii="Times New Roman"/>
          <w:b w:val="false"/>
          <w:i w:val="false"/>
          <w:color w:val="000000"/>
          <w:sz w:val="28"/>
        </w:rPr>
        <w:t>
      8. РОБ для комбинированной терапии. Поскольку клиническая разработка комбинированной терапии сопряжена с рядом потенциальных сложностей, настоящий Стандарт не предусматривает все возможные аспекты данной ситуации. Спонсору следует определить наиболее приемлемый вариант подготовки РОБ на основании оценки ряда факторов, включая популяцию пациентов, показания к назначению, лекарственную форму, а также условия проведения клинических исследований и законодательство Республики Казахстан. В отчете приводится обоснование выбранного подхода.</w:t>
      </w:r>
    </w:p>
    <w:bookmarkEnd w:id="1861"/>
    <w:bookmarkStart w:name="z1921" w:id="1862"/>
    <w:p>
      <w:pPr>
        <w:spacing w:after="0"/>
        <w:ind w:left="0"/>
        <w:jc w:val="both"/>
      </w:pPr>
      <w:r>
        <w:rPr>
          <w:rFonts w:ascii="Times New Roman"/>
          <w:b w:val="false"/>
          <w:i w:val="false"/>
          <w:color w:val="000000"/>
          <w:sz w:val="28"/>
        </w:rPr>
        <w:t>
      По клиническим исследованиям фиксированных комбинаций представляется единый РОБ (при назначении как минимум двух действующих веществ в фиксированной дозе в одной лекарственной форме). Если спонсор также проводит клинические исследования отдельных компонентов, входящих в состав фиксированной комбинации, отдельные РОБ представляются для каждого компонента. Имеющие отношение данные из каждого РОБ обобщаются в соответствующем разделе других РОБ (смотрите пункт 29 настоящего Приложения).</w:t>
      </w:r>
    </w:p>
    <w:bookmarkEnd w:id="1862"/>
    <w:bookmarkStart w:name="z1922" w:id="1863"/>
    <w:p>
      <w:pPr>
        <w:spacing w:after="0"/>
        <w:ind w:left="0"/>
        <w:jc w:val="both"/>
      </w:pPr>
      <w:r>
        <w:rPr>
          <w:rFonts w:ascii="Times New Roman"/>
          <w:b w:val="false"/>
          <w:i w:val="false"/>
          <w:color w:val="000000"/>
          <w:sz w:val="28"/>
        </w:rPr>
        <w:t>
      Для исследований, которые включают многокомпонентную терапию, где комбинации лекарственных средств не являются фиксированными, спонсор готовит:</w:t>
      </w:r>
    </w:p>
    <w:bookmarkEnd w:id="1863"/>
    <w:bookmarkStart w:name="z1923" w:id="1864"/>
    <w:p>
      <w:pPr>
        <w:spacing w:after="0"/>
        <w:ind w:left="0"/>
        <w:jc w:val="both"/>
      </w:pPr>
      <w:r>
        <w:rPr>
          <w:rFonts w:ascii="Times New Roman"/>
          <w:b w:val="false"/>
          <w:i w:val="false"/>
          <w:color w:val="000000"/>
          <w:sz w:val="28"/>
        </w:rPr>
        <w:t>
      1) РОБ для комбинированной терапии;</w:t>
      </w:r>
    </w:p>
    <w:bookmarkEnd w:id="1864"/>
    <w:bookmarkStart w:name="z1924" w:id="1865"/>
    <w:p>
      <w:pPr>
        <w:spacing w:after="0"/>
        <w:ind w:left="0"/>
        <w:jc w:val="both"/>
      </w:pPr>
      <w:r>
        <w:rPr>
          <w:rFonts w:ascii="Times New Roman"/>
          <w:b w:val="false"/>
          <w:i w:val="false"/>
          <w:color w:val="000000"/>
          <w:sz w:val="28"/>
        </w:rPr>
        <w:t xml:space="preserve">
      2) РОБ для одного или более индивидуальных компонентов; </w:t>
      </w:r>
    </w:p>
    <w:bookmarkEnd w:id="1865"/>
    <w:bookmarkStart w:name="z1925" w:id="1866"/>
    <w:p>
      <w:pPr>
        <w:spacing w:after="0"/>
        <w:ind w:left="0"/>
        <w:jc w:val="both"/>
      </w:pPr>
      <w:r>
        <w:rPr>
          <w:rFonts w:ascii="Times New Roman"/>
          <w:b w:val="false"/>
          <w:i w:val="false"/>
          <w:color w:val="000000"/>
          <w:sz w:val="28"/>
        </w:rPr>
        <w:t>
      3) в данном случае информация по клиническим исследованиям многокомпонентной терапии включается в РОБ на один или все компоненты.</w:t>
      </w:r>
    </w:p>
    <w:bookmarkEnd w:id="1866"/>
    <w:bookmarkStart w:name="z1926" w:id="1867"/>
    <w:p>
      <w:pPr>
        <w:spacing w:after="0"/>
        <w:ind w:left="0"/>
        <w:jc w:val="both"/>
      </w:pPr>
      <w:r>
        <w:rPr>
          <w:rFonts w:ascii="Times New Roman"/>
          <w:b w:val="false"/>
          <w:i w:val="false"/>
          <w:color w:val="000000"/>
          <w:sz w:val="28"/>
        </w:rPr>
        <w:t>
      Примеры стратегии подготовки РОБ для комбинированной терапии:</w:t>
      </w:r>
    </w:p>
    <w:bookmarkEnd w:id="1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терапия, назначаемая в клинических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(А) + зарегистрированный лекарственный препарат (Х, Y,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868"/>
          <w:p>
            <w:pPr>
              <w:spacing w:after="20"/>
              <w:ind w:left="20"/>
              <w:jc w:val="both"/>
            </w:pPr>
            <w:r>
              <w:rPr>
                <w:rFonts w:ascii="Times New Roman"/>
                <w:b w:val="false"/>
                <w:i w:val="false"/>
                <w:color w:val="000000"/>
                <w:sz w:val="20"/>
              </w:rPr>
              <w:t>
Единый РОБ на комбинированную терапию (A + X + Y + Z)</w:t>
            </w:r>
          </w:p>
          <w:bookmarkEnd w:id="1868"/>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РОБ на исследуемый препарат (А), включающий данные по комбинированной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исследуемых препарата (А) +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869"/>
          <w:p>
            <w:pPr>
              <w:spacing w:after="20"/>
              <w:ind w:left="20"/>
              <w:jc w:val="both"/>
            </w:pPr>
            <w:r>
              <w:rPr>
                <w:rFonts w:ascii="Times New Roman"/>
                <w:b w:val="false"/>
                <w:i w:val="false"/>
                <w:color w:val="000000"/>
                <w:sz w:val="20"/>
              </w:rPr>
              <w:t>
Единый РОБ на комбинированную терапию (А + В)</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два отдельных РОБ на (А) и (В), в каждый из которых включаются данные по комбинированной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(или более) зарегистрированных лекарственных препарата в качестве исследуемой комбинации (X, Y,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РОБ на комбинированную терапию (X + Y + Z)</w:t>
            </w:r>
          </w:p>
        </w:tc>
      </w:tr>
    </w:tbl>
    <w:bookmarkStart w:name="z1931" w:id="1870"/>
    <w:p>
      <w:pPr>
        <w:spacing w:after="0"/>
        <w:ind w:left="0"/>
        <w:jc w:val="left"/>
      </w:pPr>
      <w:r>
        <w:rPr>
          <w:rFonts w:ascii="Times New Roman"/>
          <w:b/>
          <w:i w:val="false"/>
          <w:color w:val="000000"/>
        </w:rPr>
        <w:t xml:space="preserve"> Параграф 5. Справочная информация по безопасности</w:t>
      </w:r>
    </w:p>
    <w:bookmarkEnd w:id="1870"/>
    <w:bookmarkStart w:name="z1932" w:id="1871"/>
    <w:p>
      <w:pPr>
        <w:spacing w:after="0"/>
        <w:ind w:left="0"/>
        <w:jc w:val="both"/>
      </w:pPr>
      <w:r>
        <w:rPr>
          <w:rFonts w:ascii="Times New Roman"/>
          <w:b w:val="false"/>
          <w:i w:val="false"/>
          <w:color w:val="000000"/>
          <w:sz w:val="28"/>
        </w:rPr>
        <w:t>
      9. В целях определения соответствия получаемой на протяжении отчетного периода информации по безопасности имеющимся данным по профилю безопасности исследуемого препарата используется действующая на начало отчетного периода БИ. В соответствующем разделе РОБ следует сделать указание номера версии и даты БИ, которая используется в качестве справочной информации по безопасности. В случаях, согласно законодательству Республики Казахстан БИ, не требуется, в качестве справочной информации по безопасности используется соответствующая инструкция по медицинскому применению.</w:t>
      </w:r>
    </w:p>
    <w:bookmarkEnd w:id="1871"/>
    <w:bookmarkStart w:name="z1933" w:id="1872"/>
    <w:p>
      <w:pPr>
        <w:spacing w:after="0"/>
        <w:ind w:left="0"/>
        <w:jc w:val="both"/>
      </w:pPr>
      <w:r>
        <w:rPr>
          <w:rFonts w:ascii="Times New Roman"/>
          <w:b w:val="false"/>
          <w:i w:val="false"/>
          <w:color w:val="000000"/>
          <w:sz w:val="28"/>
        </w:rPr>
        <w:t>
      В качестве справочной информации по безопасности используется один документ. При определенных обстоятельствах в РОБ используется более одного документа в качестве справочной информации по безопасности (в случаях подготовки РОБ для исследуемого препарата, который применялся как в качестве монотерапии, так и в составе комбинированной терапии).</w:t>
      </w:r>
    </w:p>
    <w:bookmarkEnd w:id="1872"/>
    <w:bookmarkStart w:name="z1934" w:id="1873"/>
    <w:p>
      <w:pPr>
        <w:spacing w:after="0"/>
        <w:ind w:left="0"/>
        <w:jc w:val="both"/>
      </w:pPr>
      <w:r>
        <w:rPr>
          <w:rFonts w:ascii="Times New Roman"/>
          <w:b w:val="false"/>
          <w:i w:val="false"/>
          <w:color w:val="000000"/>
          <w:sz w:val="28"/>
        </w:rPr>
        <w:t>
      Если на протяжении отчетного периода выполнялся пересмотр БИ, и она не представлялась ранее в соответствующий экспертную организацию, спонсор представляет копию текущей версии БИ в качестве приложения к РОБ.</w:t>
      </w:r>
    </w:p>
    <w:bookmarkEnd w:id="1873"/>
    <w:bookmarkStart w:name="z1935" w:id="1874"/>
    <w:p>
      <w:pPr>
        <w:spacing w:after="0"/>
        <w:ind w:left="0"/>
        <w:jc w:val="left"/>
      </w:pPr>
      <w:r>
        <w:rPr>
          <w:rFonts w:ascii="Times New Roman"/>
          <w:b/>
          <w:i w:val="false"/>
          <w:color w:val="000000"/>
        </w:rPr>
        <w:t xml:space="preserve"> Параграф 6. Требования к составу и содержанию периодического отчета по безопасности исследуемого препарата</w:t>
      </w:r>
    </w:p>
    <w:bookmarkEnd w:id="1874"/>
    <w:bookmarkStart w:name="z1936" w:id="1875"/>
    <w:p>
      <w:pPr>
        <w:spacing w:after="0"/>
        <w:ind w:left="0"/>
        <w:jc w:val="both"/>
      </w:pPr>
      <w:r>
        <w:rPr>
          <w:rFonts w:ascii="Times New Roman"/>
          <w:b w:val="false"/>
          <w:i w:val="false"/>
          <w:color w:val="000000"/>
          <w:sz w:val="28"/>
        </w:rPr>
        <w:t>
      10. Титульная страница содержит порядковый номер РОБ, название исследуемого препарата, отчетный период, дату составления отчета, названия и адреса спонсора, заявление о конфиденциальности информации, содержащейся в РОБ и предостережение, что РОБ содержит данные с раскрытыми кодами рандомизации.</w:t>
      </w:r>
    </w:p>
    <w:bookmarkEnd w:id="1875"/>
    <w:bookmarkStart w:name="z1937" w:id="1876"/>
    <w:p>
      <w:pPr>
        <w:spacing w:after="0"/>
        <w:ind w:left="0"/>
        <w:jc w:val="both"/>
      </w:pPr>
      <w:r>
        <w:rPr>
          <w:rFonts w:ascii="Times New Roman"/>
          <w:b w:val="false"/>
          <w:i w:val="false"/>
          <w:color w:val="000000"/>
          <w:sz w:val="28"/>
        </w:rPr>
        <w:t>
      11. Краткое изложение основного РОБ вместе с титульной страницей служит самостоятельным документом, подходящим для подачи в Комиссию по вопросам этики. В раздел включают краткую информацию по наиболее важным данным, имеющимся в отчете: номер отчета и отчетный период, краткая характеристика исследуемого препарата, его механизм действия, фармакотерапевтический класс, показания к применению, способ введения, режим дозирования, лекарственные формы; оценка количества субъектов исследования, подвергшихся воздействию исследуемого препарата; регистрационный статус с указанием количества стран, если он зарегистрирован; краткое изложение обобщенной оценки профиля безопасности; краткое изложение важных рисков; меры, принятые в связи с данными по безопасности, включая существенные изменения в брошюре исследователя; заключение (выводы).</w:t>
      </w:r>
    </w:p>
    <w:bookmarkEnd w:id="1876"/>
    <w:bookmarkStart w:name="z1938" w:id="1877"/>
    <w:p>
      <w:pPr>
        <w:spacing w:after="0"/>
        <w:ind w:left="0"/>
        <w:jc w:val="both"/>
      </w:pPr>
      <w:r>
        <w:rPr>
          <w:rFonts w:ascii="Times New Roman"/>
          <w:b w:val="false"/>
          <w:i w:val="false"/>
          <w:color w:val="000000"/>
          <w:sz w:val="28"/>
        </w:rPr>
        <w:t>
      12. Оглавление.</w:t>
      </w:r>
    </w:p>
    <w:bookmarkEnd w:id="1877"/>
    <w:bookmarkStart w:name="z1939" w:id="1878"/>
    <w:p>
      <w:pPr>
        <w:spacing w:after="0"/>
        <w:ind w:left="0"/>
        <w:jc w:val="both"/>
      </w:pPr>
      <w:r>
        <w:rPr>
          <w:rFonts w:ascii="Times New Roman"/>
          <w:b w:val="false"/>
          <w:i w:val="false"/>
          <w:color w:val="000000"/>
          <w:sz w:val="28"/>
        </w:rPr>
        <w:t xml:space="preserve">
      13. Введение включается следующая информация: </w:t>
      </w:r>
    </w:p>
    <w:bookmarkEnd w:id="1878"/>
    <w:bookmarkStart w:name="z1940" w:id="1879"/>
    <w:p>
      <w:pPr>
        <w:spacing w:after="0"/>
        <w:ind w:left="0"/>
        <w:jc w:val="both"/>
      </w:pPr>
      <w:r>
        <w:rPr>
          <w:rFonts w:ascii="Times New Roman"/>
          <w:b w:val="false"/>
          <w:i w:val="false"/>
          <w:color w:val="000000"/>
          <w:sz w:val="28"/>
        </w:rPr>
        <w:t xml:space="preserve">
      1) МДОРЛП или МДР; </w:t>
      </w:r>
    </w:p>
    <w:bookmarkEnd w:id="1879"/>
    <w:bookmarkStart w:name="z1941" w:id="1880"/>
    <w:p>
      <w:pPr>
        <w:spacing w:after="0"/>
        <w:ind w:left="0"/>
        <w:jc w:val="both"/>
      </w:pPr>
      <w:r>
        <w:rPr>
          <w:rFonts w:ascii="Times New Roman"/>
          <w:b w:val="false"/>
          <w:i w:val="false"/>
          <w:color w:val="000000"/>
          <w:sz w:val="28"/>
        </w:rPr>
        <w:t xml:space="preserve">
      2) отчетный период и порядковый номер РОБ; </w:t>
      </w:r>
    </w:p>
    <w:bookmarkEnd w:id="1880"/>
    <w:bookmarkStart w:name="z1942" w:id="1881"/>
    <w:p>
      <w:pPr>
        <w:spacing w:after="0"/>
        <w:ind w:left="0"/>
        <w:jc w:val="both"/>
      </w:pPr>
      <w:r>
        <w:rPr>
          <w:rFonts w:ascii="Times New Roman"/>
          <w:b w:val="false"/>
          <w:i w:val="false"/>
          <w:color w:val="000000"/>
          <w:sz w:val="28"/>
        </w:rPr>
        <w:t xml:space="preserve">
      3) характеристика исследуемого препарата - механизм действия, фармакотерапевтический класс, способ введения, режим дозирования, лекарственные формы; </w:t>
      </w:r>
    </w:p>
    <w:bookmarkEnd w:id="1881"/>
    <w:bookmarkStart w:name="z1943" w:id="1882"/>
    <w:p>
      <w:pPr>
        <w:spacing w:after="0"/>
        <w:ind w:left="0"/>
        <w:jc w:val="both"/>
      </w:pPr>
      <w:r>
        <w:rPr>
          <w:rFonts w:ascii="Times New Roman"/>
          <w:b w:val="false"/>
          <w:i w:val="false"/>
          <w:color w:val="000000"/>
          <w:sz w:val="28"/>
        </w:rPr>
        <w:t xml:space="preserve">
      4) краткое описание показаний к применению и исследуемых популяций; </w:t>
      </w:r>
    </w:p>
    <w:bookmarkEnd w:id="1882"/>
    <w:bookmarkStart w:name="z1944" w:id="1883"/>
    <w:p>
      <w:pPr>
        <w:spacing w:after="0"/>
        <w:ind w:left="0"/>
        <w:jc w:val="both"/>
      </w:pPr>
      <w:r>
        <w:rPr>
          <w:rFonts w:ascii="Times New Roman"/>
          <w:b w:val="false"/>
          <w:i w:val="false"/>
          <w:color w:val="000000"/>
          <w:sz w:val="28"/>
        </w:rPr>
        <w:t xml:space="preserve">
      5) краткое описание характера и временной направленности клинических исследований, включенных в отчет, (все клинические исследования исследуемого препарата); </w:t>
      </w:r>
    </w:p>
    <w:bookmarkEnd w:id="1883"/>
    <w:bookmarkStart w:name="z1945" w:id="1884"/>
    <w:p>
      <w:pPr>
        <w:spacing w:after="0"/>
        <w:ind w:left="0"/>
        <w:jc w:val="both"/>
      </w:pPr>
      <w:r>
        <w:rPr>
          <w:rFonts w:ascii="Times New Roman"/>
          <w:b w:val="false"/>
          <w:i w:val="false"/>
          <w:color w:val="000000"/>
          <w:sz w:val="28"/>
        </w:rPr>
        <w:t xml:space="preserve">
      6) клинические исследования по определенному показанию; исследования комбинированной терапии; </w:t>
      </w:r>
    </w:p>
    <w:bookmarkEnd w:id="1884"/>
    <w:bookmarkStart w:name="z1946" w:id="1885"/>
    <w:p>
      <w:pPr>
        <w:spacing w:after="0"/>
        <w:ind w:left="0"/>
        <w:jc w:val="both"/>
      </w:pPr>
      <w:r>
        <w:rPr>
          <w:rFonts w:ascii="Times New Roman"/>
          <w:b w:val="false"/>
          <w:i w:val="false"/>
          <w:color w:val="000000"/>
          <w:sz w:val="28"/>
        </w:rPr>
        <w:t xml:space="preserve">
      7) краткое описание и пояснения в отношении какой-либо информации, которая не была включена в отчет (непредставление части информации по безопасности партнерами по разработке исследуемого препарата); </w:t>
      </w:r>
    </w:p>
    <w:bookmarkEnd w:id="1885"/>
    <w:bookmarkStart w:name="z1947" w:id="1886"/>
    <w:p>
      <w:pPr>
        <w:spacing w:after="0"/>
        <w:ind w:left="0"/>
        <w:jc w:val="both"/>
      </w:pPr>
      <w:r>
        <w:rPr>
          <w:rFonts w:ascii="Times New Roman"/>
          <w:b w:val="false"/>
          <w:i w:val="false"/>
          <w:color w:val="000000"/>
          <w:sz w:val="28"/>
        </w:rPr>
        <w:t>
      8) обоснование представления нескольких РОБ для одного исследуемого препарата.</w:t>
      </w:r>
    </w:p>
    <w:bookmarkEnd w:id="1886"/>
    <w:bookmarkStart w:name="z1948" w:id="1887"/>
    <w:p>
      <w:pPr>
        <w:spacing w:after="0"/>
        <w:ind w:left="0"/>
        <w:jc w:val="both"/>
      </w:pPr>
      <w:r>
        <w:rPr>
          <w:rFonts w:ascii="Times New Roman"/>
          <w:b w:val="false"/>
          <w:i w:val="false"/>
          <w:color w:val="000000"/>
          <w:sz w:val="28"/>
        </w:rPr>
        <w:t>
      14. Раздел регистрационный статус в мире представляется краткое изложение состояния по регистрационному статусу, включая: МДР, зарегистрированное показание к применению, одобренные дозы, соответствующие страны.</w:t>
      </w:r>
    </w:p>
    <w:bookmarkEnd w:id="1887"/>
    <w:bookmarkStart w:name="z1949" w:id="1888"/>
    <w:p>
      <w:pPr>
        <w:spacing w:after="0"/>
        <w:ind w:left="0"/>
        <w:jc w:val="both"/>
      </w:pPr>
      <w:r>
        <w:rPr>
          <w:rFonts w:ascii="Times New Roman"/>
          <w:b w:val="false"/>
          <w:i w:val="false"/>
          <w:color w:val="000000"/>
          <w:sz w:val="28"/>
        </w:rPr>
        <w:t>
      15. Раздел меры, принятые за отчетный период, в связи с данными по безопасности включает описание мер, принятых за отчетный период спонсором, уполномоченным органом Республики Казахстан, Независимой группой по мониторингу данных, Комиссией по вопросам этики в целях безопасности, которые оказали влияние на проведение определенного клинического исследования или на программу клинической разработки в целом. В разделе указываются основания для принятия мер, а также возможные изменения по ранее принятым мерам (возобновление клинического исследования после приостановки). Меры, принятые в целях безопасности, могут включать, но не ограничиваются следующими примерами: отказ со стороны уполномоченного органа Республики Казахстан или Комиссии по вопросам этики в разрешении проведения клинического исследования по этическим вопросам или аспектам безопасности, частичная или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 отзыв исследуемого препарата или препарата сравнения; 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 введение мер по управлению рисками - внесение поправок в протокол в связи с аспектами безопасности или эффективности исследуемого препарата, включая изменение режима дозирования, критериев включения или исключения, введение дополнительного мониторинга, ограничение длительности воздействия, ограничения исследуемой популяции или показаний к применению; изменения информированного согласия; изменения состава препарата; введение уполномоченными органами дополнительных требований по представлению информации по безопасности; подготовка дополнительной информации для исследователей и медицинских работников; планирование новых исследований по изучению аспектов профиля безопасности. В случае наличия государственной регистрации, также включаются меры в отношении зарегистрированного лекарственного препарата: отказ со стороны уполномоченных органов в подтверждении регистрации; приостановка регистрации или отзыв с рынка; принятие уполномоченными органами мер по управлению рисками - существенные ограничения в обращении; существенные изменения в инструкции по медицинскому применению, которые могут повлиять на программу клинической разработки; подготовка дополнительной информации и другие меры минимизации риска; 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p>
    <w:bookmarkEnd w:id="1888"/>
    <w:bookmarkStart w:name="z1950" w:id="1889"/>
    <w:p>
      <w:pPr>
        <w:spacing w:after="0"/>
        <w:ind w:left="0"/>
        <w:jc w:val="both"/>
      </w:pPr>
      <w:r>
        <w:rPr>
          <w:rFonts w:ascii="Times New Roman"/>
          <w:b w:val="false"/>
          <w:i w:val="false"/>
          <w:color w:val="000000"/>
          <w:sz w:val="28"/>
        </w:rPr>
        <w:t>
      В этот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 требование проведения длительных доклинических исследований до начала долгосрочных клинических исследований, запрос о представлении специфических данных по безопасности до начала педиатрического исследования. Данная информация представляется в форме обобщенного перечня с указанием обновлений по данной информации, если это применимо.</w:t>
      </w:r>
    </w:p>
    <w:bookmarkEnd w:id="1889"/>
    <w:bookmarkStart w:name="z1951" w:id="1890"/>
    <w:p>
      <w:pPr>
        <w:spacing w:after="0"/>
        <w:ind w:left="0"/>
        <w:jc w:val="both"/>
      </w:pPr>
      <w:r>
        <w:rPr>
          <w:rFonts w:ascii="Times New Roman"/>
          <w:b w:val="false"/>
          <w:i w:val="false"/>
          <w:color w:val="000000"/>
          <w:sz w:val="28"/>
        </w:rPr>
        <w:t>
      16. Раздел изменения, внесенные в справочную информацию по безопасности исследуемого препарата включает перечень изменений, которые были внесены за отчетный период в БИ или иную справочную информацию по безопасности в связи с новыми аспектами профиля безопасности исследуемого препарата. Данные изменения могут касаться, но не ограничиваются, следующими примерами: изменение критериев исключения, противопоказаний, мер предосторожности и особых указаний, перечня серьезных нежелательных реакций и нежелательных явлений, 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 данным изменениям представляется в соответствующих разделах РОБ.</w:t>
      </w:r>
    </w:p>
    <w:bookmarkEnd w:id="1890"/>
    <w:bookmarkStart w:name="z1952" w:id="1891"/>
    <w:p>
      <w:pPr>
        <w:spacing w:after="0"/>
        <w:ind w:left="0"/>
        <w:jc w:val="both"/>
      </w:pPr>
      <w:r>
        <w:rPr>
          <w:rFonts w:ascii="Times New Roman"/>
          <w:b w:val="false"/>
          <w:i w:val="false"/>
          <w:color w:val="000000"/>
          <w:sz w:val="28"/>
        </w:rPr>
        <w:t>
      17. В разделе перечень продолжающихся и завершенных в отчетном периоде клинических исследований представляется краткая информация по продолжающимся и завершенным в отчетном периоде клиническим исследованиям с представлением в приложении к отчету детальной информации по исследованиям в табличной форме по следующим разделам: идентификационный номер и фаза исследования; статус выполнения - продолжающееся исследование; клиническое исследование началось; клиническое исследование началось, но в настоящее время приостановлено; клиническое исследование завершено, но отчет по клиническому исследованию еще не закончен; завершенное исследование и отчет по клиническому исследованию закончен; страны, в которых расположен как минимум один клиническая база; краткое название исследования; дизайн исследования - неконтролируемое, контролируемое, открытое, простое слепое, двойное слепое, в параллельных группах, с перекрестным дизайном и т.д., включая разделение на группы лечения; дозы и режим дозирования исследуемого препарата и препарата(-ов) сравнения; характеристика исследуемой популяции - возраст, пол, показания к применению, особые группы субъектов или пациентов ( пациенты с нарушением функции почек или пациенты с резистентностью к лечению); дата начала клинического исследования - по определению спонсора (первый визит первого включенного пациента или субъекта исследования); планируемый объем включения; оценка кумулятивного числа субъектов или пациентов исследования, получивших лечение в каждой лечебной группе. Приводятся данные по фактическому количеству включенных субъектов исследования в открытых или завершенных клинических исследованиях и (или) оценка, основанная на способе рандомизации для слепых исследований.</w:t>
      </w:r>
    </w:p>
    <w:bookmarkEnd w:id="1891"/>
    <w:bookmarkStart w:name="z1953" w:id="1892"/>
    <w:p>
      <w:pPr>
        <w:spacing w:after="0"/>
        <w:ind w:left="0"/>
        <w:jc w:val="both"/>
      </w:pPr>
      <w:r>
        <w:rPr>
          <w:rFonts w:ascii="Times New Roman"/>
          <w:b w:val="false"/>
          <w:i w:val="false"/>
          <w:color w:val="000000"/>
          <w:sz w:val="28"/>
        </w:rPr>
        <w:t>
      18. Раздел оценка количества субъектов, подвергшихся воздействию исследуемого препарата РОБ, содержит информацию об общем количестве субъектов, подвергшихся воздействию - кумулятивном воздействии, в клинических исследованиях и при терапевтическом применении. Требования по представлению информации в данном разделе включают следующее: данные представляются в табличной форме; в случае наличия существенных различий между клиническими исследованиями в отношении исследуемой дозы, способа введения, исследуемой популяции, данные в таблице соответствующим образом описываются, либо представлены в виде отдельных таблиц; если сводные таблицы серьезных нежелательных явлений представлены отдельно по каждому исследуемому показанию, данные по оценке воздействия также группируются по исследуемым показаниям; в случае наличия существенных расхождений по времени кумулятивного воздействия между клиническими исследованиями или исследуемым препаратом и препаратом сравнения, данные по оценке воздействия рекомендуется представлять в условных единицах "субъект-промежуток времени" - человеко-днях, человеко-месяцах или человеко-годах; данные по воздействию на здоровых добровольцев, в особенности при изучении однократного назначения могут представляться отдельно ввиду их меньшей значимости для оценки профиля безопасности; для зарегистрированных лекарственных препаратов, которые находятся в программе клинической разработки, используется менее точный подход в оценке кумулятивного воздействия в ходе клинических исследований в случае многолетнего терапевтического применения и (или) применения по многочисленным показаниям, спонсор комментирует такие случаи.</w:t>
      </w:r>
    </w:p>
    <w:bookmarkEnd w:id="1892"/>
    <w:bookmarkStart w:name="z1954" w:id="1893"/>
    <w:p>
      <w:pPr>
        <w:spacing w:after="0"/>
        <w:ind w:left="0"/>
        <w:jc w:val="both"/>
      </w:pPr>
      <w:r>
        <w:rPr>
          <w:rFonts w:ascii="Times New Roman"/>
          <w:b w:val="false"/>
          <w:i w:val="false"/>
          <w:color w:val="000000"/>
          <w:sz w:val="28"/>
        </w:rPr>
        <w:t>
      19. Обобщенная оценка количества субъектов, подвергшихся воздействию исследуемого препарата. в ходе выполнения программы клинической разработки Подраздел включает в табличной форме следующую информацию: общее число субъектов в продолжающихся и в завершенных клинических исследованиях; количество субъектов клинических исследований, получивших исследуемый препарат, плацебо и (или) препараты сравнения, начиная с МДОРЛП - в случае слепых продолжающихся исследований число субъектов оценивается исходя из используемого метода рандомизации; кумулятивное количество субъектов клинических исследований, подвергшихся воздействию исследуемого препарата по возрастным группам, полу, расовой принадлежности, при наличии данных; демографические характеристики по отдельным исследованиям особой важности (ключевые исследования III фазы).</w:t>
      </w:r>
    </w:p>
    <w:bookmarkEnd w:id="1893"/>
    <w:bookmarkStart w:name="z1955" w:id="1894"/>
    <w:p>
      <w:pPr>
        <w:spacing w:after="0"/>
        <w:ind w:left="0"/>
        <w:jc w:val="both"/>
      </w:pPr>
      <w:r>
        <w:rPr>
          <w:rFonts w:ascii="Times New Roman"/>
          <w:b w:val="false"/>
          <w:i w:val="false"/>
          <w:color w:val="000000"/>
          <w:sz w:val="28"/>
        </w:rPr>
        <w:t>
      В подразделе приводится указание и обоснование использованного метода оценки обобщенного (кумулятивного) воздействия, а также ограничения данного метода.</w:t>
      </w:r>
    </w:p>
    <w:bookmarkEnd w:id="1894"/>
    <w:bookmarkStart w:name="z1956" w:id="1895"/>
    <w:p>
      <w:pPr>
        <w:spacing w:after="0"/>
        <w:ind w:left="0"/>
        <w:jc w:val="both"/>
      </w:pPr>
      <w:r>
        <w:rPr>
          <w:rFonts w:ascii="Times New Roman"/>
          <w:b w:val="false"/>
          <w:i w:val="false"/>
          <w:color w:val="000000"/>
          <w:sz w:val="28"/>
        </w:rPr>
        <w:t>
      20. В случае, если исследуемый препарат зарегистрирован на территории какой-либо страны (стран), спонсором включаются в отчет данные по оценке кумулятивного воздействия на пациентов по результатам пострегистрационного применения, основанные на данных последнего ПОБ или иных источниках данных с указанием и обоснованием использованного метода оценки воздействия.</w:t>
      </w:r>
    </w:p>
    <w:bookmarkEnd w:id="1895"/>
    <w:bookmarkStart w:name="z1957" w:id="1896"/>
    <w:p>
      <w:pPr>
        <w:spacing w:after="0"/>
        <w:ind w:left="0"/>
        <w:jc w:val="both"/>
      </w:pPr>
      <w:r>
        <w:rPr>
          <w:rFonts w:ascii="Times New Roman"/>
          <w:b w:val="false"/>
          <w:i w:val="false"/>
          <w:color w:val="000000"/>
          <w:sz w:val="28"/>
        </w:rPr>
        <w:t>
      21. Раздел данные в виде структурированных списков и обобщенных - кумулятивных таблиц РОБ содержит структурированные списки серьезных нежелательных реакций, зарегистрированных спонсором за отчетный период, и обобщенные табличные данные по серьезным нежелательным явлениям, которые были зарегистрированы спонсором с МДОРЛП (таблицы включают все СНЯ, а не только СНР для исследуемого препарата и препаратов сравнения). Источником данных в списках и таблицах с раскрытыми рандомизационными кодами могут быть завершенные клинические исследования, а также индивидуальные случаи, в которых была выполнено раскрытие кода рандомизации по причинам, обусловленным безопасностью субъекта исследования. Спонсоры не раскрывают рандомизационные коды с целью подготовки РОБ.</w:t>
      </w:r>
    </w:p>
    <w:bookmarkEnd w:id="1896"/>
    <w:bookmarkStart w:name="z1958" w:id="1897"/>
    <w:p>
      <w:pPr>
        <w:spacing w:after="0"/>
        <w:ind w:left="0"/>
        <w:jc w:val="both"/>
      </w:pPr>
      <w:r>
        <w:rPr>
          <w:rFonts w:ascii="Times New Roman"/>
          <w:b w:val="false"/>
          <w:i w:val="false"/>
          <w:color w:val="000000"/>
          <w:sz w:val="28"/>
        </w:rPr>
        <w:t>
      По усмотрению спонсора для облегчения восприятия и понимания информации в разделе используется графическое отображение определенных аспектов данных по нежелательным реакциям.</w:t>
      </w:r>
    </w:p>
    <w:bookmarkEnd w:id="1897"/>
    <w:bookmarkStart w:name="z1959" w:id="1898"/>
    <w:p>
      <w:pPr>
        <w:spacing w:after="0"/>
        <w:ind w:left="0"/>
        <w:jc w:val="both"/>
      </w:pPr>
      <w:r>
        <w:rPr>
          <w:rFonts w:ascii="Times New Roman"/>
          <w:b w:val="false"/>
          <w:i w:val="false"/>
          <w:color w:val="000000"/>
          <w:sz w:val="28"/>
        </w:rPr>
        <w:t>
      В целом, таблицы СНЯ включают только те термины, которые были использованы для классификации серьезности; таблицы не включают несерьезные нежелательные явления.</w:t>
      </w:r>
    </w:p>
    <w:bookmarkEnd w:id="1898"/>
    <w:bookmarkStart w:name="z1960" w:id="1899"/>
    <w:p>
      <w:pPr>
        <w:spacing w:after="0"/>
        <w:ind w:left="0"/>
        <w:jc w:val="both"/>
      </w:pPr>
      <w:r>
        <w:rPr>
          <w:rFonts w:ascii="Times New Roman"/>
          <w:b w:val="false"/>
          <w:i w:val="false"/>
          <w:color w:val="000000"/>
          <w:sz w:val="28"/>
        </w:rPr>
        <w:t xml:space="preserve">
      Определенные нежелательные явления могут быть исключены из структурированных списков и обобщенных табличных данных, однако по всем сделанным исключениям предоставляются объяснения в отчете. К числу таких нежелательных явлений относятся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летальные исходы, обусловленные прогрессированием основного заболевания, в клинических исследованиях с участием пациентов со злокачественными новообразованиями. </w:t>
      </w:r>
    </w:p>
    <w:bookmarkEnd w:id="1899"/>
    <w:bookmarkStart w:name="z1961" w:id="1900"/>
    <w:p>
      <w:pPr>
        <w:spacing w:after="0"/>
        <w:ind w:left="0"/>
        <w:jc w:val="both"/>
      </w:pPr>
      <w:r>
        <w:rPr>
          <w:rFonts w:ascii="Times New Roman"/>
          <w:b w:val="false"/>
          <w:i w:val="false"/>
          <w:color w:val="000000"/>
          <w:sz w:val="28"/>
        </w:rPr>
        <w:t>
      22. В подразделе справочная информация указывается версия использованного для кодирования терминологического словаря и название документа с номером его версии, который использовался в качестве справочной информации по безопасности для определения предвиденности при составлении табличных данных, где это требуется в соответствии с законодательством Республики Казахстан.</w:t>
      </w:r>
    </w:p>
    <w:bookmarkEnd w:id="1900"/>
    <w:bookmarkStart w:name="z1962" w:id="1901"/>
    <w:p>
      <w:pPr>
        <w:spacing w:after="0"/>
        <w:ind w:left="0"/>
        <w:jc w:val="both"/>
      </w:pPr>
      <w:r>
        <w:rPr>
          <w:rFonts w:ascii="Times New Roman"/>
          <w:b w:val="false"/>
          <w:i w:val="false"/>
          <w:color w:val="000000"/>
          <w:sz w:val="28"/>
        </w:rPr>
        <w:t>
      23. В подразделе структурированный список серьезных нежелательных реакций за отчетный период приводится краткое описание принципа включения серьезных нежелательных реакций в список, сами списки серьезных нежелательных реакций, зарегистрированных при проведении клинических исследований за отчетный период, приводятся в приложении к РОБ. Не нужно использовать этот раздел для анализа серьезных нежелательных реакций или выводов. Структурированные списки представляют информацию по всем серьезным нежелательным реакциям (по ослепленным случаям и случаям с раскрытым кодом лечения) из клинических исследований спонсора в отчетный период. Данные в списках группируются первично по клиническим исследованиям и затем по органо-функциональным классам.</w:t>
      </w:r>
    </w:p>
    <w:bookmarkEnd w:id="1901"/>
    <w:bookmarkStart w:name="z1963" w:id="1902"/>
    <w:p>
      <w:pPr>
        <w:spacing w:after="0"/>
        <w:ind w:left="0"/>
        <w:jc w:val="both"/>
      </w:pPr>
      <w:r>
        <w:rPr>
          <w:rFonts w:ascii="Times New Roman"/>
          <w:b w:val="false"/>
          <w:i w:val="false"/>
          <w:color w:val="000000"/>
          <w:sz w:val="28"/>
        </w:rPr>
        <w:t>
      В структурированные списки случаи по каждому отдельному субъекту исследования включают единожды вне зависимости от количества терминов серьезных нежелательных реакций, включенных в описание случая. Если у субъекта исследования развилось более одной серьезной нежелательной реакции, они перечисляются в описании одного случая под названием наиболее серьезной нежелательной реакции - жалобы, симптома или диагноза, согласно оценке спонсора. Если у субъекта исследования развились различные серьезные нежелательные реакции в разное время на протяжении клинического исследования (с интервалом более недели) данные серьезные нежелательные реакции перечисляются отдельно, и субъект включается в структурированный список более одного раза.</w:t>
      </w:r>
    </w:p>
    <w:bookmarkEnd w:id="1902"/>
    <w:bookmarkStart w:name="z1964" w:id="1903"/>
    <w:p>
      <w:pPr>
        <w:spacing w:after="0"/>
        <w:ind w:left="0"/>
        <w:jc w:val="both"/>
      </w:pPr>
      <w:r>
        <w:rPr>
          <w:rFonts w:ascii="Times New Roman"/>
          <w:b w:val="false"/>
          <w:i w:val="false"/>
          <w:color w:val="000000"/>
          <w:sz w:val="28"/>
        </w:rPr>
        <w:t xml:space="preserve">
      Информация по серьезным нежелательным реакциям в структурированных списках включает следующие данные: </w:t>
      </w:r>
    </w:p>
    <w:bookmarkEnd w:id="1903"/>
    <w:bookmarkStart w:name="z1965" w:id="1904"/>
    <w:p>
      <w:pPr>
        <w:spacing w:after="0"/>
        <w:ind w:left="0"/>
        <w:jc w:val="both"/>
      </w:pPr>
      <w:r>
        <w:rPr>
          <w:rFonts w:ascii="Times New Roman"/>
          <w:b w:val="false"/>
          <w:i w:val="false"/>
          <w:color w:val="000000"/>
          <w:sz w:val="28"/>
        </w:rPr>
        <w:t xml:space="preserve">
      1) идентификационный номер клинического исследования; идентификационный номер субъекта исследования; </w:t>
      </w:r>
    </w:p>
    <w:bookmarkEnd w:id="1904"/>
    <w:bookmarkStart w:name="z1966" w:id="1905"/>
    <w:p>
      <w:pPr>
        <w:spacing w:after="0"/>
        <w:ind w:left="0"/>
        <w:jc w:val="both"/>
      </w:pPr>
      <w:r>
        <w:rPr>
          <w:rFonts w:ascii="Times New Roman"/>
          <w:b w:val="false"/>
          <w:i w:val="false"/>
          <w:color w:val="000000"/>
          <w:sz w:val="28"/>
        </w:rPr>
        <w:t xml:space="preserve">
      2) идентификационный номера сообщения о серьезной нежелательной реакции по базе данных спонсора; </w:t>
      </w:r>
    </w:p>
    <w:bookmarkEnd w:id="1905"/>
    <w:bookmarkStart w:name="z1967" w:id="1906"/>
    <w:p>
      <w:pPr>
        <w:spacing w:after="0"/>
        <w:ind w:left="0"/>
        <w:jc w:val="both"/>
      </w:pPr>
      <w:r>
        <w:rPr>
          <w:rFonts w:ascii="Times New Roman"/>
          <w:b w:val="false"/>
          <w:i w:val="false"/>
          <w:color w:val="000000"/>
          <w:sz w:val="28"/>
        </w:rPr>
        <w:t xml:space="preserve">
      3) страна выявления серьезной нежелательной реакции; возраст и пол субъекта исследования; </w:t>
      </w:r>
    </w:p>
    <w:bookmarkEnd w:id="1906"/>
    <w:bookmarkStart w:name="z1968" w:id="1907"/>
    <w:p>
      <w:pPr>
        <w:spacing w:after="0"/>
        <w:ind w:left="0"/>
        <w:jc w:val="both"/>
      </w:pPr>
      <w:r>
        <w:rPr>
          <w:rFonts w:ascii="Times New Roman"/>
          <w:b w:val="false"/>
          <w:i w:val="false"/>
          <w:color w:val="000000"/>
          <w:sz w:val="28"/>
        </w:rPr>
        <w:t xml:space="preserve">
      4) указание группы лечения или указание, что данные ослепленные, если не выполнялось раскрытие рандомизационного кода; </w:t>
      </w:r>
    </w:p>
    <w:bookmarkEnd w:id="1907"/>
    <w:bookmarkStart w:name="z1969" w:id="1908"/>
    <w:p>
      <w:pPr>
        <w:spacing w:after="0"/>
        <w:ind w:left="0"/>
        <w:jc w:val="both"/>
      </w:pPr>
      <w:r>
        <w:rPr>
          <w:rFonts w:ascii="Times New Roman"/>
          <w:b w:val="false"/>
          <w:i w:val="false"/>
          <w:color w:val="000000"/>
          <w:sz w:val="28"/>
        </w:rPr>
        <w:t xml:space="preserve">
      5) доза и длительность назначения исследуемого препарата, лекарственная форма и способ введения; </w:t>
      </w:r>
    </w:p>
    <w:bookmarkEnd w:id="1908"/>
    <w:bookmarkStart w:name="z1970" w:id="1909"/>
    <w:p>
      <w:pPr>
        <w:spacing w:after="0"/>
        <w:ind w:left="0"/>
        <w:jc w:val="both"/>
      </w:pPr>
      <w:r>
        <w:rPr>
          <w:rFonts w:ascii="Times New Roman"/>
          <w:b w:val="false"/>
          <w:i w:val="false"/>
          <w:color w:val="000000"/>
          <w:sz w:val="28"/>
        </w:rPr>
        <w:t xml:space="preserve">
      6) дата начала и (или) время от начала приема до развития серьезной нежелательной реакции; </w:t>
      </w:r>
    </w:p>
    <w:bookmarkEnd w:id="1909"/>
    <w:bookmarkStart w:name="z1971" w:id="1910"/>
    <w:p>
      <w:pPr>
        <w:spacing w:after="0"/>
        <w:ind w:left="0"/>
        <w:jc w:val="both"/>
      </w:pPr>
      <w:r>
        <w:rPr>
          <w:rFonts w:ascii="Times New Roman"/>
          <w:b w:val="false"/>
          <w:i w:val="false"/>
          <w:color w:val="000000"/>
          <w:sz w:val="28"/>
        </w:rPr>
        <w:t xml:space="preserve">
      7) даты начала и окончания назначения исследуемого препарата и (или) оценка продолжительности лечения; </w:t>
      </w:r>
    </w:p>
    <w:bookmarkEnd w:id="1910"/>
    <w:bookmarkStart w:name="z1972" w:id="1911"/>
    <w:p>
      <w:pPr>
        <w:spacing w:after="0"/>
        <w:ind w:left="0"/>
        <w:jc w:val="both"/>
      </w:pPr>
      <w:r>
        <w:rPr>
          <w:rFonts w:ascii="Times New Roman"/>
          <w:b w:val="false"/>
          <w:i w:val="false"/>
          <w:color w:val="000000"/>
          <w:sz w:val="28"/>
        </w:rPr>
        <w:t xml:space="preserve">
      8) название или описание серьезной нежелательной реакции - при использовании Медицинского словаря терминологии регулятивной деятельности (MedDRA) следует указывать предпочтительный термин; </w:t>
      </w:r>
    </w:p>
    <w:bookmarkEnd w:id="1911"/>
    <w:bookmarkStart w:name="z1973" w:id="1912"/>
    <w:p>
      <w:pPr>
        <w:spacing w:after="0"/>
        <w:ind w:left="0"/>
        <w:jc w:val="both"/>
      </w:pPr>
      <w:r>
        <w:rPr>
          <w:rFonts w:ascii="Times New Roman"/>
          <w:b w:val="false"/>
          <w:i w:val="false"/>
          <w:color w:val="000000"/>
          <w:sz w:val="28"/>
        </w:rPr>
        <w:t xml:space="preserve">
      9) исход нежелательной реакции (разрешилось, летальный исход, улучшение, разрешилось с остаточными явлениями, неизвестно) в этом пункте следует указывать исход нежелательной реакции у пациента, в случае нескольких нежелательных реакций указывается наихудший исход; </w:t>
      </w:r>
    </w:p>
    <w:bookmarkEnd w:id="1912"/>
    <w:bookmarkStart w:name="z1974" w:id="1913"/>
    <w:p>
      <w:pPr>
        <w:spacing w:after="0"/>
        <w:ind w:left="0"/>
        <w:jc w:val="both"/>
      </w:pPr>
      <w:r>
        <w:rPr>
          <w:rFonts w:ascii="Times New Roman"/>
          <w:b w:val="false"/>
          <w:i w:val="false"/>
          <w:color w:val="000000"/>
          <w:sz w:val="28"/>
        </w:rPr>
        <w:t xml:space="preserve">
      10) оценка причинно-следственной взаимосвязи в случае расхождения во мнениях спонсора и исследователя; </w:t>
      </w:r>
    </w:p>
    <w:bookmarkEnd w:id="1913"/>
    <w:bookmarkStart w:name="z1975" w:id="1914"/>
    <w:p>
      <w:pPr>
        <w:spacing w:after="0"/>
        <w:ind w:left="0"/>
        <w:jc w:val="both"/>
      </w:pPr>
      <w:r>
        <w:rPr>
          <w:rFonts w:ascii="Times New Roman"/>
          <w:b w:val="false"/>
          <w:i w:val="false"/>
          <w:color w:val="000000"/>
          <w:sz w:val="28"/>
        </w:rPr>
        <w:t xml:space="preserve">
      11) сопутствующие лекарственные препараты, если подозревается их прямая связь с нежелательной реакцией или лекарственное взаимодействие; показания, по которым назначался подозреваемый лекарственный препарат; </w:t>
      </w:r>
    </w:p>
    <w:bookmarkEnd w:id="1914"/>
    <w:bookmarkStart w:name="z1976" w:id="1915"/>
    <w:p>
      <w:pPr>
        <w:spacing w:after="0"/>
        <w:ind w:left="0"/>
        <w:jc w:val="both"/>
      </w:pPr>
      <w:r>
        <w:rPr>
          <w:rFonts w:ascii="Times New Roman"/>
          <w:b w:val="false"/>
          <w:i w:val="false"/>
          <w:color w:val="000000"/>
          <w:sz w:val="28"/>
        </w:rPr>
        <w:t>
      12) результаты отмены и повторного назначения исследуемого препарата при наличии таковых сведений. Обобщенная информация о выявленных серьезных нежелательных реакциях включает данные слепых и открытых клинических исследований.</w:t>
      </w:r>
    </w:p>
    <w:bookmarkEnd w:id="1915"/>
    <w:bookmarkStart w:name="z1977" w:id="1916"/>
    <w:p>
      <w:pPr>
        <w:spacing w:after="0"/>
        <w:ind w:left="0"/>
        <w:jc w:val="both"/>
      </w:pPr>
      <w:r>
        <w:rPr>
          <w:rFonts w:ascii="Times New Roman"/>
          <w:b w:val="false"/>
          <w:i w:val="false"/>
          <w:color w:val="000000"/>
          <w:sz w:val="28"/>
        </w:rPr>
        <w:t>
      24. В подразделе обобщенные табличные данные о выявленных серьезных нежелательных явлениях делается отсылка к приложению с обобщенными - кумулятивными табличными данными по выявленным серьезным нежелательным явлениям, полученными спонсором клинических исследований за период от МДОРЛП до даты окончания сбора, данных текущего РОБ. В случае отсутствия какой-либо части данных делается пояснение причины. Обобщенные табличные данные о выявленных серьезных нежелательных явлениях приводятся в приложении и формируются с разделением по органо-функциональным классам, по исследуемым препаратам, а также по препаратам сравнения. Если это представляется целесообразным, данные могут быть сгруппированы по отдельным протоколам исследований, показаниям, способам введения или иным категориям. Обобщенная информация о выявленных серьезных нежелательных явлениях включает данные слепых и открытых клинических исследований.</w:t>
      </w:r>
    </w:p>
    <w:bookmarkEnd w:id="1916"/>
    <w:bookmarkStart w:name="z1978" w:id="1917"/>
    <w:p>
      <w:pPr>
        <w:spacing w:after="0"/>
        <w:ind w:left="0"/>
        <w:jc w:val="left"/>
      </w:pPr>
      <w:r>
        <w:rPr>
          <w:rFonts w:ascii="Times New Roman"/>
          <w:b/>
          <w:i w:val="false"/>
          <w:color w:val="000000"/>
        </w:rPr>
        <w:t xml:space="preserve"> Параграф 7. Важные данные, полученные в ходе клинических исследований за отчетный период</w:t>
      </w:r>
    </w:p>
    <w:bookmarkEnd w:id="1917"/>
    <w:bookmarkStart w:name="z1979" w:id="1918"/>
    <w:p>
      <w:pPr>
        <w:spacing w:after="0"/>
        <w:ind w:left="0"/>
        <w:jc w:val="both"/>
      </w:pPr>
      <w:r>
        <w:rPr>
          <w:rFonts w:ascii="Times New Roman"/>
          <w:b w:val="false"/>
          <w:i w:val="false"/>
          <w:color w:val="000000"/>
          <w:sz w:val="28"/>
        </w:rPr>
        <w:t>
      25. В подразделе завершенные клинические исследования РОБ в кратком обобщенном виде спонсором приводится информация по новым клинически важным данным, полученным по результатам завершившихся за отчетный период клинических исследований. Информация включает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bookmarkEnd w:id="1918"/>
    <w:bookmarkStart w:name="z1980" w:id="1919"/>
    <w:p>
      <w:pPr>
        <w:spacing w:after="0"/>
        <w:ind w:left="0"/>
        <w:jc w:val="both"/>
      </w:pPr>
      <w:r>
        <w:rPr>
          <w:rFonts w:ascii="Times New Roman"/>
          <w:b w:val="false"/>
          <w:i w:val="false"/>
          <w:color w:val="000000"/>
          <w:sz w:val="28"/>
        </w:rPr>
        <w:t>
      26. В подразделе продолжающиеся клинические исследования РОБ в кратком обобщенном виде спонсором приводится информация по клинически важным данным, выявленным в ходе проведения еще не завершившихся клинических исследований, при проведении промежуточного анализа данных или в результате раскрытия рандомизационных кодов при развитии нежелательных реакций. Информация включает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bookmarkEnd w:id="1919"/>
    <w:bookmarkStart w:name="z1981" w:id="1920"/>
    <w:p>
      <w:pPr>
        <w:spacing w:after="0"/>
        <w:ind w:left="0"/>
        <w:jc w:val="both"/>
      </w:pPr>
      <w:r>
        <w:rPr>
          <w:rFonts w:ascii="Times New Roman"/>
          <w:b w:val="false"/>
          <w:i w:val="false"/>
          <w:color w:val="000000"/>
          <w:sz w:val="28"/>
        </w:rPr>
        <w:t>
      27. В разделе длительное последующее наблюдение включается информация о результатах длительного последующего наблюдения за субъектами клинического исследования после завершения участия в клиническом исследовании. После завершения программы разработки длительное последующее наблюдение остается единственным продолжающим видом деятельности, в ходе которого получается информация для РОБ. В этом случае только в данном разделе РОБ будет представляться новая информация.</w:t>
      </w:r>
    </w:p>
    <w:bookmarkEnd w:id="1920"/>
    <w:bookmarkStart w:name="z1982" w:id="1921"/>
    <w:p>
      <w:pPr>
        <w:spacing w:after="0"/>
        <w:ind w:left="0"/>
        <w:jc w:val="both"/>
      </w:pPr>
      <w:r>
        <w:rPr>
          <w:rFonts w:ascii="Times New Roman"/>
          <w:b w:val="false"/>
          <w:i w:val="false"/>
          <w:color w:val="000000"/>
          <w:sz w:val="28"/>
        </w:rPr>
        <w:t>
      28. В подраздел иное терапевтическое применение исследуемого препарата включаются клинически важные данные по безопасности, которые были получены при проведении спонсором специальных протоколов исследований, в ходе которых выполняется организованный сбор и представление информации о нежелательных реакциях (программы расширенного доступа, программы использования в связи с исключительными обстоятельствами из соображений сострадания, программы сострадательного доступа, программы индивидуального доступа по запросу врача и иные).</w:t>
      </w:r>
    </w:p>
    <w:bookmarkEnd w:id="1921"/>
    <w:bookmarkStart w:name="z1983" w:id="1922"/>
    <w:p>
      <w:pPr>
        <w:spacing w:after="0"/>
        <w:ind w:left="0"/>
        <w:jc w:val="both"/>
      </w:pPr>
      <w:r>
        <w:rPr>
          <w:rFonts w:ascii="Times New Roman"/>
          <w:b w:val="false"/>
          <w:i w:val="false"/>
          <w:color w:val="000000"/>
          <w:sz w:val="28"/>
        </w:rPr>
        <w:t>
      29. Если исследуемый препарат разрабатывается также как компонент фиксированной комбинации или многокомпонентных режимов терапии, в подразделе новые данные по безопасности комбинированной терапии РОБ по отдельному компоненту приводятся данные по важной информации по безопасности, полученной при оценке назначения исследуемого препарата в составе комбинации лекарственных препаратов. Если РОБ составляется для комбинированной терапии или фиксированной комбинации, в этот подраздел следует включать информацию по безопасности, полученную из исследований отдельных компонентов.</w:t>
      </w:r>
    </w:p>
    <w:bookmarkEnd w:id="1922"/>
    <w:bookmarkStart w:name="z1984" w:id="1923"/>
    <w:p>
      <w:pPr>
        <w:spacing w:after="0"/>
        <w:ind w:left="0"/>
        <w:jc w:val="both"/>
      </w:pPr>
      <w:r>
        <w:rPr>
          <w:rFonts w:ascii="Times New Roman"/>
          <w:b w:val="false"/>
          <w:i w:val="false"/>
          <w:color w:val="000000"/>
          <w:sz w:val="28"/>
        </w:rPr>
        <w:t>
      30. В раздел данные по безопасности, полученные в ходе неинтервенционных исследований, включается обобщающая информация по безопасности, полученная спонсором за отчетный период в результате проведения неинтервенционных исследований (наблюдательных исследований, эпидемиологических исследований, регистров и программ активного мониторинга).</w:t>
      </w:r>
    </w:p>
    <w:bookmarkEnd w:id="1923"/>
    <w:bookmarkStart w:name="z1985" w:id="1924"/>
    <w:p>
      <w:pPr>
        <w:spacing w:after="0"/>
        <w:ind w:left="0"/>
        <w:jc w:val="both"/>
      </w:pPr>
      <w:r>
        <w:rPr>
          <w:rFonts w:ascii="Times New Roman"/>
          <w:b w:val="false"/>
          <w:i w:val="false"/>
          <w:color w:val="000000"/>
          <w:sz w:val="28"/>
        </w:rPr>
        <w:t>
      31. В раздел данные по безопасности, полученные в ходе других клинических исследований включается обобщающая информация по безопасности, полученная спонсором за отчетный период в результате проведения иных исследований (анализа сводных данных или мета-анализа рандомизированных клинических исследований, данных по безопасности, предоставленных партнерами по разработке исследуемого препарата) либо исследователями, являющихся инициаторами проведения клинического исследования.</w:t>
      </w:r>
    </w:p>
    <w:bookmarkEnd w:id="1924"/>
    <w:bookmarkStart w:name="z1986" w:id="1925"/>
    <w:p>
      <w:pPr>
        <w:spacing w:after="0"/>
        <w:ind w:left="0"/>
        <w:jc w:val="both"/>
      </w:pPr>
      <w:r>
        <w:rPr>
          <w:rFonts w:ascii="Times New Roman"/>
          <w:b w:val="false"/>
          <w:i w:val="false"/>
          <w:color w:val="000000"/>
          <w:sz w:val="28"/>
        </w:rPr>
        <w:t>
      32. В случае если исследуемый препарат зарегистрирован на территории какой-либо страны, в разделе данные по безопасности, полученные в ходе пострегистрационного применения, представляется краткая обобщенная информация по основным данным по 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 в инструкцию по медицинскому применению, БИ, информированное согласие или план управления рисками. Данные по безопасности в разделе включают результаты применения как в соответствии с инструкцией по медицинскому применению, так и применения по незарегистрированным показаниям - "вне инструкции", результаты ошибок назначения, случаи передозировки, развития зависимости, применения у особых групп пациентов (у беременных женщин).</w:t>
      </w:r>
    </w:p>
    <w:bookmarkEnd w:id="1925"/>
    <w:bookmarkStart w:name="z1987" w:id="1926"/>
    <w:p>
      <w:pPr>
        <w:spacing w:after="0"/>
        <w:ind w:left="0"/>
        <w:jc w:val="both"/>
      </w:pPr>
      <w:r>
        <w:rPr>
          <w:rFonts w:ascii="Times New Roman"/>
          <w:b w:val="false"/>
          <w:i w:val="false"/>
          <w:color w:val="000000"/>
          <w:sz w:val="28"/>
        </w:rPr>
        <w:t>
      33. В разделе данные доклинических исследований приводятся обобщенные данные по наиболее важным сведениям по безопасности, полученным за отчетный период по результатам проведенных или продолжающихся доклинических исследований внутри живого организма (in vivo) и вне живого организма (in vitro) (исследования канцерогенности, репродуктивной токсичности, иммунотоксичности). Оценка влияния доклинических данных на клиническую безопасность выполняется в "Обобщенной оценке профиля безопасности исследуемого препарата".</w:t>
      </w:r>
    </w:p>
    <w:bookmarkEnd w:id="1926"/>
    <w:bookmarkStart w:name="z1988" w:id="1927"/>
    <w:p>
      <w:pPr>
        <w:spacing w:after="0"/>
        <w:ind w:left="0"/>
        <w:jc w:val="both"/>
      </w:pPr>
      <w:r>
        <w:rPr>
          <w:rFonts w:ascii="Times New Roman"/>
          <w:b w:val="false"/>
          <w:i w:val="false"/>
          <w:color w:val="000000"/>
          <w:sz w:val="28"/>
        </w:rPr>
        <w:t>
      34. В раздел литературные данные в обобщенном виде включаются новые и важные данные по безопасности, имеющие отношение к исследуемому препарату, которые опубликованы в научной литературе, включены в неопубликованные монографии, были представлены на научных конференциях, либо опубликованы в виде абстрактов и стали доступны спонсору в отчетный период. Данный раздел включает данные клинических и доклинических исследований, а также данные по соединениям аналогичного класса. Спонсор представляет копии абстрактов по данному разделу.</w:t>
      </w:r>
    </w:p>
    <w:bookmarkEnd w:id="1927"/>
    <w:bookmarkStart w:name="z1989" w:id="1928"/>
    <w:p>
      <w:pPr>
        <w:spacing w:after="0"/>
        <w:ind w:left="0"/>
        <w:jc w:val="both"/>
      </w:pPr>
      <w:r>
        <w:rPr>
          <w:rFonts w:ascii="Times New Roman"/>
          <w:b w:val="false"/>
          <w:i w:val="false"/>
          <w:color w:val="000000"/>
          <w:sz w:val="28"/>
        </w:rPr>
        <w:t>
      35. Спонсор представляет единый РОБ. Если спонсор готовит несколько РОБ для одного исследуемого препарата (по различным показаниям, программам разработки, лекарственным формам), в разделе другие РОБ приводится в обобщенном виде важная информация по безопасности из других РОБ, если она уже не представлена в других разделах настоящего РОБ. В разделе представляются обобщенные данные за отчетный период, по значимым сведениям, по безопасности, включенными в РОБ, предоставленные другими спонсорами, выполняющими клинические исследования того же исследуемого препарата, в случае их наличия.</w:t>
      </w:r>
    </w:p>
    <w:bookmarkEnd w:id="1928"/>
    <w:bookmarkStart w:name="z1990" w:id="1929"/>
    <w:p>
      <w:pPr>
        <w:spacing w:after="0"/>
        <w:ind w:left="0"/>
        <w:jc w:val="both"/>
      </w:pPr>
      <w:r>
        <w:rPr>
          <w:rFonts w:ascii="Times New Roman"/>
          <w:b w:val="false"/>
          <w:i w:val="false"/>
          <w:color w:val="000000"/>
          <w:sz w:val="28"/>
        </w:rPr>
        <w:t xml:space="preserve">
      36. В разделе данные по недостаточной терапевтической эффективности суммируются данные, которые свидетельствуют о недостаточной эффективности исследуемого препарата, либо его меньшей эффективности по сравнению с используемой для лечения серьезных и жизнеугрожающих заболеваний терапией (большее количество нежелательных сердечно-сосудистых явлений в исследовании нового антиагрегантного средства при лечении острого коронарного синдрома) и отражают повышенный риск для субъектов исследования. </w:t>
      </w:r>
    </w:p>
    <w:bookmarkEnd w:id="1929"/>
    <w:bookmarkStart w:name="z1991" w:id="1930"/>
    <w:p>
      <w:pPr>
        <w:spacing w:after="0"/>
        <w:ind w:left="0"/>
        <w:jc w:val="both"/>
      </w:pPr>
      <w:r>
        <w:rPr>
          <w:rFonts w:ascii="Times New Roman"/>
          <w:b w:val="false"/>
          <w:i w:val="false"/>
          <w:color w:val="000000"/>
          <w:sz w:val="28"/>
        </w:rPr>
        <w:t>
      37. В разделе иные данные по безопасности, выявленные в ходе клинических исследований, приводится дополнительная информация по безопасности:</w:t>
      </w:r>
    </w:p>
    <w:bookmarkEnd w:id="1930"/>
    <w:bookmarkStart w:name="z1992" w:id="1931"/>
    <w:p>
      <w:pPr>
        <w:spacing w:after="0"/>
        <w:ind w:left="0"/>
        <w:jc w:val="both"/>
      </w:pPr>
      <w:r>
        <w:rPr>
          <w:rFonts w:ascii="Times New Roman"/>
          <w:b w:val="false"/>
          <w:i w:val="false"/>
          <w:color w:val="000000"/>
          <w:sz w:val="28"/>
        </w:rPr>
        <w:t>
      1) обобщенные табличные данные по серьезным нежелательным реакциям. В подразделе приводится информация по всем серьезным нежелательным реакциям путем указания общего количества серьезных нежелательных реакций по органо-функциональному классу, терминологическим наименованиям нежелательных реакций и группе лечения. Следует выделить непредвиденные нежелательные реакции;</w:t>
      </w:r>
    </w:p>
    <w:bookmarkEnd w:id="1931"/>
    <w:bookmarkStart w:name="z1993" w:id="1932"/>
    <w:p>
      <w:pPr>
        <w:spacing w:after="0"/>
        <w:ind w:left="0"/>
        <w:jc w:val="both"/>
      </w:pPr>
      <w:r>
        <w:rPr>
          <w:rFonts w:ascii="Times New Roman"/>
          <w:b w:val="false"/>
          <w:i w:val="false"/>
          <w:color w:val="000000"/>
          <w:sz w:val="28"/>
        </w:rPr>
        <w:t>
      2) список субъектов клинических исследований, которые умерли в течение отчетного периода. В подразделе приводится информация по субъектам клинических исследований, которые умерли в ходе проведения клинических исследований, которая включает следующие данные: идентификационный номер случая летального исхода, назначенное лечение сохраняется ослепление, причина смерти по каждому субъекту исследования. Все аспекты профиля безопасности, определяемые по результату обзора данных по летальным исходам, надлежащим образом отражаются в разделе обобщенной оценки профиля безопасности исследуемого препарата РОБ;</w:t>
      </w:r>
    </w:p>
    <w:bookmarkEnd w:id="1932"/>
    <w:bookmarkStart w:name="z1994" w:id="1933"/>
    <w:p>
      <w:pPr>
        <w:spacing w:after="0"/>
        <w:ind w:left="0"/>
        <w:jc w:val="both"/>
      </w:pPr>
      <w:r>
        <w:rPr>
          <w:rFonts w:ascii="Times New Roman"/>
          <w:b w:val="false"/>
          <w:i w:val="false"/>
          <w:color w:val="000000"/>
          <w:sz w:val="28"/>
        </w:rPr>
        <w:t>
      3) список субъектов клинических исследований, которые были исключены из клинических исследований в связи с развитием нежелательных явлений в течение отчетного периода. В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безопасности, определяемые по результату обзора данных по выбытию из клинических исследований, надлежащим образом отражаются в разделе обобщенной оценки профиля безопасности исследуемого препарата РОБ;</w:t>
      </w:r>
    </w:p>
    <w:bookmarkEnd w:id="1933"/>
    <w:bookmarkStart w:name="z1995" w:id="1934"/>
    <w:p>
      <w:pPr>
        <w:spacing w:after="0"/>
        <w:ind w:left="0"/>
        <w:jc w:val="both"/>
      </w:pPr>
      <w:r>
        <w:rPr>
          <w:rFonts w:ascii="Times New Roman"/>
          <w:b w:val="false"/>
          <w:i w:val="false"/>
          <w:color w:val="000000"/>
          <w:sz w:val="28"/>
        </w:rPr>
        <w:t>
      4) существенные поправки в протоколы клинических исследований фазы I. В разделе описываются существенные изменения в протоколах клинических исследований фазы I, сделанные на протяжении отчетного периода, если они ранее не представлялись как поправки к протоколу;</w:t>
      </w:r>
    </w:p>
    <w:bookmarkEnd w:id="1934"/>
    <w:bookmarkStart w:name="z1996" w:id="1935"/>
    <w:p>
      <w:pPr>
        <w:spacing w:after="0"/>
        <w:ind w:left="0"/>
        <w:jc w:val="both"/>
      </w:pPr>
      <w:r>
        <w:rPr>
          <w:rFonts w:ascii="Times New Roman"/>
          <w:b w:val="false"/>
          <w:i w:val="false"/>
          <w:color w:val="000000"/>
          <w:sz w:val="28"/>
        </w:rPr>
        <w:t>
      5) существенные изменения процесса производства. Раздел включает краткое описание существенных изменений процесса производства или микробиологических изменений, если таковые имелись, произошедших за отчетный период, с отражением оценки их потенциального влияния на аспекты профиля безопасности в разделе обобщенной оценки профиля безопасности исследуемого препарата РОБ;</w:t>
      </w:r>
    </w:p>
    <w:bookmarkEnd w:id="1935"/>
    <w:bookmarkStart w:name="z1997" w:id="1936"/>
    <w:p>
      <w:pPr>
        <w:spacing w:after="0"/>
        <w:ind w:left="0"/>
        <w:jc w:val="both"/>
      </w:pPr>
      <w:r>
        <w:rPr>
          <w:rFonts w:ascii="Times New Roman"/>
          <w:b w:val="false"/>
          <w:i w:val="false"/>
          <w:color w:val="000000"/>
          <w:sz w:val="28"/>
        </w:rPr>
        <w:t>
      6) описание общего исследовательского плана на предстоящий год. В разделе приводится краткое описание исследовательского плана, заменяющего план исследования за предшествующий год.</w:t>
      </w:r>
    </w:p>
    <w:bookmarkEnd w:id="1936"/>
    <w:bookmarkStart w:name="z1998" w:id="1937"/>
    <w:p>
      <w:pPr>
        <w:spacing w:after="0"/>
        <w:ind w:left="0"/>
        <w:jc w:val="both"/>
      </w:pPr>
      <w:r>
        <w:rPr>
          <w:rFonts w:ascii="Times New Roman"/>
          <w:b w:val="false"/>
          <w:i w:val="false"/>
          <w:color w:val="000000"/>
          <w:sz w:val="28"/>
        </w:rPr>
        <w:t>
      38. Раздел данные, полученные после даты окончания сбора данных РОБ включает обобщенную информацию по потенциально важным данным по безопасности, которые были выявлены после даты окончания сбора данных, но в период подготовки данного РОБ. Потенциально важные данные включают, но не ограничиваются, клинически значимыми новыми сообщениями, важными данными по последующему наблюдению, важными данными доклинических исследований, любыми мерами, принятыми спонсором, уполномоченным органом или Независимой группой по мониторингу данных в связи с изменениями профиля безопасности. Сведения, включенные в данный раздел, учитываются в разделе обобщенной оценки профиля безопасности исследуемого препарата РОБ.</w:t>
      </w:r>
    </w:p>
    <w:bookmarkEnd w:id="1937"/>
    <w:bookmarkStart w:name="z1999" w:id="1938"/>
    <w:p>
      <w:pPr>
        <w:spacing w:after="0"/>
        <w:ind w:left="0"/>
        <w:jc w:val="both"/>
      </w:pPr>
      <w:r>
        <w:rPr>
          <w:rFonts w:ascii="Times New Roman"/>
          <w:b w:val="false"/>
          <w:i w:val="false"/>
          <w:color w:val="000000"/>
          <w:sz w:val="28"/>
        </w:rPr>
        <w:t>
      39. В разделе обобщенная оценка профиля безопасности исследуемого препарата приводится обобщенная оценка профиля безопасности исследуемого препарата с объединенным анализом всех имеющих отношение новых клинических, доклинических, эпидемиологических данных, полученных на протяжении отчетного периода, с сопоставлением с прежними сведениями по профилю безопасности исследуемого препарата. Для зарегистрированных лекарственных препаратов оценка включает клинически значимые данные пострегистрационного мониторинга. В разделе не дублируется информация, включенная в предыдущие разделы отчета, однако дается интерпретация новой информации по безопасности и оценка ее влияния на исследуемую популяцию и программу разработки исследуемого препарата. Предоставляется отдельная оценка по направлениям терапевтического применения, путям введения, лекарственным формам и (или) показаниям к применению.</w:t>
      </w:r>
    </w:p>
    <w:bookmarkEnd w:id="1938"/>
    <w:bookmarkStart w:name="z2000" w:id="1939"/>
    <w:p>
      <w:pPr>
        <w:spacing w:after="0"/>
        <w:ind w:left="0"/>
        <w:jc w:val="both"/>
      </w:pPr>
      <w:r>
        <w:rPr>
          <w:rFonts w:ascii="Times New Roman"/>
          <w:b w:val="false"/>
          <w:i w:val="false"/>
          <w:color w:val="000000"/>
          <w:sz w:val="28"/>
        </w:rPr>
        <w:t xml:space="preserve">
      40. При оценке риска особое внимание уделяется интерпретации данных по новым идентифицированным проблемам по безопасности или значимой новой информации по безопасности. Представляется оценка следующих аспектов профиля безопасности, в случаях, когда это применимо: </w:t>
      </w:r>
    </w:p>
    <w:bookmarkEnd w:id="1939"/>
    <w:bookmarkStart w:name="z2001" w:id="1940"/>
    <w:p>
      <w:pPr>
        <w:spacing w:after="0"/>
        <w:ind w:left="0"/>
        <w:jc w:val="both"/>
      </w:pPr>
      <w:r>
        <w:rPr>
          <w:rFonts w:ascii="Times New Roman"/>
          <w:b w:val="false"/>
          <w:i w:val="false"/>
          <w:color w:val="000000"/>
          <w:sz w:val="28"/>
        </w:rPr>
        <w:t xml:space="preserve">
      1) новые выявленные аспекты профиля безопасности в виде детального описания нежелательных явлений или реакций, связанных с применением исследуемого препарата, изменение лабораторных параметров; факторы риска; взаимосвязь с дозами и продолжительностью лечения; </w:t>
      </w:r>
    </w:p>
    <w:bookmarkEnd w:id="1940"/>
    <w:bookmarkStart w:name="z2002" w:id="1941"/>
    <w:p>
      <w:pPr>
        <w:spacing w:after="0"/>
        <w:ind w:left="0"/>
        <w:jc w:val="both"/>
      </w:pPr>
      <w:r>
        <w:rPr>
          <w:rFonts w:ascii="Times New Roman"/>
          <w:b w:val="false"/>
          <w:i w:val="false"/>
          <w:color w:val="000000"/>
          <w:sz w:val="28"/>
        </w:rPr>
        <w:t>
      2) обратимость осложнений; факторы, которые могут быть полезны для прогнозирования или предотвращения нежелательных реакций);</w:t>
      </w:r>
    </w:p>
    <w:bookmarkEnd w:id="1941"/>
    <w:bookmarkStart w:name="z2003" w:id="1942"/>
    <w:p>
      <w:pPr>
        <w:spacing w:after="0"/>
        <w:ind w:left="0"/>
        <w:jc w:val="both"/>
      </w:pPr>
      <w:r>
        <w:rPr>
          <w:rFonts w:ascii="Times New Roman"/>
          <w:b w:val="false"/>
          <w:i w:val="false"/>
          <w:color w:val="000000"/>
          <w:sz w:val="28"/>
        </w:rPr>
        <w:t>
      3) значимые изменения в характеристике ранее зарегистрированных нежелательных реакций (повышение ожидаемой частоты или степени тяжести, утяжеление исходов, установление групп риска развития осложнений);</w:t>
      </w:r>
    </w:p>
    <w:bookmarkEnd w:id="1942"/>
    <w:bookmarkStart w:name="z2004" w:id="1943"/>
    <w:p>
      <w:pPr>
        <w:spacing w:after="0"/>
        <w:ind w:left="0"/>
        <w:jc w:val="both"/>
      </w:pPr>
      <w:r>
        <w:rPr>
          <w:rFonts w:ascii="Times New Roman"/>
          <w:b w:val="false"/>
          <w:i w:val="false"/>
          <w:color w:val="000000"/>
          <w:sz w:val="28"/>
        </w:rPr>
        <w:t>
      4) симптомы, жалобы, лабораторные изменения, характерные для новых или ранее идентифицированных клинически значимых видов токсичности, таких как гепатотоксичность, кардиотоксичность, включая удлинение интервала QT и результаты специальных исследований QT/QTc (корригированный интервал QT), миелотоксичность, нефротоксичность, легочная токсичность, нейротоксичность, иммуногенность и реакции гиперчувствительности;</w:t>
      </w:r>
    </w:p>
    <w:bookmarkEnd w:id="1943"/>
    <w:bookmarkStart w:name="z2005" w:id="1944"/>
    <w:p>
      <w:pPr>
        <w:spacing w:after="0"/>
        <w:ind w:left="0"/>
        <w:jc w:val="both"/>
      </w:pPr>
      <w:r>
        <w:rPr>
          <w:rFonts w:ascii="Times New Roman"/>
          <w:b w:val="false"/>
          <w:i w:val="false"/>
          <w:color w:val="000000"/>
          <w:sz w:val="28"/>
        </w:rPr>
        <w:t>
      5) летальные исходы нежелательных явлений;</w:t>
      </w:r>
    </w:p>
    <w:bookmarkEnd w:id="1944"/>
    <w:bookmarkStart w:name="z2006" w:id="1945"/>
    <w:p>
      <w:pPr>
        <w:spacing w:after="0"/>
        <w:ind w:left="0"/>
        <w:jc w:val="both"/>
      </w:pPr>
      <w:r>
        <w:rPr>
          <w:rFonts w:ascii="Times New Roman"/>
          <w:b w:val="false"/>
          <w:i w:val="false"/>
          <w:color w:val="000000"/>
          <w:sz w:val="28"/>
        </w:rPr>
        <w:t>
      6) остановка клинического исследования по причине развития нежелательных явлений, включая изменения лабораторных параметров или результатов обследований;</w:t>
      </w:r>
    </w:p>
    <w:bookmarkEnd w:id="1945"/>
    <w:bookmarkStart w:name="z2007" w:id="1946"/>
    <w:p>
      <w:pPr>
        <w:spacing w:after="0"/>
        <w:ind w:left="0"/>
        <w:jc w:val="both"/>
      </w:pPr>
      <w:r>
        <w:rPr>
          <w:rFonts w:ascii="Times New Roman"/>
          <w:b w:val="false"/>
          <w:i w:val="false"/>
          <w:color w:val="000000"/>
          <w:sz w:val="28"/>
        </w:rPr>
        <w:t>
      7) взаимодействия с лекарственными препаратами и иные взаимодействия;</w:t>
      </w:r>
    </w:p>
    <w:bookmarkEnd w:id="1946"/>
    <w:bookmarkStart w:name="z2008" w:id="1947"/>
    <w:p>
      <w:pPr>
        <w:spacing w:after="0"/>
        <w:ind w:left="0"/>
        <w:jc w:val="both"/>
      </w:pPr>
      <w:r>
        <w:rPr>
          <w:rFonts w:ascii="Times New Roman"/>
          <w:b w:val="false"/>
          <w:i w:val="false"/>
          <w:color w:val="000000"/>
          <w:sz w:val="28"/>
        </w:rPr>
        <w:t>
      8) важные данные по безопасности, полученные в доклинических исследованиях;</w:t>
      </w:r>
    </w:p>
    <w:bookmarkEnd w:id="1947"/>
    <w:bookmarkStart w:name="z2009" w:id="1948"/>
    <w:p>
      <w:pPr>
        <w:spacing w:after="0"/>
        <w:ind w:left="0"/>
        <w:jc w:val="both"/>
      </w:pPr>
      <w:r>
        <w:rPr>
          <w:rFonts w:ascii="Times New Roman"/>
          <w:b w:val="false"/>
          <w:i w:val="false"/>
          <w:color w:val="000000"/>
          <w:sz w:val="28"/>
        </w:rPr>
        <w:t>
      9) аспекты производственного процесса, которые могут оказать влияние на профиль безопасности;</w:t>
      </w:r>
    </w:p>
    <w:bookmarkEnd w:id="1948"/>
    <w:bookmarkStart w:name="z2010" w:id="1949"/>
    <w:p>
      <w:pPr>
        <w:spacing w:after="0"/>
        <w:ind w:left="0"/>
        <w:jc w:val="both"/>
      </w:pPr>
      <w:r>
        <w:rPr>
          <w:rFonts w:ascii="Times New Roman"/>
          <w:b w:val="false"/>
          <w:i w:val="false"/>
          <w:color w:val="000000"/>
          <w:sz w:val="28"/>
        </w:rPr>
        <w:t>
      10) недостаточная терапевтическая эффективность, если она представляет дополнительный риск для субъектов клинического исследования;</w:t>
      </w:r>
    </w:p>
    <w:bookmarkEnd w:id="1949"/>
    <w:bookmarkStart w:name="z2011" w:id="1950"/>
    <w:p>
      <w:pPr>
        <w:spacing w:after="0"/>
        <w:ind w:left="0"/>
        <w:jc w:val="both"/>
      </w:pPr>
      <w:r>
        <w:rPr>
          <w:rFonts w:ascii="Times New Roman"/>
          <w:b w:val="false"/>
          <w:i w:val="false"/>
          <w:color w:val="000000"/>
          <w:sz w:val="28"/>
        </w:rPr>
        <w:t>
      11) наличие дополнительного риска для особых популяционных групп (пожилые пациенты, дети, пациенты с нарушением функции печени или почек) либо иные группы риска (субъекты с медленным или быстрым метаболизмом);</w:t>
      </w:r>
    </w:p>
    <w:bookmarkEnd w:id="1950"/>
    <w:bookmarkStart w:name="z2012" w:id="1951"/>
    <w:p>
      <w:pPr>
        <w:spacing w:after="0"/>
        <w:ind w:left="0"/>
        <w:jc w:val="both"/>
      </w:pPr>
      <w:r>
        <w:rPr>
          <w:rFonts w:ascii="Times New Roman"/>
          <w:b w:val="false"/>
          <w:i w:val="false"/>
          <w:color w:val="000000"/>
          <w:sz w:val="28"/>
        </w:rPr>
        <w:t>
      12) воздействие в период беременности и лактации и его исходы;</w:t>
      </w:r>
    </w:p>
    <w:bookmarkEnd w:id="1951"/>
    <w:bookmarkStart w:name="z2013" w:id="1952"/>
    <w:p>
      <w:pPr>
        <w:spacing w:after="0"/>
        <w:ind w:left="0"/>
        <w:jc w:val="both"/>
      </w:pPr>
      <w:r>
        <w:rPr>
          <w:rFonts w:ascii="Times New Roman"/>
          <w:b w:val="false"/>
          <w:i w:val="false"/>
          <w:color w:val="000000"/>
          <w:sz w:val="28"/>
        </w:rPr>
        <w:t>
      13) аспекты безопасности при длительном применении;</w:t>
      </w:r>
    </w:p>
    <w:bookmarkEnd w:id="1952"/>
    <w:bookmarkStart w:name="z2014" w:id="1953"/>
    <w:p>
      <w:pPr>
        <w:spacing w:after="0"/>
        <w:ind w:left="0"/>
        <w:jc w:val="both"/>
      </w:pPr>
      <w:r>
        <w:rPr>
          <w:rFonts w:ascii="Times New Roman"/>
          <w:b w:val="false"/>
          <w:i w:val="false"/>
          <w:color w:val="000000"/>
          <w:sz w:val="28"/>
        </w:rPr>
        <w:t>
      14) данные по клинически значимым ошибкам применения лекарственного препарата;</w:t>
      </w:r>
    </w:p>
    <w:bookmarkEnd w:id="1953"/>
    <w:bookmarkStart w:name="z2015" w:id="1954"/>
    <w:p>
      <w:pPr>
        <w:spacing w:after="0"/>
        <w:ind w:left="0"/>
        <w:jc w:val="both"/>
      </w:pPr>
      <w:r>
        <w:rPr>
          <w:rFonts w:ascii="Times New Roman"/>
          <w:b w:val="false"/>
          <w:i w:val="false"/>
          <w:color w:val="000000"/>
          <w:sz w:val="28"/>
        </w:rPr>
        <w:t>
      15) данные по отсутствию приверженности пациентов лечению;</w:t>
      </w:r>
    </w:p>
    <w:bookmarkEnd w:id="1954"/>
    <w:bookmarkStart w:name="z2016" w:id="1955"/>
    <w:p>
      <w:pPr>
        <w:spacing w:after="0"/>
        <w:ind w:left="0"/>
        <w:jc w:val="both"/>
      </w:pPr>
      <w:r>
        <w:rPr>
          <w:rFonts w:ascii="Times New Roman"/>
          <w:b w:val="false"/>
          <w:i w:val="false"/>
          <w:color w:val="000000"/>
          <w:sz w:val="28"/>
        </w:rPr>
        <w:t>
      16) случаи передозировки и ее коррекции;</w:t>
      </w:r>
    </w:p>
    <w:bookmarkEnd w:id="1955"/>
    <w:bookmarkStart w:name="z2017" w:id="1956"/>
    <w:p>
      <w:pPr>
        <w:spacing w:after="0"/>
        <w:ind w:left="0"/>
        <w:jc w:val="both"/>
      </w:pPr>
      <w:r>
        <w:rPr>
          <w:rFonts w:ascii="Times New Roman"/>
          <w:b w:val="false"/>
          <w:i w:val="false"/>
          <w:color w:val="000000"/>
          <w:sz w:val="28"/>
        </w:rPr>
        <w:t>
      17) случаи неправильного употребления и злоупотребления;</w:t>
      </w:r>
    </w:p>
    <w:bookmarkEnd w:id="1956"/>
    <w:bookmarkStart w:name="z2018" w:id="1957"/>
    <w:p>
      <w:pPr>
        <w:spacing w:after="0"/>
        <w:ind w:left="0"/>
        <w:jc w:val="both"/>
      </w:pPr>
      <w:r>
        <w:rPr>
          <w:rFonts w:ascii="Times New Roman"/>
          <w:b w:val="false"/>
          <w:i w:val="false"/>
          <w:color w:val="000000"/>
          <w:sz w:val="28"/>
        </w:rPr>
        <w:t>
      18) аспекты безопасности, связанные с процедурами, предусмотренными протоколом клинического исследования (бронхоскопия, биопсия, установка центрального венозного катетера) либо с проведением или дизайном клинического исследования (недостаточный мониторинг субъектов исследования, слишком длительный период без активной терапии);</w:t>
      </w:r>
    </w:p>
    <w:bookmarkEnd w:id="1957"/>
    <w:bookmarkStart w:name="z2019" w:id="1958"/>
    <w:p>
      <w:pPr>
        <w:spacing w:after="0"/>
        <w:ind w:left="0"/>
        <w:jc w:val="both"/>
      </w:pPr>
      <w:r>
        <w:rPr>
          <w:rFonts w:ascii="Times New Roman"/>
          <w:b w:val="false"/>
          <w:i w:val="false"/>
          <w:color w:val="000000"/>
          <w:sz w:val="28"/>
        </w:rPr>
        <w:t>
      19) потенциальный риск значимых новых данных по безопасности, выявленных для другого соединения аналогичного класса.</w:t>
      </w:r>
    </w:p>
    <w:bookmarkEnd w:id="1958"/>
    <w:bookmarkStart w:name="z2020" w:id="1959"/>
    <w:p>
      <w:pPr>
        <w:spacing w:after="0"/>
        <w:ind w:left="0"/>
        <w:jc w:val="both"/>
      </w:pPr>
      <w:r>
        <w:rPr>
          <w:rFonts w:ascii="Times New Roman"/>
          <w:b w:val="false"/>
          <w:i w:val="false"/>
          <w:color w:val="000000"/>
          <w:sz w:val="28"/>
        </w:rPr>
        <w:t>
      41. В подразделе оценка соотношения польза-риск представляется краткое заключение по оценке соотношения совокупного риска, установленного по результатам анализа обобщенных -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раздел не предназначен для детальной оценки соотношения польза-риск исследуемого препарата.</w:t>
      </w:r>
    </w:p>
    <w:bookmarkEnd w:id="1959"/>
    <w:bookmarkStart w:name="z2021" w:id="1960"/>
    <w:p>
      <w:pPr>
        <w:spacing w:after="0"/>
        <w:ind w:left="0"/>
        <w:jc w:val="both"/>
      </w:pPr>
      <w:r>
        <w:rPr>
          <w:rFonts w:ascii="Times New Roman"/>
          <w:b w:val="false"/>
          <w:i w:val="false"/>
          <w:color w:val="000000"/>
          <w:sz w:val="28"/>
        </w:rPr>
        <w:t>
      42. В разделе обобщенная информация о важных рисках представляется краткая обобщенная информация о важных рисках в форме перечня важных идентифицированных и потенциальных рисков. К числу важных рисков относятся те риски, которые могут привести к дополнительному внесению мер предосторожности, особых указаний или противопоказаний в инструкцию по медицинскому применению. Данные риски могут включать характерные для определенной молекулярной структуры токсические эффекты или проблемы по безопасности, выявленные по результатам накопления данных доклинических и клинических исследований. Каждый из рисков подвергается ежегодной переоценке с анализом всех имеющихся на текущий момент объединенных данных и знаний, при этом особое внимание следует уделить новым данным по безопасности, полученным за отчетный период. Степень детализации описания зависит от стадии разработки лекарственного препарата: на ранних стадиях разработки в обобщенную информацию по важным рискам включается описание индивидуальных случаев, на более поздних этапах, по мере накопления знаний, информация по рискам носит менее детализированный характер.</w:t>
      </w:r>
    </w:p>
    <w:bookmarkEnd w:id="1960"/>
    <w:bookmarkStart w:name="z2022" w:id="1961"/>
    <w:p>
      <w:pPr>
        <w:spacing w:after="0"/>
        <w:ind w:left="0"/>
        <w:jc w:val="both"/>
      </w:pPr>
      <w:r>
        <w:rPr>
          <w:rFonts w:ascii="Times New Roman"/>
          <w:b w:val="false"/>
          <w:i w:val="false"/>
          <w:color w:val="000000"/>
          <w:sz w:val="28"/>
        </w:rPr>
        <w:t>
      Риски, которые были полностью описаны или отвергнуты, остаются в обзоре в виде краткого описания, находки из токсикологических исследований или из ранних клинических исследований, которые не были подтверждены более поздними клиническими данными.</w:t>
      </w:r>
    </w:p>
    <w:bookmarkEnd w:id="1961"/>
    <w:bookmarkStart w:name="z2023" w:id="1962"/>
    <w:p>
      <w:pPr>
        <w:spacing w:after="0"/>
        <w:ind w:left="0"/>
        <w:jc w:val="both"/>
      </w:pPr>
      <w:r>
        <w:rPr>
          <w:rFonts w:ascii="Times New Roman"/>
          <w:b w:val="false"/>
          <w:i w:val="false"/>
          <w:color w:val="000000"/>
          <w:sz w:val="28"/>
        </w:rPr>
        <w:t>
      Информация по данному разделу представлена в форме описания или в форме таблиц.</w:t>
      </w:r>
    </w:p>
    <w:bookmarkEnd w:id="1962"/>
    <w:bookmarkStart w:name="z2024" w:id="1963"/>
    <w:p>
      <w:pPr>
        <w:spacing w:after="0"/>
        <w:ind w:left="0"/>
        <w:jc w:val="both"/>
      </w:pPr>
      <w:r>
        <w:rPr>
          <w:rFonts w:ascii="Times New Roman"/>
          <w:b w:val="false"/>
          <w:i w:val="false"/>
          <w:color w:val="000000"/>
          <w:sz w:val="28"/>
        </w:rPr>
        <w:t>
      43. Заключение содержит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 сделанную в предшествующем отчете по безопасности. Заключение включает указание действий, которые были предприняты или планируются с целью надлежащего отражения выявленных новых аспектов профиля безопасности в программе клинической разработки исследуемого препарата.</w:t>
      </w:r>
    </w:p>
    <w:bookmarkEnd w:id="1963"/>
    <w:bookmarkStart w:name="z2025" w:id="1964"/>
    <w:p>
      <w:pPr>
        <w:spacing w:after="0"/>
        <w:ind w:left="0"/>
        <w:jc w:val="both"/>
      </w:pPr>
      <w:r>
        <w:rPr>
          <w:rFonts w:ascii="Times New Roman"/>
          <w:b w:val="false"/>
          <w:i w:val="false"/>
          <w:color w:val="000000"/>
          <w:sz w:val="28"/>
        </w:rPr>
        <w:t>
      44. РОБ содержит следующие приложения:</w:t>
      </w:r>
    </w:p>
    <w:bookmarkEnd w:id="1964"/>
    <w:bookmarkStart w:name="z2026" w:id="1965"/>
    <w:p>
      <w:pPr>
        <w:spacing w:after="0"/>
        <w:ind w:left="0"/>
        <w:jc w:val="both"/>
      </w:pPr>
      <w:r>
        <w:rPr>
          <w:rFonts w:ascii="Times New Roman"/>
          <w:b w:val="false"/>
          <w:i w:val="false"/>
          <w:color w:val="000000"/>
          <w:sz w:val="28"/>
        </w:rPr>
        <w:t>
      1) брошюра исследователя;</w:t>
      </w:r>
    </w:p>
    <w:bookmarkEnd w:id="1965"/>
    <w:bookmarkStart w:name="z2027" w:id="1966"/>
    <w:p>
      <w:pPr>
        <w:spacing w:after="0"/>
        <w:ind w:left="0"/>
        <w:jc w:val="both"/>
      </w:pPr>
      <w:r>
        <w:rPr>
          <w:rFonts w:ascii="Times New Roman"/>
          <w:b w:val="false"/>
          <w:i w:val="false"/>
          <w:color w:val="000000"/>
          <w:sz w:val="28"/>
        </w:rPr>
        <w:t>
      2) кумулятивная таблица существенных запросов со стороны уполномоченного органа;</w:t>
      </w:r>
    </w:p>
    <w:bookmarkEnd w:id="1966"/>
    <w:bookmarkStart w:name="z2028" w:id="1967"/>
    <w:p>
      <w:pPr>
        <w:spacing w:after="0"/>
        <w:ind w:left="0"/>
        <w:jc w:val="both"/>
      </w:pPr>
      <w:r>
        <w:rPr>
          <w:rFonts w:ascii="Times New Roman"/>
          <w:b w:val="false"/>
          <w:i w:val="false"/>
          <w:color w:val="000000"/>
          <w:sz w:val="28"/>
        </w:rPr>
        <w:t>
      3) статус выполнения продолжающихся и завершенных клинических исследований;</w:t>
      </w:r>
    </w:p>
    <w:bookmarkEnd w:id="1967"/>
    <w:bookmarkStart w:name="z2029" w:id="1968"/>
    <w:p>
      <w:pPr>
        <w:spacing w:after="0"/>
        <w:ind w:left="0"/>
        <w:jc w:val="both"/>
      </w:pPr>
      <w:r>
        <w:rPr>
          <w:rFonts w:ascii="Times New Roman"/>
          <w:b w:val="false"/>
          <w:i w:val="false"/>
          <w:color w:val="000000"/>
          <w:sz w:val="28"/>
        </w:rPr>
        <w:t>
      4) кумулятивные таблицы по демографическим данным;</w:t>
      </w:r>
    </w:p>
    <w:bookmarkEnd w:id="1968"/>
    <w:bookmarkStart w:name="z2030" w:id="1969"/>
    <w:p>
      <w:pPr>
        <w:spacing w:after="0"/>
        <w:ind w:left="0"/>
        <w:jc w:val="both"/>
      </w:pPr>
      <w:r>
        <w:rPr>
          <w:rFonts w:ascii="Times New Roman"/>
          <w:b w:val="false"/>
          <w:i w:val="false"/>
          <w:color w:val="000000"/>
          <w:sz w:val="28"/>
        </w:rPr>
        <w:t>
      5) структурированные списки по серьезным нежелательным реакциям, выявленным за отчетный период;</w:t>
      </w:r>
    </w:p>
    <w:bookmarkEnd w:id="1969"/>
    <w:bookmarkStart w:name="z2031" w:id="1970"/>
    <w:p>
      <w:pPr>
        <w:spacing w:after="0"/>
        <w:ind w:left="0"/>
        <w:jc w:val="both"/>
      </w:pPr>
      <w:r>
        <w:rPr>
          <w:rFonts w:ascii="Times New Roman"/>
          <w:b w:val="false"/>
          <w:i w:val="false"/>
          <w:color w:val="000000"/>
          <w:sz w:val="28"/>
        </w:rPr>
        <w:t>
      6) кумулятивные табличные данные о выявленных серьезных нежелательных явлениях;</w:t>
      </w:r>
    </w:p>
    <w:bookmarkEnd w:id="1970"/>
    <w:bookmarkStart w:name="z2032" w:id="1971"/>
    <w:p>
      <w:pPr>
        <w:spacing w:after="0"/>
        <w:ind w:left="0"/>
        <w:jc w:val="both"/>
      </w:pPr>
      <w:r>
        <w:rPr>
          <w:rFonts w:ascii="Times New Roman"/>
          <w:b w:val="false"/>
          <w:i w:val="false"/>
          <w:color w:val="000000"/>
          <w:sz w:val="28"/>
        </w:rPr>
        <w:t>
      7) научные абстракты (если применимо).</w:t>
      </w:r>
    </w:p>
    <w:bookmarkEnd w:id="1971"/>
    <w:bookmarkStart w:name="z2033" w:id="1972"/>
    <w:p>
      <w:pPr>
        <w:spacing w:after="0"/>
        <w:ind w:left="0"/>
        <w:jc w:val="both"/>
      </w:pPr>
      <w:r>
        <w:rPr>
          <w:rFonts w:ascii="Times New Roman"/>
          <w:b w:val="false"/>
          <w:i w:val="false"/>
          <w:color w:val="000000"/>
          <w:sz w:val="28"/>
        </w:rPr>
        <w:t>
      РОБ содержит следующие приложения:</w:t>
      </w:r>
    </w:p>
    <w:bookmarkEnd w:id="1972"/>
    <w:bookmarkStart w:name="z2034" w:id="1973"/>
    <w:p>
      <w:pPr>
        <w:spacing w:after="0"/>
        <w:ind w:left="0"/>
        <w:jc w:val="both"/>
      </w:pPr>
      <w:r>
        <w:rPr>
          <w:rFonts w:ascii="Times New Roman"/>
          <w:b w:val="false"/>
          <w:i w:val="false"/>
          <w:color w:val="000000"/>
          <w:sz w:val="28"/>
        </w:rPr>
        <w:t>
      1) кумулятивные табличные данные по всем серьезным нежелательным реакциям;</w:t>
      </w:r>
    </w:p>
    <w:bookmarkEnd w:id="1973"/>
    <w:bookmarkStart w:name="z2035" w:id="1974"/>
    <w:p>
      <w:pPr>
        <w:spacing w:after="0"/>
        <w:ind w:left="0"/>
        <w:jc w:val="both"/>
      </w:pPr>
      <w:r>
        <w:rPr>
          <w:rFonts w:ascii="Times New Roman"/>
          <w:b w:val="false"/>
          <w:i w:val="false"/>
          <w:color w:val="000000"/>
          <w:sz w:val="28"/>
        </w:rPr>
        <w:t>
      2) список субъектов клинических исследований, которые умерли в течение отчетного периода;</w:t>
      </w:r>
    </w:p>
    <w:bookmarkEnd w:id="1974"/>
    <w:bookmarkStart w:name="z2036" w:id="1975"/>
    <w:p>
      <w:pPr>
        <w:spacing w:after="0"/>
        <w:ind w:left="0"/>
        <w:jc w:val="both"/>
      </w:pPr>
      <w:r>
        <w:rPr>
          <w:rFonts w:ascii="Times New Roman"/>
          <w:b w:val="false"/>
          <w:i w:val="false"/>
          <w:color w:val="000000"/>
          <w:sz w:val="28"/>
        </w:rPr>
        <w:t>
      3) список субъектов клинических исследований, которые были исключены из клинических исследований в течение отчетного периода;</w:t>
      </w:r>
    </w:p>
    <w:bookmarkEnd w:id="1975"/>
    <w:bookmarkStart w:name="z2037" w:id="1976"/>
    <w:p>
      <w:pPr>
        <w:spacing w:after="0"/>
        <w:ind w:left="0"/>
        <w:jc w:val="both"/>
      </w:pPr>
      <w:r>
        <w:rPr>
          <w:rFonts w:ascii="Times New Roman"/>
          <w:b w:val="false"/>
          <w:i w:val="false"/>
          <w:color w:val="000000"/>
          <w:sz w:val="28"/>
        </w:rPr>
        <w:t>
      4) существенные изменения протоколов клинических исследований I фазы;</w:t>
      </w:r>
    </w:p>
    <w:bookmarkEnd w:id="1976"/>
    <w:bookmarkStart w:name="z2038" w:id="1977"/>
    <w:p>
      <w:pPr>
        <w:spacing w:after="0"/>
        <w:ind w:left="0"/>
        <w:jc w:val="both"/>
      </w:pPr>
      <w:r>
        <w:rPr>
          <w:rFonts w:ascii="Times New Roman"/>
          <w:b w:val="false"/>
          <w:i w:val="false"/>
          <w:color w:val="000000"/>
          <w:sz w:val="28"/>
        </w:rPr>
        <w:t>
      5) существенные изменения процесса производства;</w:t>
      </w:r>
    </w:p>
    <w:bookmarkEnd w:id="1977"/>
    <w:bookmarkStart w:name="z2039" w:id="1978"/>
    <w:p>
      <w:pPr>
        <w:spacing w:after="0"/>
        <w:ind w:left="0"/>
        <w:jc w:val="both"/>
      </w:pPr>
      <w:r>
        <w:rPr>
          <w:rFonts w:ascii="Times New Roman"/>
          <w:b w:val="false"/>
          <w:i w:val="false"/>
          <w:color w:val="000000"/>
          <w:sz w:val="28"/>
        </w:rPr>
        <w:t>
      6) описание общего плана исследований на предстоящий год.</w:t>
      </w:r>
    </w:p>
    <w:bookmarkEnd w:id="1978"/>
    <w:bookmarkStart w:name="z2040" w:id="1979"/>
    <w:p>
      <w:pPr>
        <w:spacing w:after="0"/>
        <w:ind w:left="0"/>
        <w:jc w:val="both"/>
      </w:pPr>
      <w:r>
        <w:rPr>
          <w:rFonts w:ascii="Times New Roman"/>
          <w:b w:val="false"/>
          <w:i w:val="false"/>
          <w:color w:val="000000"/>
          <w:sz w:val="28"/>
        </w:rPr>
        <w:t>
      Примеры таблиц и заголовков таблиц по перечням данных по клиническим исследованиям</w:t>
      </w:r>
    </w:p>
    <w:bookmarkEnd w:id="1979"/>
    <w:bookmarkStart w:name="z2041" w:id="1980"/>
    <w:p>
      <w:pPr>
        <w:spacing w:after="0"/>
        <w:ind w:left="0"/>
        <w:jc w:val="both"/>
      </w:pPr>
      <w:r>
        <w:rPr>
          <w:rFonts w:ascii="Times New Roman"/>
          <w:b w:val="false"/>
          <w:i w:val="false"/>
          <w:color w:val="000000"/>
          <w:sz w:val="28"/>
        </w:rPr>
        <w:t>
      Таблица 1. Статус продолжающихся и завершенных клинических исследований.</w:t>
      </w:r>
    </w:p>
    <w:bookmarkEnd w:id="1980"/>
    <w:bookmarkStart w:name="z2042" w:id="1981"/>
    <w:p>
      <w:pPr>
        <w:spacing w:after="0"/>
        <w:ind w:left="0"/>
        <w:jc w:val="both"/>
      </w:pPr>
      <w:r>
        <w:rPr>
          <w:rFonts w:ascii="Times New Roman"/>
          <w:b w:val="false"/>
          <w:i w:val="false"/>
          <w:color w:val="000000"/>
          <w:sz w:val="28"/>
        </w:rPr>
        <w:t>
      Обзор продолжающихся клинических исследований [Исследуемый препарат]</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клинического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дозирования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популяция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включение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субъектов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3" w:id="1982"/>
    <w:p>
      <w:pPr>
        <w:spacing w:after="0"/>
        <w:ind w:left="0"/>
        <w:jc w:val="both"/>
      </w:pPr>
      <w:r>
        <w:rPr>
          <w:rFonts w:ascii="Times New Roman"/>
          <w:b w:val="false"/>
          <w:i w:val="false"/>
          <w:color w:val="000000"/>
          <w:sz w:val="28"/>
        </w:rPr>
        <w:t>
      † ПВПП - первый визит первого пациента</w:t>
      </w:r>
    </w:p>
    <w:bookmarkEnd w:id="1982"/>
    <w:bookmarkStart w:name="z2044" w:id="1983"/>
    <w:p>
      <w:pPr>
        <w:spacing w:after="0"/>
        <w:ind w:left="0"/>
        <w:jc w:val="both"/>
      </w:pPr>
      <w:r>
        <w:rPr>
          <w:rFonts w:ascii="Times New Roman"/>
          <w:b w:val="false"/>
          <w:i w:val="false"/>
          <w:color w:val="000000"/>
          <w:sz w:val="28"/>
        </w:rPr>
        <w:t xml:space="preserve">
       ‡ На основании общего количества субъектов исследования по состоянию на [дату] и применяемой схемы рандомизации </w:t>
      </w:r>
    </w:p>
    <w:bookmarkEnd w:id="1983"/>
    <w:bookmarkStart w:name="z2045" w:id="1984"/>
    <w:p>
      <w:pPr>
        <w:spacing w:after="0"/>
        <w:ind w:left="0"/>
        <w:jc w:val="both"/>
      </w:pPr>
      <w:r>
        <w:rPr>
          <w:rFonts w:ascii="Times New Roman"/>
          <w:b w:val="false"/>
          <w:i w:val="false"/>
          <w:color w:val="000000"/>
          <w:sz w:val="28"/>
        </w:rPr>
        <w:t>
      Обзор завершенных за отчетный период исследований [Исследуемый препарат]</w:t>
      </w:r>
    </w:p>
    <w:bookmarkEnd w:id="1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клинического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дозирования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популяция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субъектов (пациентов) по группам лечения (М/Ж)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6" w:id="1985"/>
    <w:p>
      <w:pPr>
        <w:spacing w:after="0"/>
        <w:ind w:left="0"/>
        <w:jc w:val="both"/>
      </w:pPr>
      <w:r>
        <w:rPr>
          <w:rFonts w:ascii="Times New Roman"/>
          <w:b w:val="false"/>
          <w:i w:val="false"/>
          <w:color w:val="000000"/>
          <w:sz w:val="28"/>
        </w:rPr>
        <w:t>
      Таблица 2. Оценка общего количества субъектов, подвергшихся воздействию исследуемого препарата - оценка кумулятивного воздействия.</w:t>
      </w:r>
    </w:p>
    <w:bookmarkEnd w:id="1985"/>
    <w:bookmarkStart w:name="z2047" w:id="1986"/>
    <w:p>
      <w:pPr>
        <w:spacing w:after="0"/>
        <w:ind w:left="0"/>
        <w:jc w:val="both"/>
      </w:pPr>
      <w:r>
        <w:rPr>
          <w:rFonts w:ascii="Times New Roman"/>
          <w:b w:val="false"/>
          <w:i w:val="false"/>
          <w:color w:val="000000"/>
          <w:sz w:val="28"/>
        </w:rPr>
        <w:t>
      Оценка общего количества субъектов, подвергшихся воздействию исследуемого препарата, на основании фактических данных из завершенных клинических исследований и оценке по методу рандомизации из продолжающихся клинических исследований.</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8" w:id="1987"/>
    <w:p>
      <w:pPr>
        <w:spacing w:after="0"/>
        <w:ind w:left="0"/>
        <w:jc w:val="both"/>
      </w:pPr>
      <w:r>
        <w:rPr>
          <w:rFonts w:ascii="Times New Roman"/>
          <w:b w:val="false"/>
          <w:i w:val="false"/>
          <w:color w:val="000000"/>
          <w:sz w:val="28"/>
        </w:rPr>
        <w:t>
      Таблица 3. Оценка общего количества субъектов, подвергшихся воздействию исследуемого препарата, на основании данных завершенных клинических исследований по возрасту и полу*</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9" w:id="1988"/>
    <w:p>
      <w:pPr>
        <w:spacing w:after="0"/>
        <w:ind w:left="0"/>
        <w:jc w:val="both"/>
      </w:pPr>
      <w:r>
        <w:rPr>
          <w:rFonts w:ascii="Times New Roman"/>
          <w:b w:val="false"/>
          <w:i w:val="false"/>
          <w:color w:val="000000"/>
          <w:sz w:val="28"/>
        </w:rPr>
        <w:t>
      * Данные завершенных клинических исследований по состоянию на [дата]</w:t>
      </w:r>
    </w:p>
    <w:bookmarkEnd w:id="1988"/>
    <w:bookmarkStart w:name="z2050" w:id="1989"/>
    <w:p>
      <w:pPr>
        <w:spacing w:after="0"/>
        <w:ind w:left="0"/>
        <w:jc w:val="both"/>
      </w:pPr>
      <w:r>
        <w:rPr>
          <w:rFonts w:ascii="Times New Roman"/>
          <w:b w:val="false"/>
          <w:i w:val="false"/>
          <w:color w:val="000000"/>
          <w:sz w:val="28"/>
        </w:rPr>
        <w:t>
      Таблица 4. Оценка общего количества субъектов, подвергшихся воздействию исследуемого препарата, на основании данных завершенных клинических исследований по расовой принадлежности</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субъектов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1" w:id="1990"/>
    <w:p>
      <w:pPr>
        <w:spacing w:after="0"/>
        <w:ind w:left="0"/>
        <w:jc w:val="both"/>
      </w:pPr>
      <w:r>
        <w:rPr>
          <w:rFonts w:ascii="Times New Roman"/>
          <w:b w:val="false"/>
          <w:i w:val="false"/>
          <w:color w:val="000000"/>
          <w:sz w:val="28"/>
        </w:rPr>
        <w:t>
      * Данные завершенных клинических исследований по состоянию на [дата]</w:t>
      </w:r>
    </w:p>
    <w:bookmarkEnd w:id="1990"/>
    <w:bookmarkStart w:name="z2052" w:id="1991"/>
    <w:p>
      <w:pPr>
        <w:spacing w:after="0"/>
        <w:ind w:left="0"/>
        <w:jc w:val="both"/>
      </w:pPr>
      <w:r>
        <w:rPr>
          <w:rFonts w:ascii="Times New Roman"/>
          <w:b w:val="false"/>
          <w:i w:val="false"/>
          <w:color w:val="000000"/>
          <w:sz w:val="28"/>
        </w:rPr>
        <w:t>
      Таблица 5. Примеры заголовков, обобщенных данных о серьезных нежелательных реакциях - СНР</w:t>
      </w:r>
    </w:p>
    <w:bookmarkEnd w:id="1991"/>
    <w:bookmarkStart w:name="z2053" w:id="1992"/>
    <w:p>
      <w:pPr>
        <w:spacing w:after="0"/>
        <w:ind w:left="0"/>
        <w:jc w:val="both"/>
      </w:pPr>
      <w:r>
        <w:rPr>
          <w:rFonts w:ascii="Times New Roman"/>
          <w:b w:val="false"/>
          <w:i w:val="false"/>
          <w:color w:val="000000"/>
          <w:sz w:val="28"/>
        </w:rPr>
        <w:t>
      Структурированный перечень серьезных нежелательных реакций</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клинического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сообщения о СНР†/ ИН* субъекта исследования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993"/>
          <w:p>
            <w:pPr>
              <w:spacing w:after="20"/>
              <w:ind w:left="20"/>
              <w:jc w:val="both"/>
            </w:pPr>
            <w:r>
              <w:rPr>
                <w:rFonts w:ascii="Times New Roman"/>
                <w:b w:val="false"/>
                <w:i w:val="false"/>
                <w:color w:val="000000"/>
                <w:sz w:val="20"/>
              </w:rPr>
              <w:t>
Страна</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Возраст</w:t>
            </w:r>
          </w:p>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СНР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994"/>
          <w:p>
            <w:pPr>
              <w:spacing w:after="20"/>
              <w:ind w:left="20"/>
              <w:jc w:val="both"/>
            </w:pPr>
            <w:r>
              <w:rPr>
                <w:rFonts w:ascii="Times New Roman"/>
                <w:b w:val="false"/>
                <w:i w:val="false"/>
                <w:color w:val="000000"/>
                <w:sz w:val="20"/>
              </w:rPr>
              <w:t>
Дата начала реакции ‡</w:t>
            </w:r>
          </w:p>
          <w:bookmarkEnd w:id="1994"/>
          <w:p>
            <w:pPr>
              <w:spacing w:after="20"/>
              <w:ind w:left="20"/>
              <w:jc w:val="both"/>
            </w:pPr>
            <w:r>
              <w:rPr>
                <w:rFonts w:ascii="Times New Roman"/>
                <w:b w:val="false"/>
                <w:i w:val="false"/>
                <w:color w:val="000000"/>
                <w:sz w:val="20"/>
              </w:rPr>
              <w:t>
Период от начала приема до начала реакции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Подозреваемый лекарственный/ исследуемый препарат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995"/>
          <w:p>
            <w:pPr>
              <w:spacing w:after="20"/>
              <w:ind w:left="20"/>
              <w:jc w:val="both"/>
            </w:pPr>
            <w:r>
              <w:rPr>
                <w:rFonts w:ascii="Times New Roman"/>
                <w:b w:val="false"/>
                <w:i w:val="false"/>
                <w:color w:val="000000"/>
                <w:sz w:val="20"/>
              </w:rPr>
              <w:t>
Сут. доза</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Способ введения</w:t>
            </w:r>
          </w:p>
          <w:p>
            <w:pPr>
              <w:spacing w:after="20"/>
              <w:ind w:left="20"/>
              <w:jc w:val="both"/>
            </w:pPr>
            <w:r>
              <w:rPr>
                <w:rFonts w:ascii="Times New Roman"/>
                <w:b w:val="false"/>
                <w:i w:val="false"/>
                <w:color w:val="000000"/>
                <w:sz w:val="20"/>
              </w:rPr>
              <w:t>
Лекарственная форма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996"/>
          <w:p>
            <w:pPr>
              <w:spacing w:after="20"/>
              <w:ind w:left="20"/>
              <w:jc w:val="both"/>
            </w:pPr>
            <w:r>
              <w:rPr>
                <w:rFonts w:ascii="Times New Roman"/>
                <w:b w:val="false"/>
                <w:i w:val="false"/>
                <w:color w:val="000000"/>
                <w:sz w:val="20"/>
              </w:rPr>
              <w:t>
Даты начала и окончания лечения</w:t>
            </w:r>
          </w:p>
          <w:bookmarkEnd w:id="1996"/>
          <w:p>
            <w:pPr>
              <w:spacing w:after="20"/>
              <w:ind w:left="20"/>
              <w:jc w:val="both"/>
            </w:pPr>
            <w:r>
              <w:rPr>
                <w:rFonts w:ascii="Times New Roman"/>
                <w:b w:val="false"/>
                <w:i w:val="false"/>
                <w:color w:val="000000"/>
                <w:sz w:val="20"/>
              </w:rPr>
              <w:t>
Продолжительность лечения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0" w:id="1997"/>
    <w:p>
      <w:pPr>
        <w:spacing w:after="0"/>
        <w:ind w:left="0"/>
        <w:jc w:val="both"/>
      </w:pPr>
      <w:r>
        <w:rPr>
          <w:rFonts w:ascii="Times New Roman"/>
          <w:b w:val="false"/>
          <w:i w:val="false"/>
          <w:color w:val="000000"/>
          <w:sz w:val="28"/>
        </w:rPr>
        <w:t>
      *ИН - идентификационный номер</w:t>
      </w:r>
    </w:p>
    <w:bookmarkEnd w:id="1997"/>
    <w:bookmarkStart w:name="z2061" w:id="1998"/>
    <w:p>
      <w:pPr>
        <w:spacing w:after="0"/>
        <w:ind w:left="0"/>
        <w:jc w:val="both"/>
      </w:pPr>
      <w:r>
        <w:rPr>
          <w:rFonts w:ascii="Times New Roman"/>
          <w:b w:val="false"/>
          <w:i w:val="false"/>
          <w:color w:val="000000"/>
          <w:sz w:val="28"/>
        </w:rPr>
        <w:t>
      † Исследование/центр/пациент</w:t>
      </w:r>
    </w:p>
    <w:bookmarkEnd w:id="1998"/>
    <w:bookmarkStart w:name="z2062" w:id="1999"/>
    <w:p>
      <w:pPr>
        <w:spacing w:after="0"/>
        <w:ind w:left="0"/>
        <w:jc w:val="both"/>
      </w:pPr>
      <w:r>
        <w:rPr>
          <w:rFonts w:ascii="Times New Roman"/>
          <w:b w:val="false"/>
          <w:i w:val="false"/>
          <w:color w:val="000000"/>
          <w:sz w:val="28"/>
        </w:rPr>
        <w:t>
      ‡ Только для первичных сообщений о СНР</w:t>
      </w:r>
    </w:p>
    <w:bookmarkEnd w:id="1999"/>
    <w:bookmarkStart w:name="z2063" w:id="2000"/>
    <w:p>
      <w:pPr>
        <w:spacing w:after="0"/>
        <w:ind w:left="0"/>
        <w:jc w:val="both"/>
      </w:pPr>
      <w:r>
        <w:rPr>
          <w:rFonts w:ascii="Times New Roman"/>
          <w:b w:val="false"/>
          <w:i w:val="false"/>
          <w:color w:val="000000"/>
          <w:sz w:val="28"/>
        </w:rPr>
        <w:t>
      Таблица 6. Примеры обобщенных - кумулятивных табличных данных по серьезным нежелательным явлениям</w:t>
      </w:r>
    </w:p>
    <w:bookmarkEnd w:id="2000"/>
    <w:bookmarkStart w:name="z2064" w:id="2001"/>
    <w:p>
      <w:pPr>
        <w:spacing w:after="0"/>
        <w:ind w:left="0"/>
        <w:jc w:val="both"/>
      </w:pPr>
      <w:r>
        <w:rPr>
          <w:rFonts w:ascii="Times New Roman"/>
          <w:b w:val="false"/>
          <w:i w:val="false"/>
          <w:color w:val="000000"/>
          <w:sz w:val="28"/>
        </w:rPr>
        <w:t>
      Обобщенная таблица по серьезным нежелательным явлениям - СНЯ</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Органо-функциональный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 состоянию до 31 декабря 2009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Предпочтительный 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Ослепленный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активности аланинаминотрансферазы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активности аспартатаминотрансфераз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со стороны нервной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Синкопальное состояние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Стандарту надлежащей</w:t>
            </w:r>
            <w:r>
              <w:br/>
            </w:r>
            <w:r>
              <w:rPr>
                <w:rFonts w:ascii="Times New Roman"/>
                <w:b w:val="false"/>
                <w:i w:val="false"/>
                <w:color w:val="000000"/>
                <w:sz w:val="20"/>
              </w:rPr>
              <w:t>клинической практики (GCP) </w:t>
            </w:r>
          </w:p>
        </w:tc>
      </w:tr>
    </w:tbl>
    <w:bookmarkStart w:name="z2066" w:id="2002"/>
    <w:p>
      <w:pPr>
        <w:spacing w:after="0"/>
        <w:ind w:left="0"/>
        <w:jc w:val="left"/>
      </w:pPr>
      <w:r>
        <w:rPr>
          <w:rFonts w:ascii="Times New Roman"/>
          <w:b/>
          <w:i w:val="false"/>
          <w:color w:val="000000"/>
        </w:rPr>
        <w:t xml:space="preserve"> Структура и содержание отчета о клиническом исследовании</w:t>
      </w:r>
    </w:p>
    <w:bookmarkEnd w:id="2002"/>
    <w:bookmarkStart w:name="z2067" w:id="2003"/>
    <w:p>
      <w:pPr>
        <w:spacing w:after="0"/>
        <w:ind w:left="0"/>
        <w:jc w:val="both"/>
      </w:pPr>
      <w:r>
        <w:rPr>
          <w:rFonts w:ascii="Times New Roman"/>
          <w:b w:val="false"/>
          <w:i w:val="false"/>
          <w:color w:val="000000"/>
          <w:sz w:val="28"/>
        </w:rPr>
        <w:t>
      1. Настоящая структура отчета о клиническом исследовании является обобщенной. Она пригодна для описания исследования любого терапевтического, профилактического или диагностического средства, проведенного на пациентах (здоровых добровольцах). В структуре отчета производят интегрированное представление клинического и статистического описания результатов, представления и анализа данных в виде единого отчета, включающего таблицы и рисунки в основном тексте, или в конце текста. Приложения к такому отчету включают: протокол, образцы индивидуальных регистрационных карт, информацию, связанную с исследователями, информацию, связанную с исследуемым препаратом (экспериментальным препаратом), включая препараты сравнения, техническую статистическую документацию, соответствующие публикации, списки данных по пациентам и технические статистические данные, такие как выводы, промежуточные расчеты, анализы и заключения на основе компьютерных данных. Несмотря на то, что приложение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(клинико-фармакологическим исследованиям). В зависимости от специфики и значимости таких исследований составляется менее детализированный отчет.</w:t>
      </w:r>
    </w:p>
    <w:bookmarkEnd w:id="2003"/>
    <w:bookmarkStart w:name="z2068" w:id="2004"/>
    <w:p>
      <w:pPr>
        <w:spacing w:after="0"/>
        <w:ind w:left="0"/>
        <w:jc w:val="both"/>
      </w:pPr>
      <w:r>
        <w:rPr>
          <w:rFonts w:ascii="Times New Roman"/>
          <w:b w:val="false"/>
          <w:i w:val="false"/>
          <w:color w:val="000000"/>
          <w:sz w:val="28"/>
        </w:rPr>
        <w:t>
      2. Настоящее приложение предназначено для оказания помощи спонсорам в составлении отчета, который будет являться полным, лишенным двусмысленности, хорошо сформированным и простым для последующего рассмотрения и оценки. В отчете содержится четкое объяснение того, как были выбраны критические особенности дизайна исследования, и достаточно информации о плане, методе и ходе проведения исследования, чтобы не было никакой двусмысленности в том, как было проведено исследование. В отчете и его приложениях также содержится достаточно индивидуальных данных пациентов, в том числе демографических и исходных данных, и деталей описаний аналитических методов, чтобы допустить возможность повторного воспроизведения уполномоченными органами критических анализов. Кроме того, особенно важно, чтобы все анализы, таблицы и цифры, в тексте или как часть таблицы, имели четкую идентификацию группы пациентов, по которым они были составлены.</w:t>
      </w:r>
    </w:p>
    <w:bookmarkEnd w:id="2004"/>
    <w:bookmarkStart w:name="z2069" w:id="2005"/>
    <w:p>
      <w:pPr>
        <w:spacing w:after="0"/>
        <w:ind w:left="0"/>
        <w:jc w:val="both"/>
      </w:pPr>
      <w:r>
        <w:rPr>
          <w:rFonts w:ascii="Times New Roman"/>
          <w:b w:val="false"/>
          <w:i w:val="false"/>
          <w:color w:val="000000"/>
          <w:sz w:val="28"/>
        </w:rPr>
        <w:t>
      В зависимости от процедуры рассмотрения уполномоченными органами, для неконтролируемых исследований или некоторых других исследований, не предназначенных для оценки эффективности, приемлемы сокращенные отчеты. По контролируемому исследованию безопасности отчет всегда составляется в полном объеме. Сокращенные отчеты используют обобщенные данные, или являются отчетами, из которых удалены отдельные разделы, не предназначенные для установления эффективности, разделы по неэффективным или неудачным тестам. Аналогичное положение применимо для контролируемых исследований, посвященных изучению показаний для применения препарата, явно несвязанных с теми, по которым подается заявка на регистрацию, а также для преждевременно прекращенных исследований. Тем не менее, в этих случаях включается полное описание аспектов безопасности. Если представляется сокращенный отчет, в нем отражается достаточно информации о плане и результатах исследования для того, чтобы экспертная организация определила необходимость полного отчета. Если возникает вопрос относительно того, какие отчеты необходимы, получают предварительную консультацию уполномоченных органов.</w:t>
      </w:r>
    </w:p>
    <w:bookmarkEnd w:id="2005"/>
    <w:bookmarkStart w:name="z2070" w:id="2006"/>
    <w:p>
      <w:pPr>
        <w:spacing w:after="0"/>
        <w:ind w:left="0"/>
        <w:jc w:val="both"/>
      </w:pPr>
      <w:r>
        <w:rPr>
          <w:rFonts w:ascii="Times New Roman"/>
          <w:b w:val="false"/>
          <w:i w:val="false"/>
          <w:color w:val="000000"/>
          <w:sz w:val="28"/>
        </w:rPr>
        <w:t>
      При подробном описании того, как было проведено исследование, допускается повторение его описания в рабочей версии протокола. Однако в ряде случаев допускается представлять методику исследования более кратко в виде отдельного раздела. В каждом разделе, описывающем план и ход проведения исследования, особенно важно указать особенности исследования, которые недостаточно полно описаны в протоколе, и определить, каким образом проводимое исследование отличалось от протокола, и обсудить статистические методы и анализы, используемые для обоснования данных отклонений от запланированного протоколом.</w:t>
      </w:r>
    </w:p>
    <w:bookmarkEnd w:id="2006"/>
    <w:bookmarkStart w:name="z2071" w:id="2007"/>
    <w:p>
      <w:pPr>
        <w:spacing w:after="0"/>
        <w:ind w:left="0"/>
        <w:jc w:val="both"/>
      </w:pPr>
      <w:r>
        <w:rPr>
          <w:rFonts w:ascii="Times New Roman"/>
          <w:b w:val="false"/>
          <w:i w:val="false"/>
          <w:color w:val="000000"/>
          <w:sz w:val="28"/>
        </w:rPr>
        <w:t>
      Полный интегрированный отчет каждого исследования включает максимально подробное изложение отдельных побочных эффектов или аномальных данных лабораторных исследований, но они пересматриваются в рамках общего анализа безопасности всех имеющихся данных при любой подаче досье.</w:t>
      </w:r>
    </w:p>
    <w:bookmarkEnd w:id="2007"/>
    <w:bookmarkStart w:name="z2072" w:id="2008"/>
    <w:p>
      <w:pPr>
        <w:spacing w:after="0"/>
        <w:ind w:left="0"/>
        <w:jc w:val="both"/>
      </w:pPr>
      <w:r>
        <w:rPr>
          <w:rFonts w:ascii="Times New Roman"/>
          <w:b w:val="false"/>
          <w:i w:val="false"/>
          <w:color w:val="000000"/>
          <w:sz w:val="28"/>
        </w:rPr>
        <w:t>
      В отчете содержатся демографические и другие потенциально значимые прогностические характеристики исследуемой популяции, а, в случае если исследование достаточно масштабное, представляются данные по демографическим и другим показателям подгруппы, таким образом, чтобы установить возможные различия в эффективности или безопасности. Однако, чаще всего, реакция подгруппы пациентов рассматривается в рамках укрупненной базы данных, используемой в общем статистическом анализе.</w:t>
      </w:r>
    </w:p>
    <w:bookmarkEnd w:id="2008"/>
    <w:bookmarkStart w:name="z2073" w:id="2009"/>
    <w:p>
      <w:pPr>
        <w:spacing w:after="0"/>
        <w:ind w:left="0"/>
        <w:jc w:val="both"/>
      </w:pPr>
      <w:r>
        <w:rPr>
          <w:rFonts w:ascii="Times New Roman"/>
          <w:b w:val="false"/>
          <w:i w:val="false"/>
          <w:color w:val="000000"/>
          <w:sz w:val="28"/>
        </w:rPr>
        <w:t>
      Под перечнями данных, запрашиваемыми в рамках отчета (обычно в виде приложения), понимают те из них, которые необходимы для подтверждения основных (критических) видов статистического анализа. Перечни данных, которые являются частью отчета, представляются в удобной форме для использования рецензентом, проводящим экспертную оценку отчета. Таким образом, несмотря на то, что желательно включать как можно больше переменных в один список, чтобы ограничить объем информации, это не приводит к снижению ясности (понятности) представляемых данных. Не допускается, чтобы избыток данных сопровождался чрезмерным использованием символов вместо слов или хорошо понятных (общепринятых профессиональных) сокращений, или приводил к представлению изображений в слишком малом для восприятия масштабе. В этом случае предпочтительнее составлять несколько списков данных.</w:t>
      </w:r>
    </w:p>
    <w:bookmarkEnd w:id="2009"/>
    <w:bookmarkStart w:name="z2074" w:id="2010"/>
    <w:p>
      <w:pPr>
        <w:spacing w:after="0"/>
        <w:ind w:left="0"/>
        <w:jc w:val="both"/>
      </w:pPr>
      <w:r>
        <w:rPr>
          <w:rFonts w:ascii="Times New Roman"/>
          <w:b w:val="false"/>
          <w:i w:val="false"/>
          <w:color w:val="000000"/>
          <w:sz w:val="28"/>
        </w:rPr>
        <w:t xml:space="preserve">
      Данные представляются в отчете с различными уровнями детализации: </w:t>
      </w:r>
    </w:p>
    <w:bookmarkEnd w:id="2010"/>
    <w:bookmarkStart w:name="z2075" w:id="2011"/>
    <w:p>
      <w:pPr>
        <w:spacing w:after="0"/>
        <w:ind w:left="0"/>
        <w:jc w:val="both"/>
      </w:pPr>
      <w:r>
        <w:rPr>
          <w:rFonts w:ascii="Times New Roman"/>
          <w:b w:val="false"/>
          <w:i w:val="false"/>
          <w:color w:val="000000"/>
          <w:sz w:val="28"/>
        </w:rPr>
        <w:t xml:space="preserve">
      для иллюстрации важных моментов в текст могут быть помещены числовые данные и таблицы общего характера, отображающие наиболее значимые для данного исследования демографические показатели, показатели эффективности и безопасности; </w:t>
      </w:r>
    </w:p>
    <w:bookmarkEnd w:id="2011"/>
    <w:bookmarkStart w:name="z2076" w:id="2012"/>
    <w:p>
      <w:pPr>
        <w:spacing w:after="0"/>
        <w:ind w:left="0"/>
        <w:jc w:val="both"/>
      </w:pPr>
      <w:r>
        <w:rPr>
          <w:rFonts w:ascii="Times New Roman"/>
          <w:b w:val="false"/>
          <w:i w:val="false"/>
          <w:color w:val="000000"/>
          <w:sz w:val="28"/>
        </w:rPr>
        <w:t xml:space="preserve">
      все прочие сводные показатели, таблицы и перечни демографических данных, показатели эффективности и безопасности; </w:t>
      </w:r>
    </w:p>
    <w:bookmarkEnd w:id="2012"/>
    <w:bookmarkStart w:name="z2077" w:id="2013"/>
    <w:p>
      <w:pPr>
        <w:spacing w:after="0"/>
        <w:ind w:left="0"/>
        <w:jc w:val="both"/>
      </w:pPr>
      <w:r>
        <w:rPr>
          <w:rFonts w:ascii="Times New Roman"/>
          <w:b w:val="false"/>
          <w:i w:val="false"/>
          <w:color w:val="000000"/>
          <w:sz w:val="28"/>
        </w:rPr>
        <w:t xml:space="preserve">
      индивидуальные данные пациентов по отдельным подгруппам представляются в виде перечней данных; </w:t>
      </w:r>
    </w:p>
    <w:bookmarkEnd w:id="2013"/>
    <w:bookmarkStart w:name="z2078" w:id="2014"/>
    <w:p>
      <w:pPr>
        <w:spacing w:after="0"/>
        <w:ind w:left="0"/>
        <w:jc w:val="both"/>
      </w:pPr>
      <w:r>
        <w:rPr>
          <w:rFonts w:ascii="Times New Roman"/>
          <w:b w:val="false"/>
          <w:i w:val="false"/>
          <w:color w:val="000000"/>
          <w:sz w:val="28"/>
        </w:rPr>
        <w:t>
      все индивидуальные данные пациентов.</w:t>
      </w:r>
    </w:p>
    <w:bookmarkEnd w:id="2014"/>
    <w:bookmarkStart w:name="z2079" w:id="2015"/>
    <w:p>
      <w:pPr>
        <w:spacing w:after="0"/>
        <w:ind w:left="0"/>
        <w:jc w:val="both"/>
      </w:pPr>
      <w:r>
        <w:rPr>
          <w:rFonts w:ascii="Times New Roman"/>
          <w:b w:val="false"/>
          <w:i w:val="false"/>
          <w:color w:val="000000"/>
          <w:sz w:val="28"/>
        </w:rPr>
        <w:t>
      В любой таблице, графике или перечне данных, расчетные или производные показатели, если они используются, однозначно и ясно идентифицируются. При этом приводятся подробные разъяснения того, каким образом были рассчитаны или получены данные значения, и какие были сделаны основные предположения.</w:t>
      </w:r>
    </w:p>
    <w:bookmarkEnd w:id="2015"/>
    <w:bookmarkStart w:name="z2080" w:id="2016"/>
    <w:p>
      <w:pPr>
        <w:spacing w:after="0"/>
        <w:ind w:left="0"/>
        <w:jc w:val="both"/>
      </w:pPr>
      <w:r>
        <w:rPr>
          <w:rFonts w:ascii="Times New Roman"/>
          <w:b w:val="false"/>
          <w:i w:val="false"/>
          <w:color w:val="000000"/>
          <w:sz w:val="28"/>
        </w:rPr>
        <w:t>
      Приведенные ниже указания являются максимально детализированными и предназначены для напоминания заявителю о максимальном объеме информации, которая им приводится в отчете таким образом, чтобы после ее представления свести к минимуму запросы дополнительных данных. Тем не менее, в каждом частном случае требования к представлению и (или) анализу данных зависят от конкретной ситуации, изменяются с течением времени, отличаются в зависимости от класса изучаемых препаратов, различаются в разных регионах, и не могут быть описаны в общих чертах в данном документе. Поэтому, при подготовке отчетов используют конкретные клинические руководства и обсуждают представление данных и анализов с уполномоченным органом.</w:t>
      </w:r>
    </w:p>
    <w:bookmarkEnd w:id="2016"/>
    <w:bookmarkStart w:name="z2081" w:id="2017"/>
    <w:p>
      <w:pPr>
        <w:spacing w:after="0"/>
        <w:ind w:left="0"/>
        <w:jc w:val="both"/>
      </w:pPr>
      <w:r>
        <w:rPr>
          <w:rFonts w:ascii="Times New Roman"/>
          <w:b w:val="false"/>
          <w:i w:val="false"/>
          <w:color w:val="000000"/>
          <w:sz w:val="28"/>
        </w:rPr>
        <w:t xml:space="preserve">
      В каждом отчете рассматриваются все приведенные ниже разделы (за исключением случаев, когда они совершенно неуместны), хотя определенная последовательность и группировка разделов меняется, если для определенного исследования альтернативный порядок является более логичным. Некоторые данные в приложениях отражают специальные требованиями отдельных уполномоченных органов, и представляются только в соответствующих случаях. При этом требуется соответствующая нумерация разделов. </w:t>
      </w:r>
    </w:p>
    <w:bookmarkEnd w:id="2017"/>
    <w:bookmarkStart w:name="z2082" w:id="2018"/>
    <w:p>
      <w:pPr>
        <w:spacing w:after="0"/>
        <w:ind w:left="0"/>
        <w:jc w:val="both"/>
      </w:pPr>
      <w:r>
        <w:rPr>
          <w:rFonts w:ascii="Times New Roman"/>
          <w:b w:val="false"/>
          <w:i w:val="false"/>
          <w:color w:val="000000"/>
          <w:sz w:val="28"/>
        </w:rPr>
        <w:t>
      В случае крупномасштабных исследований, некоторые положения настоящего приложения являются неприменимыми. При планировании и при составлении отчетов о таких исследованиях рекомендуется связаться с уполномоченными органами для обсуждения соответствующего формата отчета.</w:t>
      </w:r>
    </w:p>
    <w:bookmarkEnd w:id="2018"/>
    <w:bookmarkStart w:name="z2083" w:id="2019"/>
    <w:p>
      <w:pPr>
        <w:spacing w:after="0"/>
        <w:ind w:left="0"/>
        <w:jc w:val="both"/>
      </w:pPr>
      <w:r>
        <w:rPr>
          <w:rFonts w:ascii="Times New Roman"/>
          <w:b w:val="false"/>
          <w:i w:val="false"/>
          <w:color w:val="000000"/>
          <w:sz w:val="28"/>
        </w:rPr>
        <w:t>
      Положения настоящего приложения следует использовать в сочетании с другими документами, регламентирующими проведение клинических исследований и представление результатов о них.</w:t>
      </w:r>
    </w:p>
    <w:bookmarkEnd w:id="2019"/>
    <w:bookmarkStart w:name="z2084" w:id="2020"/>
    <w:p>
      <w:pPr>
        <w:spacing w:after="0"/>
        <w:ind w:left="0"/>
        <w:jc w:val="both"/>
      </w:pPr>
      <w:r>
        <w:rPr>
          <w:rFonts w:ascii="Times New Roman"/>
          <w:b w:val="false"/>
          <w:i w:val="false"/>
          <w:color w:val="000000"/>
          <w:sz w:val="28"/>
        </w:rPr>
        <w:t>
      Титульная страница</w:t>
      </w:r>
    </w:p>
    <w:bookmarkEnd w:id="2020"/>
    <w:bookmarkStart w:name="z2085" w:id="2021"/>
    <w:p>
      <w:pPr>
        <w:spacing w:after="0"/>
        <w:ind w:left="0"/>
        <w:jc w:val="both"/>
      </w:pPr>
      <w:r>
        <w:rPr>
          <w:rFonts w:ascii="Times New Roman"/>
          <w:b w:val="false"/>
          <w:i w:val="false"/>
          <w:color w:val="000000"/>
          <w:sz w:val="28"/>
        </w:rPr>
        <w:t>
      Резюме (краткое описание клинического исследования).</w:t>
      </w:r>
    </w:p>
    <w:bookmarkEnd w:id="2021"/>
    <w:bookmarkStart w:name="z2086" w:id="2022"/>
    <w:p>
      <w:pPr>
        <w:spacing w:after="0"/>
        <w:ind w:left="0"/>
        <w:jc w:val="both"/>
      </w:pPr>
      <w:r>
        <w:rPr>
          <w:rFonts w:ascii="Times New Roman"/>
          <w:b w:val="false"/>
          <w:i w:val="false"/>
          <w:color w:val="000000"/>
          <w:sz w:val="28"/>
        </w:rPr>
        <w:t>
      Содержание отчета по данному клиническому исследованию.</w:t>
      </w:r>
    </w:p>
    <w:bookmarkEnd w:id="2022"/>
    <w:bookmarkStart w:name="z2087" w:id="2023"/>
    <w:p>
      <w:pPr>
        <w:spacing w:after="0"/>
        <w:ind w:left="0"/>
        <w:jc w:val="both"/>
      </w:pPr>
      <w:r>
        <w:rPr>
          <w:rFonts w:ascii="Times New Roman"/>
          <w:b w:val="false"/>
          <w:i w:val="false"/>
          <w:color w:val="000000"/>
          <w:sz w:val="28"/>
        </w:rPr>
        <w:t>
      Перечень сокращений и определение терминов.</w:t>
      </w:r>
    </w:p>
    <w:bookmarkEnd w:id="2023"/>
    <w:bookmarkStart w:name="z2088" w:id="2024"/>
    <w:p>
      <w:pPr>
        <w:spacing w:after="0"/>
        <w:ind w:left="0"/>
        <w:jc w:val="both"/>
      </w:pPr>
      <w:r>
        <w:rPr>
          <w:rFonts w:ascii="Times New Roman"/>
          <w:b w:val="false"/>
          <w:i w:val="false"/>
          <w:color w:val="000000"/>
          <w:sz w:val="28"/>
        </w:rPr>
        <w:t>
      Этические вопросы.</w:t>
      </w:r>
    </w:p>
    <w:bookmarkEnd w:id="2024"/>
    <w:bookmarkStart w:name="z2089" w:id="2025"/>
    <w:p>
      <w:pPr>
        <w:spacing w:after="0"/>
        <w:ind w:left="0"/>
        <w:jc w:val="both"/>
      </w:pPr>
      <w:r>
        <w:rPr>
          <w:rFonts w:ascii="Times New Roman"/>
          <w:b w:val="false"/>
          <w:i w:val="false"/>
          <w:color w:val="000000"/>
          <w:sz w:val="28"/>
        </w:rPr>
        <w:t>
      Исследователи и административная структура исследования.</w:t>
      </w:r>
    </w:p>
    <w:bookmarkEnd w:id="2025"/>
    <w:bookmarkStart w:name="z2090" w:id="2026"/>
    <w:p>
      <w:pPr>
        <w:spacing w:after="0"/>
        <w:ind w:left="0"/>
        <w:jc w:val="both"/>
      </w:pPr>
      <w:r>
        <w:rPr>
          <w:rFonts w:ascii="Times New Roman"/>
          <w:b w:val="false"/>
          <w:i w:val="false"/>
          <w:color w:val="000000"/>
          <w:sz w:val="28"/>
        </w:rPr>
        <w:t>
      Введение.</w:t>
      </w:r>
    </w:p>
    <w:bookmarkEnd w:id="2026"/>
    <w:bookmarkStart w:name="z2091" w:id="2027"/>
    <w:p>
      <w:pPr>
        <w:spacing w:after="0"/>
        <w:ind w:left="0"/>
        <w:jc w:val="both"/>
      </w:pPr>
      <w:r>
        <w:rPr>
          <w:rFonts w:ascii="Times New Roman"/>
          <w:b w:val="false"/>
          <w:i w:val="false"/>
          <w:color w:val="000000"/>
          <w:sz w:val="28"/>
        </w:rPr>
        <w:t>
      Цель и задачи исследования.</w:t>
      </w:r>
    </w:p>
    <w:bookmarkEnd w:id="2027"/>
    <w:bookmarkStart w:name="z2092" w:id="2028"/>
    <w:p>
      <w:pPr>
        <w:spacing w:after="0"/>
        <w:ind w:left="0"/>
        <w:jc w:val="both"/>
      </w:pPr>
      <w:r>
        <w:rPr>
          <w:rFonts w:ascii="Times New Roman"/>
          <w:b w:val="false"/>
          <w:i w:val="false"/>
          <w:color w:val="000000"/>
          <w:sz w:val="28"/>
        </w:rPr>
        <w:t>
      План исследования.</w:t>
      </w:r>
    </w:p>
    <w:bookmarkEnd w:id="2028"/>
    <w:bookmarkStart w:name="z2093" w:id="2029"/>
    <w:p>
      <w:pPr>
        <w:spacing w:after="0"/>
        <w:ind w:left="0"/>
        <w:jc w:val="both"/>
      </w:pPr>
      <w:r>
        <w:rPr>
          <w:rFonts w:ascii="Times New Roman"/>
          <w:b w:val="false"/>
          <w:i w:val="false"/>
          <w:color w:val="000000"/>
          <w:sz w:val="28"/>
        </w:rPr>
        <w:t>
      Общий дизайн и план-описание исследования.</w:t>
      </w:r>
    </w:p>
    <w:bookmarkEnd w:id="2029"/>
    <w:bookmarkStart w:name="z2094" w:id="2030"/>
    <w:p>
      <w:pPr>
        <w:spacing w:after="0"/>
        <w:ind w:left="0"/>
        <w:jc w:val="both"/>
      </w:pPr>
      <w:r>
        <w:rPr>
          <w:rFonts w:ascii="Times New Roman"/>
          <w:b w:val="false"/>
          <w:i w:val="false"/>
          <w:color w:val="000000"/>
          <w:sz w:val="28"/>
        </w:rPr>
        <w:t>
      Обоснование дизайна исследования, в том числе выбора контрольных групп.</w:t>
      </w:r>
    </w:p>
    <w:bookmarkEnd w:id="2030"/>
    <w:bookmarkStart w:name="z2095" w:id="2031"/>
    <w:p>
      <w:pPr>
        <w:spacing w:after="0"/>
        <w:ind w:left="0"/>
        <w:jc w:val="both"/>
      </w:pPr>
      <w:r>
        <w:rPr>
          <w:rFonts w:ascii="Times New Roman"/>
          <w:b w:val="false"/>
          <w:i w:val="false"/>
          <w:color w:val="000000"/>
          <w:sz w:val="28"/>
        </w:rPr>
        <w:t>
      Выбор изучаемой популяции.</w:t>
      </w:r>
    </w:p>
    <w:bookmarkEnd w:id="2031"/>
    <w:bookmarkStart w:name="z2096" w:id="2032"/>
    <w:p>
      <w:pPr>
        <w:spacing w:after="0"/>
        <w:ind w:left="0"/>
        <w:jc w:val="both"/>
      </w:pPr>
      <w:r>
        <w:rPr>
          <w:rFonts w:ascii="Times New Roman"/>
          <w:b w:val="false"/>
          <w:i w:val="false"/>
          <w:color w:val="000000"/>
          <w:sz w:val="28"/>
        </w:rPr>
        <w:t>
      Лечение.</w:t>
      </w:r>
    </w:p>
    <w:bookmarkEnd w:id="2032"/>
    <w:bookmarkStart w:name="z2097" w:id="2033"/>
    <w:p>
      <w:pPr>
        <w:spacing w:after="0"/>
        <w:ind w:left="0"/>
        <w:jc w:val="both"/>
      </w:pPr>
      <w:r>
        <w:rPr>
          <w:rFonts w:ascii="Times New Roman"/>
          <w:b w:val="false"/>
          <w:i w:val="false"/>
          <w:color w:val="000000"/>
          <w:sz w:val="28"/>
        </w:rPr>
        <w:t>
      Данные эффективности и безопасности.</w:t>
      </w:r>
    </w:p>
    <w:bookmarkEnd w:id="2033"/>
    <w:bookmarkStart w:name="z2098" w:id="2034"/>
    <w:p>
      <w:pPr>
        <w:spacing w:after="0"/>
        <w:ind w:left="0"/>
        <w:jc w:val="both"/>
      </w:pPr>
      <w:r>
        <w:rPr>
          <w:rFonts w:ascii="Times New Roman"/>
          <w:b w:val="false"/>
          <w:i w:val="false"/>
          <w:color w:val="000000"/>
          <w:sz w:val="28"/>
        </w:rPr>
        <w:t>
      Контроль качества данных (включая сертификат аудита, если проводился).</w:t>
      </w:r>
    </w:p>
    <w:bookmarkEnd w:id="2034"/>
    <w:bookmarkStart w:name="z2099" w:id="2035"/>
    <w:p>
      <w:pPr>
        <w:spacing w:after="0"/>
        <w:ind w:left="0"/>
        <w:jc w:val="both"/>
      </w:pPr>
      <w:r>
        <w:rPr>
          <w:rFonts w:ascii="Times New Roman"/>
          <w:b w:val="false"/>
          <w:i w:val="false"/>
          <w:color w:val="000000"/>
          <w:sz w:val="28"/>
        </w:rPr>
        <w:t>
      Предусмотренные протоколом статистические методы и определение размера выборки.</w:t>
      </w:r>
    </w:p>
    <w:bookmarkEnd w:id="2035"/>
    <w:bookmarkStart w:name="z2100" w:id="2036"/>
    <w:p>
      <w:pPr>
        <w:spacing w:after="0"/>
        <w:ind w:left="0"/>
        <w:jc w:val="both"/>
      </w:pPr>
      <w:r>
        <w:rPr>
          <w:rFonts w:ascii="Times New Roman"/>
          <w:b w:val="false"/>
          <w:i w:val="false"/>
          <w:color w:val="000000"/>
          <w:sz w:val="28"/>
        </w:rPr>
        <w:t>
      Изменения в ходе проведения исследования или в запланированном анализе.</w:t>
      </w:r>
    </w:p>
    <w:bookmarkEnd w:id="2036"/>
    <w:bookmarkStart w:name="z2101" w:id="2037"/>
    <w:p>
      <w:pPr>
        <w:spacing w:after="0"/>
        <w:ind w:left="0"/>
        <w:jc w:val="both"/>
      </w:pPr>
      <w:r>
        <w:rPr>
          <w:rFonts w:ascii="Times New Roman"/>
          <w:b w:val="false"/>
          <w:i w:val="false"/>
          <w:color w:val="000000"/>
          <w:sz w:val="28"/>
        </w:rPr>
        <w:t>
      Информация о субъектах исследования.</w:t>
      </w:r>
    </w:p>
    <w:bookmarkEnd w:id="2037"/>
    <w:bookmarkStart w:name="z2102" w:id="2038"/>
    <w:p>
      <w:pPr>
        <w:spacing w:after="0"/>
        <w:ind w:left="0"/>
        <w:jc w:val="both"/>
      </w:pPr>
      <w:r>
        <w:rPr>
          <w:rFonts w:ascii="Times New Roman"/>
          <w:b w:val="false"/>
          <w:i w:val="false"/>
          <w:color w:val="000000"/>
          <w:sz w:val="28"/>
        </w:rPr>
        <w:t>
      Распределение субъектов по группам.</w:t>
      </w:r>
    </w:p>
    <w:bookmarkEnd w:id="2038"/>
    <w:bookmarkStart w:name="z2103" w:id="2039"/>
    <w:p>
      <w:pPr>
        <w:spacing w:after="0"/>
        <w:ind w:left="0"/>
        <w:jc w:val="both"/>
      </w:pPr>
      <w:r>
        <w:rPr>
          <w:rFonts w:ascii="Times New Roman"/>
          <w:b w:val="false"/>
          <w:i w:val="false"/>
          <w:color w:val="000000"/>
          <w:sz w:val="28"/>
        </w:rPr>
        <w:t>
      Отклонения от протокола.</w:t>
      </w:r>
    </w:p>
    <w:bookmarkEnd w:id="2039"/>
    <w:bookmarkStart w:name="z2104" w:id="2040"/>
    <w:p>
      <w:pPr>
        <w:spacing w:after="0"/>
        <w:ind w:left="0"/>
        <w:jc w:val="both"/>
      </w:pPr>
      <w:r>
        <w:rPr>
          <w:rFonts w:ascii="Times New Roman"/>
          <w:b w:val="false"/>
          <w:i w:val="false"/>
          <w:color w:val="000000"/>
          <w:sz w:val="28"/>
        </w:rPr>
        <w:t>
      Оценка эффективности.</w:t>
      </w:r>
    </w:p>
    <w:bookmarkEnd w:id="2040"/>
    <w:bookmarkStart w:name="z2105" w:id="2041"/>
    <w:p>
      <w:pPr>
        <w:spacing w:after="0"/>
        <w:ind w:left="0"/>
        <w:jc w:val="both"/>
      </w:pPr>
      <w:r>
        <w:rPr>
          <w:rFonts w:ascii="Times New Roman"/>
          <w:b w:val="false"/>
          <w:i w:val="false"/>
          <w:color w:val="000000"/>
          <w:sz w:val="28"/>
        </w:rPr>
        <w:t>
      Группы анализируемых данных.</w:t>
      </w:r>
    </w:p>
    <w:bookmarkEnd w:id="2041"/>
    <w:bookmarkStart w:name="z2106" w:id="2042"/>
    <w:p>
      <w:pPr>
        <w:spacing w:after="0"/>
        <w:ind w:left="0"/>
        <w:jc w:val="both"/>
      </w:pPr>
      <w:r>
        <w:rPr>
          <w:rFonts w:ascii="Times New Roman"/>
          <w:b w:val="false"/>
          <w:i w:val="false"/>
          <w:color w:val="000000"/>
          <w:sz w:val="28"/>
        </w:rPr>
        <w:t>
      Демографические и (или) другие исходные характеристики.</w:t>
      </w:r>
    </w:p>
    <w:bookmarkEnd w:id="2042"/>
    <w:bookmarkStart w:name="z2107" w:id="2043"/>
    <w:p>
      <w:pPr>
        <w:spacing w:after="0"/>
        <w:ind w:left="0"/>
        <w:jc w:val="both"/>
      </w:pPr>
      <w:r>
        <w:rPr>
          <w:rFonts w:ascii="Times New Roman"/>
          <w:b w:val="false"/>
          <w:i w:val="false"/>
          <w:color w:val="000000"/>
          <w:sz w:val="28"/>
        </w:rPr>
        <w:t>
      Показатели оценки соблюдения режима лечения.</w:t>
      </w:r>
    </w:p>
    <w:bookmarkEnd w:id="2043"/>
    <w:bookmarkStart w:name="z2108" w:id="2044"/>
    <w:p>
      <w:pPr>
        <w:spacing w:after="0"/>
        <w:ind w:left="0"/>
        <w:jc w:val="both"/>
      </w:pPr>
      <w:r>
        <w:rPr>
          <w:rFonts w:ascii="Times New Roman"/>
          <w:b w:val="false"/>
          <w:i w:val="false"/>
          <w:color w:val="000000"/>
          <w:sz w:val="28"/>
        </w:rPr>
        <w:t>
      Результаты оценки эффективности и таблицы по индивидуальным данным пациентов.</w:t>
      </w:r>
    </w:p>
    <w:bookmarkEnd w:id="2044"/>
    <w:bookmarkStart w:name="z2109" w:id="2045"/>
    <w:p>
      <w:pPr>
        <w:spacing w:after="0"/>
        <w:ind w:left="0"/>
        <w:jc w:val="both"/>
      </w:pPr>
      <w:r>
        <w:rPr>
          <w:rFonts w:ascii="Times New Roman"/>
          <w:b w:val="false"/>
          <w:i w:val="false"/>
          <w:color w:val="000000"/>
          <w:sz w:val="28"/>
        </w:rPr>
        <w:t>
      Оценка безопасности.</w:t>
      </w:r>
    </w:p>
    <w:bookmarkEnd w:id="2045"/>
    <w:bookmarkStart w:name="z2110" w:id="2046"/>
    <w:p>
      <w:pPr>
        <w:spacing w:after="0"/>
        <w:ind w:left="0"/>
        <w:jc w:val="both"/>
      </w:pPr>
      <w:r>
        <w:rPr>
          <w:rFonts w:ascii="Times New Roman"/>
          <w:b w:val="false"/>
          <w:i w:val="false"/>
          <w:color w:val="000000"/>
          <w:sz w:val="28"/>
        </w:rPr>
        <w:t>
      Продолжительность воздействия.</w:t>
      </w:r>
    </w:p>
    <w:bookmarkEnd w:id="2046"/>
    <w:bookmarkStart w:name="z2111" w:id="2047"/>
    <w:p>
      <w:pPr>
        <w:spacing w:after="0"/>
        <w:ind w:left="0"/>
        <w:jc w:val="both"/>
      </w:pPr>
      <w:r>
        <w:rPr>
          <w:rFonts w:ascii="Times New Roman"/>
          <w:b w:val="false"/>
          <w:i w:val="false"/>
          <w:color w:val="000000"/>
          <w:sz w:val="28"/>
        </w:rPr>
        <w:t>
      Нежелательные явления.</w:t>
      </w:r>
    </w:p>
    <w:bookmarkEnd w:id="2047"/>
    <w:bookmarkStart w:name="z2112" w:id="2048"/>
    <w:p>
      <w:pPr>
        <w:spacing w:after="0"/>
        <w:ind w:left="0"/>
        <w:jc w:val="both"/>
      </w:pPr>
      <w:r>
        <w:rPr>
          <w:rFonts w:ascii="Times New Roman"/>
          <w:b w:val="false"/>
          <w:i w:val="false"/>
          <w:color w:val="000000"/>
          <w:sz w:val="28"/>
        </w:rPr>
        <w:t>
      Смерть, другие серьезные нежелательные явления, а также серьезные нежелательные реакции.</w:t>
      </w:r>
    </w:p>
    <w:bookmarkEnd w:id="2048"/>
    <w:bookmarkStart w:name="z2113" w:id="2049"/>
    <w:p>
      <w:pPr>
        <w:spacing w:after="0"/>
        <w:ind w:left="0"/>
        <w:jc w:val="both"/>
      </w:pPr>
      <w:r>
        <w:rPr>
          <w:rFonts w:ascii="Times New Roman"/>
          <w:b w:val="false"/>
          <w:i w:val="false"/>
          <w:color w:val="000000"/>
          <w:sz w:val="28"/>
        </w:rPr>
        <w:t>
      Оценка клинико-лабораторных показателей.</w:t>
      </w:r>
    </w:p>
    <w:bookmarkEnd w:id="2049"/>
    <w:bookmarkStart w:name="z2114" w:id="2050"/>
    <w:p>
      <w:pPr>
        <w:spacing w:after="0"/>
        <w:ind w:left="0"/>
        <w:jc w:val="both"/>
      </w:pPr>
      <w:r>
        <w:rPr>
          <w:rFonts w:ascii="Times New Roman"/>
          <w:b w:val="false"/>
          <w:i w:val="false"/>
          <w:color w:val="000000"/>
          <w:sz w:val="28"/>
        </w:rPr>
        <w:t>
      Параметры жизненно важных функций организма, данные объективного исследования и другая информация обследования, которая касается вопросов безопасности.</w:t>
      </w:r>
    </w:p>
    <w:bookmarkEnd w:id="2050"/>
    <w:bookmarkStart w:name="z2115" w:id="2051"/>
    <w:p>
      <w:pPr>
        <w:spacing w:after="0"/>
        <w:ind w:left="0"/>
        <w:jc w:val="both"/>
      </w:pPr>
      <w:r>
        <w:rPr>
          <w:rFonts w:ascii="Times New Roman"/>
          <w:b w:val="false"/>
          <w:i w:val="false"/>
          <w:color w:val="000000"/>
          <w:sz w:val="28"/>
        </w:rPr>
        <w:t>
      Заключение о безопасности.</w:t>
      </w:r>
    </w:p>
    <w:bookmarkEnd w:id="2051"/>
    <w:bookmarkStart w:name="z2116" w:id="2052"/>
    <w:p>
      <w:pPr>
        <w:spacing w:after="0"/>
        <w:ind w:left="0"/>
        <w:jc w:val="both"/>
      </w:pPr>
      <w:r>
        <w:rPr>
          <w:rFonts w:ascii="Times New Roman"/>
          <w:b w:val="false"/>
          <w:i w:val="false"/>
          <w:color w:val="000000"/>
          <w:sz w:val="28"/>
        </w:rPr>
        <w:t>
      Обсуждение и общее заключение.</w:t>
      </w:r>
    </w:p>
    <w:bookmarkEnd w:id="2052"/>
    <w:bookmarkStart w:name="z2117" w:id="2053"/>
    <w:p>
      <w:pPr>
        <w:spacing w:after="0"/>
        <w:ind w:left="0"/>
        <w:jc w:val="both"/>
      </w:pPr>
      <w:r>
        <w:rPr>
          <w:rFonts w:ascii="Times New Roman"/>
          <w:b w:val="false"/>
          <w:i w:val="false"/>
          <w:color w:val="000000"/>
          <w:sz w:val="28"/>
        </w:rPr>
        <w:t>
      Таблицы, рисунки, графики, на которые даны ссылки, но которые не вошли в текст отчета.</w:t>
      </w:r>
    </w:p>
    <w:bookmarkEnd w:id="2053"/>
    <w:bookmarkStart w:name="z2118" w:id="2054"/>
    <w:p>
      <w:pPr>
        <w:spacing w:after="0"/>
        <w:ind w:left="0"/>
        <w:jc w:val="both"/>
      </w:pPr>
      <w:r>
        <w:rPr>
          <w:rFonts w:ascii="Times New Roman"/>
          <w:b w:val="false"/>
          <w:i w:val="false"/>
          <w:color w:val="000000"/>
          <w:sz w:val="28"/>
        </w:rPr>
        <w:t>
      Список литературы.</w:t>
      </w:r>
    </w:p>
    <w:bookmarkEnd w:id="2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1" w:id="2055"/>
    <w:p>
      <w:pPr>
        <w:spacing w:after="0"/>
        <w:ind w:left="0"/>
        <w:jc w:val="left"/>
      </w:pPr>
      <w:r>
        <w:rPr>
          <w:rFonts w:ascii="Times New Roman"/>
          <w:b/>
          <w:i w:val="false"/>
          <w:color w:val="000000"/>
        </w:rPr>
        <w:t xml:space="preserve"> Резюме (краткое описание клинического исследования)</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спонсора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056"/>
          <w:p>
            <w:pPr>
              <w:spacing w:after="20"/>
              <w:ind w:left="20"/>
              <w:jc w:val="both"/>
            </w:pPr>
            <w:r>
              <w:rPr>
                <w:rFonts w:ascii="Times New Roman"/>
                <w:b w:val="false"/>
                <w:i w:val="false"/>
                <w:color w:val="000000"/>
                <w:sz w:val="20"/>
              </w:rPr>
              <w:t>
Отдельная таблица исследования, относящаяся к части досье</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Том:</w:t>
            </w:r>
          </w:p>
          <w:p>
            <w:pPr>
              <w:spacing w:after="20"/>
              <w:ind w:left="20"/>
              <w:jc w:val="both"/>
            </w:pPr>
            <w:r>
              <w:rPr>
                <w:rFonts w:ascii="Times New Roman"/>
                <w:b w:val="false"/>
                <w:i w:val="false"/>
                <w:color w:val="000000"/>
                <w:sz w:val="20"/>
              </w:rPr>
              <w:t>
Страница: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используется только уполномоченными органами)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активного ингредиента: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база(ы):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(ссылка):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период (года): (дата начала набора) (дата последнего визита)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разработки: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пациентов (запланированное и проанализированное):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и основные критерии для включения: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доза и способ применения, номер серии: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лечения: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 доза и способ применения, номер серии: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спонсора (компании):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057"/>
          <w:p>
            <w:pPr>
              <w:spacing w:after="20"/>
              <w:ind w:left="20"/>
              <w:jc w:val="both"/>
            </w:pPr>
            <w:r>
              <w:rPr>
                <w:rFonts w:ascii="Times New Roman"/>
                <w:b w:val="false"/>
                <w:i w:val="false"/>
                <w:color w:val="000000"/>
                <w:sz w:val="20"/>
              </w:rPr>
              <w:t>
Отдельная таблица исследования, относящаяся к части досье</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Том:</w:t>
            </w:r>
          </w:p>
          <w:p>
            <w:pPr>
              <w:spacing w:after="20"/>
              <w:ind w:left="20"/>
              <w:jc w:val="both"/>
            </w:pPr>
            <w:r>
              <w:rPr>
                <w:rFonts w:ascii="Times New Roman"/>
                <w:b w:val="false"/>
                <w:i w:val="false"/>
                <w:color w:val="000000"/>
                <w:sz w:val="20"/>
              </w:rPr>
              <w:t>
Страница: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используется только уполномоченными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готового препарата: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активного ингредиента: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058"/>
          <w:p>
            <w:pPr>
              <w:spacing w:after="20"/>
              <w:ind w:left="20"/>
              <w:jc w:val="both"/>
            </w:pPr>
            <w:r>
              <w:rPr>
                <w:rFonts w:ascii="Times New Roman"/>
                <w:b w:val="false"/>
                <w:i w:val="false"/>
                <w:color w:val="000000"/>
                <w:sz w:val="20"/>
              </w:rPr>
              <w:t>
Критерии оценки:</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w:t>
            </w:r>
          </w:p>
          <w:p>
            <w:pPr>
              <w:spacing w:after="20"/>
              <w:ind w:left="20"/>
              <w:jc w:val="both"/>
            </w:pPr>
            <w:r>
              <w:rPr>
                <w:rFonts w:ascii="Times New Roman"/>
                <w:b w:val="false"/>
                <w:i w:val="false"/>
                <w:color w:val="000000"/>
                <w:sz w:val="20"/>
              </w:rPr>
              <w:t>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059"/>
          <w:p>
            <w:pPr>
              <w:spacing w:after="20"/>
              <w:ind w:left="20"/>
              <w:jc w:val="both"/>
            </w:pPr>
            <w:r>
              <w:rPr>
                <w:rFonts w:ascii="Times New Roman"/>
                <w:b w:val="false"/>
                <w:i w:val="false"/>
                <w:color w:val="000000"/>
                <w:sz w:val="20"/>
              </w:rPr>
              <w:t>
КРАТКИЙ ОБЗОР - ВЫВОДЫ</w:t>
            </w:r>
          </w:p>
          <w:bookmarkEnd w:id="2059"/>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ОЦЕНКИ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ОЦЕНКИ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w:t>
            </w:r>
          </w:p>
          <w:p>
            <w:pPr>
              <w:spacing w:after="20"/>
              <w:ind w:left="20"/>
              <w:jc w:val="both"/>
            </w:pPr>
            <w:r>
              <w:rPr>
                <w:rFonts w:ascii="Times New Roman"/>
                <w:b w:val="false"/>
                <w:i w:val="false"/>
                <w:color w:val="000000"/>
                <w:sz w:val="20"/>
              </w:rPr>
              <w:t>
Дата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4" w:id="2060"/>
    <w:p>
      <w:pPr>
        <w:spacing w:after="0"/>
        <w:ind w:left="0"/>
        <w:jc w:val="left"/>
      </w:pPr>
      <w:r>
        <w:rPr>
          <w:rFonts w:ascii="Times New Roman"/>
          <w:b/>
          <w:i w:val="false"/>
          <w:color w:val="000000"/>
        </w:rPr>
        <w:t xml:space="preserve"> Подписи главного исследователя или исследователя-координатора</w:t>
      </w:r>
    </w:p>
    <w:bookmarkEnd w:id="2060"/>
    <w:bookmarkStart w:name="z2135" w:id="2061"/>
    <w:p>
      <w:pPr>
        <w:spacing w:after="0"/>
        <w:ind w:left="0"/>
        <w:jc w:val="both"/>
      </w:pPr>
      <w:r>
        <w:rPr>
          <w:rFonts w:ascii="Times New Roman"/>
          <w:b w:val="false"/>
          <w:i w:val="false"/>
          <w:color w:val="000000"/>
          <w:sz w:val="28"/>
        </w:rPr>
        <w:t>
      ПОДПИСЬ(И) ГЛАВНОГО ИССЛЕДОВАТЕЛЯ</w:t>
      </w:r>
    </w:p>
    <w:bookmarkEnd w:id="2061"/>
    <w:bookmarkStart w:name="z2136" w:id="2062"/>
    <w:p>
      <w:pPr>
        <w:spacing w:after="0"/>
        <w:ind w:left="0"/>
        <w:jc w:val="both"/>
      </w:pPr>
      <w:r>
        <w:rPr>
          <w:rFonts w:ascii="Times New Roman"/>
          <w:b w:val="false"/>
          <w:i w:val="false"/>
          <w:color w:val="000000"/>
          <w:sz w:val="28"/>
        </w:rPr>
        <w:t>
      ИЛИ ИССЛЕДОВАТЕЛЯ-КООРДИНАТОРА</w:t>
      </w:r>
    </w:p>
    <w:bookmarkEnd w:id="2062"/>
    <w:bookmarkStart w:name="z2137" w:id="2063"/>
    <w:p>
      <w:pPr>
        <w:spacing w:after="0"/>
        <w:ind w:left="0"/>
        <w:jc w:val="both"/>
      </w:pPr>
      <w:r>
        <w:rPr>
          <w:rFonts w:ascii="Times New Roman"/>
          <w:b w:val="false"/>
          <w:i w:val="false"/>
          <w:color w:val="000000"/>
          <w:sz w:val="28"/>
        </w:rPr>
        <w:t>
      ИЛИ ОТВЕТСТВЕННОГО МЕДИЦИНСКОГО СПЕЦИАЛИСТА СО СТОРОНЫ СПОНСОРА</w:t>
      </w:r>
    </w:p>
    <w:bookmarkEnd w:id="2063"/>
    <w:bookmarkStart w:name="z2138" w:id="2064"/>
    <w:p>
      <w:pPr>
        <w:spacing w:after="0"/>
        <w:ind w:left="0"/>
        <w:jc w:val="both"/>
      </w:pPr>
      <w:r>
        <w:rPr>
          <w:rFonts w:ascii="Times New Roman"/>
          <w:b w:val="false"/>
          <w:i w:val="false"/>
          <w:color w:val="000000"/>
          <w:sz w:val="28"/>
        </w:rPr>
        <w:t>
      ________________________</w:t>
      </w:r>
    </w:p>
    <w:bookmarkEnd w:id="2064"/>
    <w:bookmarkStart w:name="z2139" w:id="2065"/>
    <w:p>
      <w:pPr>
        <w:spacing w:after="0"/>
        <w:ind w:left="0"/>
        <w:jc w:val="both"/>
      </w:pPr>
      <w:r>
        <w:rPr>
          <w:rFonts w:ascii="Times New Roman"/>
          <w:b w:val="false"/>
          <w:i w:val="false"/>
          <w:color w:val="000000"/>
          <w:sz w:val="28"/>
        </w:rPr>
        <w:t>
      НАЗВАНИЕ ИССЛЕДОВАНИЯ: ............</w:t>
      </w:r>
    </w:p>
    <w:bookmarkEnd w:id="2065"/>
    <w:bookmarkStart w:name="z2140" w:id="2066"/>
    <w:p>
      <w:pPr>
        <w:spacing w:after="0"/>
        <w:ind w:left="0"/>
        <w:jc w:val="both"/>
      </w:pPr>
      <w:r>
        <w:rPr>
          <w:rFonts w:ascii="Times New Roman"/>
          <w:b w:val="false"/>
          <w:i w:val="false"/>
          <w:color w:val="000000"/>
          <w:sz w:val="28"/>
        </w:rPr>
        <w:t>
      ИСПОЛНИТЕЛЬ(И) ИССЛЕДОВАНИЯ: ............ </w:t>
      </w:r>
    </w:p>
    <w:bookmarkEnd w:id="2066"/>
    <w:bookmarkStart w:name="z2141" w:id="2067"/>
    <w:p>
      <w:pPr>
        <w:spacing w:after="0"/>
        <w:ind w:left="0"/>
        <w:jc w:val="both"/>
      </w:pPr>
      <w:r>
        <w:rPr>
          <w:rFonts w:ascii="Times New Roman"/>
          <w:b w:val="false"/>
          <w:i w:val="false"/>
          <w:color w:val="000000"/>
          <w:sz w:val="28"/>
        </w:rPr>
        <w:t>
      Прочил (-а) настоящий отчет и, основываясь на моем знании данного исследования, настоящим подтверждаю, что в нем правильно изложены процедуры проведения и результаты исследования. </w:t>
      </w:r>
    </w:p>
    <w:bookmarkEnd w:id="2067"/>
    <w:bookmarkStart w:name="z2142" w:id="2068"/>
    <w:p>
      <w:pPr>
        <w:spacing w:after="0"/>
        <w:ind w:left="0"/>
        <w:jc w:val="both"/>
      </w:pPr>
      <w:r>
        <w:rPr>
          <w:rFonts w:ascii="Times New Roman"/>
          <w:b w:val="false"/>
          <w:i w:val="false"/>
          <w:color w:val="000000"/>
          <w:sz w:val="28"/>
        </w:rPr>
        <w:t>
      ИССЛЕДОВАТЕЛЬ: ______________ ПОДПИСЬ(-И) ______________</w:t>
      </w:r>
    </w:p>
    <w:bookmarkEnd w:id="2068"/>
    <w:bookmarkStart w:name="z2143" w:id="2069"/>
    <w:p>
      <w:pPr>
        <w:spacing w:after="0"/>
        <w:ind w:left="0"/>
        <w:jc w:val="both"/>
      </w:pPr>
      <w:r>
        <w:rPr>
          <w:rFonts w:ascii="Times New Roman"/>
          <w:b w:val="false"/>
          <w:i w:val="false"/>
          <w:color w:val="000000"/>
          <w:sz w:val="28"/>
        </w:rPr>
        <w:t>
      ИЛИ ОТВЕТСТВЕННЫЙ</w:t>
      </w:r>
    </w:p>
    <w:bookmarkEnd w:id="2069"/>
    <w:bookmarkStart w:name="z2144" w:id="2070"/>
    <w:p>
      <w:pPr>
        <w:spacing w:after="0"/>
        <w:ind w:left="0"/>
        <w:jc w:val="both"/>
      </w:pPr>
      <w:r>
        <w:rPr>
          <w:rFonts w:ascii="Times New Roman"/>
          <w:b w:val="false"/>
          <w:i w:val="false"/>
          <w:color w:val="000000"/>
          <w:sz w:val="28"/>
        </w:rPr>
        <w:t>
      МЕДИЦИНСКИЙ СПЕЦИАЛИСТ</w:t>
      </w:r>
    </w:p>
    <w:bookmarkEnd w:id="2070"/>
    <w:bookmarkStart w:name="z2145" w:id="2071"/>
    <w:p>
      <w:pPr>
        <w:spacing w:after="0"/>
        <w:ind w:left="0"/>
        <w:jc w:val="both"/>
      </w:pPr>
      <w:r>
        <w:rPr>
          <w:rFonts w:ascii="Times New Roman"/>
          <w:b w:val="false"/>
          <w:i w:val="false"/>
          <w:color w:val="000000"/>
          <w:sz w:val="28"/>
        </w:rPr>
        <w:t>
      СПОНСОРА</w:t>
      </w:r>
    </w:p>
    <w:bookmarkEnd w:id="2071"/>
    <w:bookmarkStart w:name="z2146" w:id="2072"/>
    <w:p>
      <w:pPr>
        <w:spacing w:after="0"/>
        <w:ind w:left="0"/>
        <w:jc w:val="both"/>
      </w:pPr>
      <w:r>
        <w:rPr>
          <w:rFonts w:ascii="Times New Roman"/>
          <w:b w:val="false"/>
          <w:i w:val="false"/>
          <w:color w:val="000000"/>
          <w:sz w:val="28"/>
        </w:rPr>
        <w:t>
      ВЛАДЕЛЕЦ ОТЧЕТА: _____________</w:t>
      </w:r>
    </w:p>
    <w:bookmarkEnd w:id="2072"/>
    <w:bookmarkStart w:name="z2147" w:id="2073"/>
    <w:p>
      <w:pPr>
        <w:spacing w:after="0"/>
        <w:ind w:left="0"/>
        <w:jc w:val="both"/>
      </w:pPr>
      <w:r>
        <w:rPr>
          <w:rFonts w:ascii="Times New Roman"/>
          <w:b w:val="false"/>
          <w:i w:val="false"/>
          <w:color w:val="000000"/>
          <w:sz w:val="28"/>
        </w:rPr>
        <w:t>
      ДАТА: ______________</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0" w:id="2074"/>
    <w:p>
      <w:pPr>
        <w:spacing w:after="0"/>
        <w:ind w:left="0"/>
        <w:jc w:val="left"/>
      </w:pPr>
      <w:r>
        <w:rPr>
          <w:rFonts w:ascii="Times New Roman"/>
          <w:b/>
          <w:i w:val="false"/>
          <w:color w:val="000000"/>
        </w:rPr>
        <w:t xml:space="preserve"> План клинического исследования и график оценки</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075"/>
          <w:p>
            <w:pPr>
              <w:spacing w:after="20"/>
              <w:ind w:left="20"/>
              <w:jc w:val="both"/>
            </w:pPr>
            <w:r>
              <w:rPr>
                <w:rFonts w:ascii="Times New Roman"/>
                <w:b w:val="false"/>
                <w:i w:val="false"/>
                <w:color w:val="000000"/>
                <w:sz w:val="20"/>
              </w:rPr>
              <w:t>
Недели</w:t>
            </w:r>
          </w:p>
          <w:bookmarkEnd w:id="2075"/>
          <w:p>
            <w:pPr>
              <w:spacing w:after="20"/>
              <w:ind w:left="20"/>
              <w:jc w:val="both"/>
            </w:pPr>
            <w:r>
              <w:rPr>
                <w:rFonts w:ascii="Times New Roman"/>
                <w:b w:val="false"/>
                <w:i w:val="false"/>
                <w:color w:val="000000"/>
                <w:sz w:val="20"/>
              </w:rPr>
              <w:t>
Визит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076"/>
          <w:p>
            <w:pPr>
              <w:spacing w:after="20"/>
              <w:ind w:left="20"/>
              <w:jc w:val="both"/>
            </w:pPr>
            <w:r>
              <w:rPr>
                <w:rFonts w:ascii="Times New Roman"/>
                <w:b w:val="false"/>
                <w:i w:val="false"/>
                <w:color w:val="000000"/>
                <w:sz w:val="20"/>
              </w:rPr>
              <w:t>
-2 (-3)</w:t>
            </w:r>
          </w:p>
          <w:bookmarkEnd w:id="2076"/>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077"/>
          <w:p>
            <w:pPr>
              <w:spacing w:after="20"/>
              <w:ind w:left="20"/>
              <w:jc w:val="both"/>
            </w:pPr>
            <w:r>
              <w:rPr>
                <w:rFonts w:ascii="Times New Roman"/>
                <w:b w:val="false"/>
                <w:i w:val="false"/>
                <w:color w:val="000000"/>
                <w:sz w:val="20"/>
              </w:rPr>
              <w:t>
0</w:t>
            </w:r>
          </w:p>
          <w:bookmarkEnd w:id="2077"/>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078"/>
          <w:p>
            <w:pPr>
              <w:spacing w:after="20"/>
              <w:ind w:left="20"/>
              <w:jc w:val="both"/>
            </w:pPr>
            <w:r>
              <w:rPr>
                <w:rFonts w:ascii="Times New Roman"/>
                <w:b w:val="false"/>
                <w:i w:val="false"/>
                <w:color w:val="000000"/>
                <w:sz w:val="20"/>
              </w:rPr>
              <w:t>
3</w:t>
            </w:r>
          </w:p>
          <w:bookmarkEnd w:id="2078"/>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079"/>
          <w:p>
            <w:pPr>
              <w:spacing w:after="20"/>
              <w:ind w:left="20"/>
              <w:jc w:val="both"/>
            </w:pPr>
            <w:r>
              <w:rPr>
                <w:rFonts w:ascii="Times New Roman"/>
                <w:b w:val="false"/>
                <w:i w:val="false"/>
                <w:color w:val="000000"/>
                <w:sz w:val="20"/>
              </w:rPr>
              <w:t>
6</w:t>
            </w:r>
          </w:p>
          <w:bookmarkEnd w:id="2079"/>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080"/>
          <w:p>
            <w:pPr>
              <w:spacing w:after="20"/>
              <w:ind w:left="20"/>
              <w:jc w:val="both"/>
            </w:pPr>
            <w:r>
              <w:rPr>
                <w:rFonts w:ascii="Times New Roman"/>
                <w:b w:val="false"/>
                <w:i w:val="false"/>
                <w:color w:val="000000"/>
                <w:sz w:val="20"/>
              </w:rPr>
              <w:t>
9</w:t>
            </w:r>
          </w:p>
          <w:bookmarkEnd w:id="2080"/>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081"/>
          <w:p>
            <w:pPr>
              <w:spacing w:after="20"/>
              <w:ind w:left="20"/>
              <w:jc w:val="both"/>
            </w:pPr>
            <w:r>
              <w:rPr>
                <w:rFonts w:ascii="Times New Roman"/>
                <w:b w:val="false"/>
                <w:i w:val="false"/>
                <w:color w:val="000000"/>
                <w:sz w:val="20"/>
              </w:rPr>
              <w:t>
12</w:t>
            </w:r>
          </w:p>
          <w:bookmarkEnd w:id="2081"/>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082"/>
          <w:p>
            <w:pPr>
              <w:spacing w:after="20"/>
              <w:ind w:left="20"/>
              <w:jc w:val="both"/>
            </w:pPr>
            <w:r>
              <w:rPr>
                <w:rFonts w:ascii="Times New Roman"/>
                <w:b w:val="false"/>
                <w:i w:val="false"/>
                <w:color w:val="000000"/>
                <w:sz w:val="20"/>
              </w:rPr>
              <w:t>
Тест с физической нагрузкой 24 ч</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анамнез</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Физикальное обследование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ЭКГ</w:t>
            </w:r>
          </w:p>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Лабораторн.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Нежелательные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1 - 14-20 дней после визита 1</w:t>
            </w:r>
          </w:p>
          <w:p>
            <w:pPr>
              <w:spacing w:after="20"/>
              <w:ind w:left="20"/>
              <w:jc w:val="both"/>
            </w:pPr>
            <w:r>
              <w:rPr>
                <w:rFonts w:ascii="Times New Roman"/>
                <w:b w:val="false"/>
                <w:i w:val="false"/>
                <w:color w:val="000000"/>
                <w:sz w:val="20"/>
              </w:rPr>
              <w:t>
2 - 1-7 дней после первого дня теста с физической нагрузкой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083"/>
          <w:p>
            <w:pPr>
              <w:spacing w:after="20"/>
              <w:ind w:left="20"/>
              <w:jc w:val="both"/>
            </w:pPr>
            <w:r>
              <w:rPr>
                <w:rFonts w:ascii="Times New Roman"/>
                <w:b w:val="false"/>
                <w:i w:val="false"/>
                <w:color w:val="000000"/>
                <w:sz w:val="20"/>
              </w:rPr>
              <w:t>
 </w:t>
            </w:r>
          </w:p>
          <w:bookmarkEnd w:id="2083"/>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084"/>
          <w:p>
            <w:pPr>
              <w:spacing w:after="20"/>
              <w:ind w:left="20"/>
              <w:jc w:val="both"/>
            </w:pPr>
            <w:r>
              <w:rPr>
                <w:rFonts w:ascii="Times New Roman"/>
                <w:b w:val="false"/>
                <w:i w:val="false"/>
                <w:color w:val="000000"/>
                <w:sz w:val="20"/>
              </w:rPr>
              <w:t>
Х2</w:t>
            </w:r>
          </w:p>
          <w:bookmarkEnd w:id="2084"/>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085"/>
          <w:p>
            <w:pPr>
              <w:spacing w:after="20"/>
              <w:ind w:left="20"/>
              <w:jc w:val="both"/>
            </w:pPr>
            <w:r>
              <w:rPr>
                <w:rFonts w:ascii="Times New Roman"/>
                <w:b w:val="false"/>
                <w:i w:val="false"/>
                <w:color w:val="000000"/>
                <w:sz w:val="20"/>
              </w:rPr>
              <w:t>
X</w:t>
            </w:r>
          </w:p>
          <w:bookmarkEnd w:id="2085"/>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086"/>
          <w:p>
            <w:pPr>
              <w:spacing w:after="20"/>
              <w:ind w:left="20"/>
              <w:jc w:val="both"/>
            </w:pPr>
            <w:r>
              <w:rPr>
                <w:rFonts w:ascii="Times New Roman"/>
                <w:b w:val="false"/>
                <w:i w:val="false"/>
                <w:color w:val="000000"/>
                <w:sz w:val="20"/>
              </w:rPr>
              <w:t>
X</w:t>
            </w:r>
          </w:p>
          <w:bookmarkEnd w:id="2086"/>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087"/>
          <w:p>
            <w:pPr>
              <w:spacing w:after="20"/>
              <w:ind w:left="20"/>
              <w:jc w:val="both"/>
            </w:pPr>
            <w:r>
              <w:rPr>
                <w:rFonts w:ascii="Times New Roman"/>
                <w:b w:val="false"/>
                <w:i w:val="false"/>
                <w:color w:val="000000"/>
                <w:sz w:val="20"/>
              </w:rPr>
              <w:t>
X</w:t>
            </w:r>
          </w:p>
          <w:bookmarkEnd w:id="2087"/>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088"/>
          <w:p>
            <w:pPr>
              <w:spacing w:after="20"/>
              <w:ind w:left="20"/>
              <w:jc w:val="both"/>
            </w:pPr>
            <w:r>
              <w:rPr>
                <w:rFonts w:ascii="Times New Roman"/>
                <w:b w:val="false"/>
                <w:i w:val="false"/>
                <w:color w:val="000000"/>
                <w:sz w:val="20"/>
              </w:rPr>
              <w:t>
X</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w:t>
            </w:r>
            <w:r>
              <w:rPr>
                <w:rFonts w:ascii="Times New Roman"/>
                <w:b w:val="false"/>
                <w:i w:val="false"/>
                <w:color w:val="000000"/>
                <w:sz w:val="20"/>
              </w:rPr>
              <w:t>X</w:t>
            </w:r>
          </w:p>
          <w:p>
            <w:pPr>
              <w:spacing w:after="20"/>
              <w:ind w:left="20"/>
              <w:jc w:val="both"/>
            </w:pPr>
            <w:r>
              <w:rPr>
                <w:rFonts w:ascii="Times New Roman"/>
                <w:b w:val="false"/>
                <w:i w:val="false"/>
                <w:color w:val="000000"/>
                <w:sz w:val="20"/>
              </w:rPr>
              <w:t>
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8" w:id="2089"/>
    <w:p>
      <w:pPr>
        <w:spacing w:after="0"/>
        <w:ind w:left="0"/>
        <w:jc w:val="left"/>
      </w:pPr>
      <w:r>
        <w:rPr>
          <w:rFonts w:ascii="Times New Roman"/>
          <w:b/>
          <w:i w:val="false"/>
          <w:color w:val="000000"/>
        </w:rPr>
        <w:t xml:space="preserve"> Дизайн клинического исследования и график его оценки</w:t>
      </w:r>
    </w:p>
    <w:bookmarkEnd w:id="2089"/>
    <w:bookmarkStart w:name="z2179" w:id="2090"/>
    <w:p>
      <w:pPr>
        <w:spacing w:after="0"/>
        <w:ind w:left="0"/>
        <w:jc w:val="both"/>
      </w:pPr>
      <w:r>
        <w:rPr>
          <w:rFonts w:ascii="Times New Roman"/>
          <w:b w:val="false"/>
          <w:i w:val="false"/>
          <w:color w:val="000000"/>
          <w:sz w:val="28"/>
        </w:rPr>
        <w:t xml:space="preserve">
      </w:t>
      </w:r>
    </w:p>
    <w:bookmarkEnd w:id="2090"/>
    <w:p>
      <w:pPr>
        <w:spacing w:after="0"/>
        <w:ind w:left="0"/>
        <w:jc w:val="both"/>
      </w:pPr>
      <w:r>
        <w:drawing>
          <wp:inline distT="0" distB="0" distL="0" distR="0">
            <wp:extent cx="77470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 согласие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Физик.обслед.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 Переменная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 переменная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 явлен.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 тесты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2" w:id="2091"/>
    <w:p>
      <w:pPr>
        <w:spacing w:after="0"/>
        <w:ind w:left="0"/>
        <w:jc w:val="both"/>
      </w:pPr>
      <w:r>
        <w:rPr>
          <w:rFonts w:ascii="Times New Roman"/>
          <w:b w:val="false"/>
          <w:i w:val="false"/>
          <w:color w:val="000000"/>
          <w:sz w:val="28"/>
        </w:rPr>
        <w:t xml:space="preserve">
      </w:t>
      </w:r>
    </w:p>
    <w:bookmarkEnd w:id="2091"/>
    <w:p>
      <w:pPr>
        <w:spacing w:after="0"/>
        <w:ind w:left="0"/>
        <w:jc w:val="both"/>
      </w:pPr>
      <w:r>
        <w:drawing>
          <wp:inline distT="0" distB="0" distL="0" distR="0">
            <wp:extent cx="75438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83" w:id="2092"/>
    <w:p>
      <w:pPr>
        <w:spacing w:after="0"/>
        <w:ind w:left="0"/>
        <w:jc w:val="both"/>
      </w:pPr>
      <w:r>
        <w:rPr>
          <w:rFonts w:ascii="Times New Roman"/>
          <w:b w:val="false"/>
          <w:i w:val="false"/>
          <w:color w:val="000000"/>
          <w:sz w:val="28"/>
        </w:rPr>
        <w:t>
      Распределение пациентов</w:t>
      </w:r>
    </w:p>
    <w:bookmarkEnd w:id="2092"/>
    <w:bookmarkStart w:name="z2184" w:id="2093"/>
    <w:p>
      <w:pPr>
        <w:spacing w:after="0"/>
        <w:ind w:left="0"/>
        <w:jc w:val="both"/>
      </w:pPr>
      <w:r>
        <w:rPr>
          <w:rFonts w:ascii="Times New Roman"/>
          <w:b w:val="false"/>
          <w:i w:val="false"/>
          <w:color w:val="000000"/>
          <w:sz w:val="28"/>
        </w:rPr>
        <w:t>
      N=2670 СКРИНИРОВАНО ПАЦИЕНТОВ</w:t>
      </w:r>
    </w:p>
    <w:bookmarkEnd w:id="2093"/>
    <w:bookmarkStart w:name="z2185" w:id="2094"/>
    <w:p>
      <w:pPr>
        <w:spacing w:after="0"/>
        <w:ind w:left="0"/>
        <w:jc w:val="both"/>
      </w:pPr>
      <w:r>
        <w:rPr>
          <w:rFonts w:ascii="Times New Roman"/>
          <w:b w:val="false"/>
          <w:i w:val="false"/>
          <w:color w:val="000000"/>
          <w:sz w:val="28"/>
        </w:rPr>
        <w:t xml:space="preserve">
       N=1732 РАНДОМИЗИРОВАНО </w:t>
      </w:r>
    </w:p>
    <w:bookmarkEnd w:id="2094"/>
    <w:bookmarkStart w:name="z2186" w:id="2095"/>
    <w:p>
      <w:pPr>
        <w:spacing w:after="0"/>
        <w:ind w:left="0"/>
        <w:jc w:val="both"/>
      </w:pPr>
      <w:r>
        <w:rPr>
          <w:rFonts w:ascii="Times New Roman"/>
          <w:b w:val="false"/>
          <w:i w:val="false"/>
          <w:color w:val="000000"/>
          <w:sz w:val="28"/>
        </w:rPr>
        <w:t xml:space="preserve">
       N=938 ВЫБЫЛИ, ПРИЧИНЫ ВЫБЫТИЯ ПАЦИЕНТОВ ПРИ СКРИНИНГЕ </w:t>
      </w:r>
    </w:p>
    <w:bookmarkEnd w:id="2095"/>
    <w:bookmarkStart w:name="z2187" w:id="2096"/>
    <w:p>
      <w:pPr>
        <w:spacing w:after="0"/>
        <w:ind w:left="0"/>
        <w:jc w:val="both"/>
      </w:pPr>
      <w:r>
        <w:rPr>
          <w:rFonts w:ascii="Times New Roman"/>
          <w:b w:val="false"/>
          <w:i w:val="false"/>
          <w:color w:val="000000"/>
          <w:sz w:val="28"/>
        </w:rPr>
        <w:t>
      N=1724 ПАЦИЕНТЫ, ПОЛУЧАВШИЕ ЛЕЧЕНИЕ В ДВОЙНОМ СЛЕПОМ ДИЗАЙНЕ</w:t>
      </w:r>
    </w:p>
    <w:bookmarkEnd w:id="2096"/>
    <w:bookmarkStart w:name="z2188" w:id="2097"/>
    <w:p>
      <w:pPr>
        <w:spacing w:after="0"/>
        <w:ind w:left="0"/>
        <w:jc w:val="both"/>
      </w:pPr>
      <w:r>
        <w:rPr>
          <w:rFonts w:ascii="Times New Roman"/>
          <w:b w:val="false"/>
          <w:i w:val="false"/>
          <w:color w:val="000000"/>
          <w:sz w:val="28"/>
        </w:rPr>
        <w:t>
      N=8 НЕ ПОЛУЧАЛИ НИКАКОГО ЛЕЧЕНИЯ, ПРИЧИНЫ:</w:t>
      </w:r>
    </w:p>
    <w:bookmarkEnd w:id="2097"/>
    <w:bookmarkStart w:name="z2189" w:id="2098"/>
    <w:p>
      <w:pPr>
        <w:spacing w:after="0"/>
        <w:ind w:left="0"/>
        <w:jc w:val="both"/>
      </w:pPr>
      <w:r>
        <w:rPr>
          <w:rFonts w:ascii="Times New Roman"/>
          <w:b w:val="false"/>
          <w:i w:val="false"/>
          <w:color w:val="000000"/>
          <w:sz w:val="28"/>
        </w:rPr>
        <w:t>
      ___(2)</w:t>
      </w:r>
    </w:p>
    <w:bookmarkEnd w:id="2098"/>
    <w:bookmarkStart w:name="z2190" w:id="2099"/>
    <w:p>
      <w:pPr>
        <w:spacing w:after="0"/>
        <w:ind w:left="0"/>
        <w:jc w:val="both"/>
      </w:pPr>
      <w:r>
        <w:rPr>
          <w:rFonts w:ascii="Times New Roman"/>
          <w:b w:val="false"/>
          <w:i w:val="false"/>
          <w:color w:val="000000"/>
          <w:sz w:val="28"/>
        </w:rPr>
        <w:t>
      ___(4)</w:t>
      </w:r>
    </w:p>
    <w:bookmarkEnd w:id="2099"/>
    <w:bookmarkStart w:name="z2191" w:id="2100"/>
    <w:p>
      <w:pPr>
        <w:spacing w:after="0"/>
        <w:ind w:left="0"/>
        <w:jc w:val="both"/>
      </w:pPr>
      <w:r>
        <w:rPr>
          <w:rFonts w:ascii="Times New Roman"/>
          <w:b w:val="false"/>
          <w:i w:val="false"/>
          <w:color w:val="000000"/>
          <w:sz w:val="28"/>
        </w:rPr>
        <w:t>
      ___(2)</w:t>
      </w:r>
    </w:p>
    <w:bookmarkEnd w:id="2100"/>
    <w:bookmarkStart w:name="z2192" w:id="2101"/>
    <w:p>
      <w:pPr>
        <w:spacing w:after="0"/>
        <w:ind w:left="0"/>
        <w:jc w:val="both"/>
      </w:pPr>
      <w:r>
        <w:rPr>
          <w:rFonts w:ascii="Times New Roman"/>
          <w:b w:val="false"/>
          <w:i w:val="false"/>
          <w:color w:val="000000"/>
          <w:sz w:val="28"/>
        </w:rPr>
        <w:t xml:space="preserve">
      </w:t>
      </w:r>
    </w:p>
    <w:bookmarkEnd w:id="2101"/>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5" w:id="2102"/>
    <w:p>
      <w:pPr>
        <w:spacing w:after="0"/>
        <w:ind w:left="0"/>
        <w:jc w:val="left"/>
      </w:pPr>
      <w:r>
        <w:rPr>
          <w:rFonts w:ascii="Times New Roman"/>
          <w:b/>
          <w:i w:val="false"/>
          <w:color w:val="000000"/>
        </w:rPr>
        <w:t xml:space="preserve"> Список пациентов, досрочно прекративших прием препарата</w:t>
      </w:r>
    </w:p>
    <w:bookmarkEnd w:id="2102"/>
    <w:bookmarkStart w:name="z2196" w:id="2103"/>
    <w:p>
      <w:pPr>
        <w:spacing w:after="0"/>
        <w:ind w:left="0"/>
        <w:jc w:val="both"/>
      </w:pPr>
      <w:r>
        <w:rPr>
          <w:rFonts w:ascii="Times New Roman"/>
          <w:b w:val="false"/>
          <w:i w:val="false"/>
          <w:color w:val="000000"/>
          <w:sz w:val="28"/>
        </w:rPr>
        <w:t>
      ИССЛЕДОВАНИЕ №</w:t>
      </w:r>
    </w:p>
    <w:bookmarkEnd w:id="2103"/>
    <w:bookmarkStart w:name="z2197" w:id="2104"/>
    <w:p>
      <w:pPr>
        <w:spacing w:after="0"/>
        <w:ind w:left="0"/>
        <w:jc w:val="both"/>
      </w:pPr>
      <w:r>
        <w:rPr>
          <w:rFonts w:ascii="Times New Roman"/>
          <w:b w:val="false"/>
          <w:i w:val="false"/>
          <w:color w:val="000000"/>
          <w:sz w:val="28"/>
        </w:rPr>
        <w:t>
      (Идентификация набора данных)</w:t>
      </w:r>
    </w:p>
    <w:bookmarkEnd w:id="2104"/>
    <w:bookmarkStart w:name="z2198" w:id="2105"/>
    <w:p>
      <w:pPr>
        <w:spacing w:after="0"/>
        <w:ind w:left="0"/>
        <w:jc w:val="both"/>
      </w:pPr>
      <w:r>
        <w:rPr>
          <w:rFonts w:ascii="Times New Roman"/>
          <w:b w:val="false"/>
          <w:i w:val="false"/>
          <w:color w:val="000000"/>
          <w:sz w:val="28"/>
        </w:rPr>
        <w:t>
      СПИСОК ПАЦИЕНТОВ, ДОСРОЧНО ВЫБЫВШИХ ИЗ ИССЛЕДОВАНИЯ</w:t>
      </w:r>
    </w:p>
    <w:bookmarkEnd w:id="2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106"/>
          <w:p>
            <w:pPr>
              <w:spacing w:after="20"/>
              <w:ind w:left="20"/>
              <w:jc w:val="both"/>
            </w:pPr>
            <w:r>
              <w:rPr>
                <w:rFonts w:ascii="Times New Roman"/>
                <w:b w:val="false"/>
                <w:i w:val="false"/>
                <w:color w:val="000000"/>
                <w:sz w:val="20"/>
              </w:rPr>
              <w:t>
Причины</w:t>
            </w:r>
          </w:p>
          <w:bookmarkEnd w:id="2106"/>
          <w:p>
            <w:pPr>
              <w:spacing w:after="20"/>
              <w:ind w:left="20"/>
              <w:jc w:val="both"/>
            </w:pPr>
            <w:r>
              <w:rPr>
                <w:rFonts w:ascii="Times New Roman"/>
                <w:b w:val="false"/>
                <w:i w:val="false"/>
                <w:color w:val="000000"/>
                <w:sz w:val="20"/>
              </w:rPr>
              <w:t>
Прекращения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препарат/экспериментальный 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Нежелательная реакция*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Неэффективность препарата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07"/>
          <w:p>
            <w:pPr>
              <w:spacing w:after="20"/>
              <w:ind w:left="20"/>
              <w:jc w:val="both"/>
            </w:pPr>
            <w:r>
              <w:rPr>
                <w:rFonts w:ascii="Times New Roman"/>
                <w:b w:val="false"/>
                <w:i w:val="false"/>
                <w:color w:val="000000"/>
                <w:sz w:val="20"/>
              </w:rPr>
              <w:t>
Причины</w:t>
            </w:r>
          </w:p>
          <w:bookmarkEnd w:id="2107"/>
          <w:p>
            <w:pPr>
              <w:spacing w:after="20"/>
              <w:ind w:left="20"/>
              <w:jc w:val="both"/>
            </w:pPr>
            <w:r>
              <w:rPr>
                <w:rFonts w:ascii="Times New Roman"/>
                <w:b w:val="false"/>
                <w:i w:val="false"/>
                <w:color w:val="000000"/>
                <w:sz w:val="20"/>
              </w:rPr>
              <w:t>
Прекращения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108"/>
          <w:p>
            <w:pPr>
              <w:spacing w:after="20"/>
              <w:ind w:left="20"/>
              <w:jc w:val="both"/>
            </w:pPr>
            <w:r>
              <w:rPr>
                <w:rFonts w:ascii="Times New Roman"/>
                <w:b w:val="false"/>
                <w:i w:val="false"/>
                <w:color w:val="000000"/>
                <w:sz w:val="20"/>
              </w:rPr>
              <w:t>
Последний</w:t>
            </w:r>
          </w:p>
          <w:bookmarkEnd w:id="2108"/>
          <w:p>
            <w:pPr>
              <w:spacing w:after="20"/>
              <w:ind w:left="20"/>
              <w:jc w:val="both"/>
            </w:pPr>
            <w:r>
              <w:rPr>
                <w:rFonts w:ascii="Times New Roman"/>
                <w:b w:val="false"/>
                <w:i w:val="false"/>
                <w:color w:val="000000"/>
                <w:sz w:val="20"/>
              </w:rPr>
              <w:t>
визит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Сопутствующее лечение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109"/>
          <w:p>
            <w:pPr>
              <w:spacing w:after="20"/>
              <w:ind w:left="20"/>
              <w:jc w:val="both"/>
            </w:pPr>
            <w:r>
              <w:rPr>
                <w:rFonts w:ascii="Times New Roman"/>
                <w:b w:val="false"/>
                <w:i w:val="false"/>
                <w:color w:val="000000"/>
                <w:sz w:val="20"/>
              </w:rPr>
              <w:t>
Причины</w:t>
            </w:r>
          </w:p>
          <w:bookmarkEnd w:id="2109"/>
          <w:p>
            <w:pPr>
              <w:spacing w:after="20"/>
              <w:ind w:left="20"/>
              <w:jc w:val="both"/>
            </w:pPr>
            <w:r>
              <w:rPr>
                <w:rFonts w:ascii="Times New Roman"/>
                <w:b w:val="false"/>
                <w:i w:val="false"/>
                <w:color w:val="000000"/>
                <w:sz w:val="20"/>
              </w:rPr>
              <w:t>
Прекращения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3" w:id="2110"/>
    <w:p>
      <w:pPr>
        <w:spacing w:after="0"/>
        <w:ind w:left="0"/>
        <w:jc w:val="both"/>
      </w:pPr>
      <w:r>
        <w:rPr>
          <w:rFonts w:ascii="Times New Roman"/>
          <w:b w:val="false"/>
          <w:i w:val="false"/>
          <w:color w:val="000000"/>
          <w:sz w:val="28"/>
        </w:rPr>
        <w:t xml:space="preserve">
      *Специфическая реакция, явившаяся причиной прекращения приема </w:t>
      </w:r>
    </w:p>
    <w:bookmarkEnd w:id="2110"/>
    <w:bookmarkStart w:name="z2204" w:id="2111"/>
    <w:p>
      <w:pPr>
        <w:spacing w:after="0"/>
        <w:ind w:left="0"/>
        <w:jc w:val="both"/>
      </w:pPr>
      <w:r>
        <w:rPr>
          <w:rFonts w:ascii="Times New Roman"/>
          <w:b w:val="false"/>
          <w:i w:val="false"/>
          <w:color w:val="000000"/>
          <w:sz w:val="28"/>
        </w:rPr>
        <w:t>
      (Повторить для других центров)</w:t>
      </w:r>
    </w:p>
    <w:bookmarkEnd w:id="2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7" w:id="2112"/>
    <w:p>
      <w:pPr>
        <w:spacing w:after="0"/>
        <w:ind w:left="0"/>
        <w:jc w:val="left"/>
      </w:pPr>
      <w:r>
        <w:rPr>
          <w:rFonts w:ascii="Times New Roman"/>
          <w:b/>
          <w:i w:val="false"/>
          <w:color w:val="000000"/>
        </w:rPr>
        <w:t xml:space="preserve"> Список пациентов и наблюдений, исключенных из анализа эффективности</w:t>
      </w:r>
    </w:p>
    <w:bookmarkEnd w:id="2112"/>
    <w:bookmarkStart w:name="z2208" w:id="2113"/>
    <w:p>
      <w:pPr>
        <w:spacing w:after="0"/>
        <w:ind w:left="0"/>
        <w:jc w:val="both"/>
      </w:pPr>
      <w:r>
        <w:rPr>
          <w:rFonts w:ascii="Times New Roman"/>
          <w:b w:val="false"/>
          <w:i w:val="false"/>
          <w:color w:val="000000"/>
          <w:sz w:val="28"/>
        </w:rPr>
        <w:t>
      ИССЛЕДОВАНИЕ №</w:t>
      </w:r>
    </w:p>
    <w:bookmarkEnd w:id="2113"/>
    <w:bookmarkStart w:name="z2209" w:id="2114"/>
    <w:p>
      <w:pPr>
        <w:spacing w:after="0"/>
        <w:ind w:left="0"/>
        <w:jc w:val="both"/>
      </w:pPr>
      <w:r>
        <w:rPr>
          <w:rFonts w:ascii="Times New Roman"/>
          <w:b w:val="false"/>
          <w:i w:val="false"/>
          <w:color w:val="000000"/>
          <w:sz w:val="28"/>
        </w:rPr>
        <w:t>
      (Идентификация набора данных)</w:t>
      </w:r>
    </w:p>
    <w:bookmarkEnd w:id="2114"/>
    <w:bookmarkStart w:name="z2210" w:id="2115"/>
    <w:p>
      <w:pPr>
        <w:spacing w:after="0"/>
        <w:ind w:left="0"/>
        <w:jc w:val="both"/>
      </w:pPr>
      <w:r>
        <w:rPr>
          <w:rFonts w:ascii="Times New Roman"/>
          <w:b w:val="false"/>
          <w:i w:val="false"/>
          <w:color w:val="000000"/>
          <w:sz w:val="28"/>
        </w:rPr>
        <w:t>
      СПИСОК ПАЦИЕНТОВ И НАБЛЮДЕНИЙ, ИСКЛЮЧЕННЫХ ИЗ АНАЛИЗА ЭФФЕКТИВНОСТИ</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116"/>
          <w:p>
            <w:pPr>
              <w:spacing w:after="20"/>
              <w:ind w:left="20"/>
              <w:jc w:val="both"/>
            </w:pPr>
            <w:r>
              <w:rPr>
                <w:rFonts w:ascii="Times New Roman"/>
                <w:b w:val="false"/>
                <w:i w:val="false"/>
                <w:color w:val="000000"/>
                <w:sz w:val="20"/>
              </w:rPr>
              <w:t>
Исключен из</w:t>
            </w:r>
          </w:p>
          <w:bookmarkEnd w:id="2116"/>
          <w:p>
            <w:pPr>
              <w:spacing w:after="20"/>
              <w:ind w:left="20"/>
              <w:jc w:val="both"/>
            </w:pPr>
            <w:r>
              <w:rPr>
                <w:rFonts w:ascii="Times New Roman"/>
                <w:b w:val="false"/>
                <w:i w:val="false"/>
                <w:color w:val="000000"/>
                <w:sz w:val="20"/>
              </w:rPr>
              <w:t>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117"/>
          <w:p>
            <w:pPr>
              <w:spacing w:after="20"/>
              <w:ind w:left="20"/>
              <w:jc w:val="both"/>
            </w:pPr>
            <w:r>
              <w:rPr>
                <w:rFonts w:ascii="Times New Roman"/>
                <w:b w:val="false"/>
                <w:i w:val="false"/>
                <w:color w:val="000000"/>
                <w:sz w:val="20"/>
              </w:rPr>
              <w:t>
Причины</w:t>
            </w:r>
          </w:p>
          <w:bookmarkEnd w:id="2117"/>
          <w:p>
            <w:pPr>
              <w:spacing w:after="20"/>
              <w:ind w:left="20"/>
              <w:jc w:val="both"/>
            </w:pPr>
            <w:r>
              <w:rPr>
                <w:rFonts w:ascii="Times New Roman"/>
                <w:b w:val="false"/>
                <w:i w:val="false"/>
                <w:color w:val="000000"/>
                <w:sz w:val="20"/>
              </w:rPr>
              <w:t>
прекращения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препарат/экспериментальный препарат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118"/>
          <w:p>
            <w:pPr>
              <w:spacing w:after="20"/>
              <w:ind w:left="20"/>
              <w:jc w:val="both"/>
            </w:pPr>
            <w:r>
              <w:rPr>
                <w:rFonts w:ascii="Times New Roman"/>
                <w:b w:val="false"/>
                <w:i w:val="false"/>
                <w:color w:val="000000"/>
                <w:sz w:val="20"/>
              </w:rPr>
              <w:t>
Исключен из</w:t>
            </w:r>
          </w:p>
          <w:bookmarkEnd w:id="2118"/>
          <w:p>
            <w:pPr>
              <w:spacing w:after="20"/>
              <w:ind w:left="20"/>
              <w:jc w:val="both"/>
            </w:pPr>
            <w:r>
              <w:rPr>
                <w:rFonts w:ascii="Times New Roman"/>
                <w:b w:val="false"/>
                <w:i w:val="false"/>
                <w:color w:val="000000"/>
                <w:sz w:val="20"/>
              </w:rPr>
              <w:t>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119"/>
          <w:p>
            <w:pPr>
              <w:spacing w:after="20"/>
              <w:ind w:left="20"/>
              <w:jc w:val="both"/>
            </w:pPr>
            <w:r>
              <w:rPr>
                <w:rFonts w:ascii="Times New Roman"/>
                <w:b w:val="false"/>
                <w:i w:val="false"/>
                <w:color w:val="000000"/>
                <w:sz w:val="20"/>
              </w:rPr>
              <w:t>
Причины</w:t>
            </w:r>
          </w:p>
          <w:bookmarkEnd w:id="2119"/>
          <w:p>
            <w:pPr>
              <w:spacing w:after="20"/>
              <w:ind w:left="20"/>
              <w:jc w:val="both"/>
            </w:pPr>
            <w:r>
              <w:rPr>
                <w:rFonts w:ascii="Times New Roman"/>
                <w:b w:val="false"/>
                <w:i w:val="false"/>
                <w:color w:val="000000"/>
                <w:sz w:val="20"/>
              </w:rPr>
              <w:t>
прекращения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120"/>
          <w:p>
            <w:pPr>
              <w:spacing w:after="20"/>
              <w:ind w:left="20"/>
              <w:jc w:val="both"/>
            </w:pPr>
            <w:r>
              <w:rPr>
                <w:rFonts w:ascii="Times New Roman"/>
                <w:b w:val="false"/>
                <w:i w:val="false"/>
                <w:color w:val="000000"/>
                <w:sz w:val="20"/>
              </w:rPr>
              <w:t>
Исключен из</w:t>
            </w:r>
          </w:p>
          <w:bookmarkEnd w:id="2120"/>
          <w:p>
            <w:pPr>
              <w:spacing w:after="20"/>
              <w:ind w:left="20"/>
              <w:jc w:val="both"/>
            </w:pPr>
            <w:r>
              <w:rPr>
                <w:rFonts w:ascii="Times New Roman"/>
                <w:b w:val="false"/>
                <w:i w:val="false"/>
                <w:color w:val="000000"/>
                <w:sz w:val="20"/>
              </w:rPr>
              <w:t>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121"/>
          <w:p>
            <w:pPr>
              <w:spacing w:after="20"/>
              <w:ind w:left="20"/>
              <w:jc w:val="both"/>
            </w:pPr>
            <w:r>
              <w:rPr>
                <w:rFonts w:ascii="Times New Roman"/>
                <w:b w:val="false"/>
                <w:i w:val="false"/>
                <w:color w:val="000000"/>
                <w:sz w:val="20"/>
              </w:rPr>
              <w:t>
Причины</w:t>
            </w:r>
          </w:p>
          <w:bookmarkEnd w:id="2121"/>
          <w:p>
            <w:pPr>
              <w:spacing w:after="20"/>
              <w:ind w:left="20"/>
              <w:jc w:val="both"/>
            </w:pPr>
            <w:r>
              <w:rPr>
                <w:rFonts w:ascii="Times New Roman"/>
                <w:b w:val="false"/>
                <w:i w:val="false"/>
                <w:color w:val="000000"/>
                <w:sz w:val="20"/>
              </w:rPr>
              <w:t>
прекращения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7" w:id="2122"/>
    <w:p>
      <w:pPr>
        <w:spacing w:after="0"/>
        <w:ind w:left="0"/>
        <w:jc w:val="both"/>
      </w:pPr>
      <w:r>
        <w:rPr>
          <w:rFonts w:ascii="Times New Roman"/>
          <w:b w:val="false"/>
          <w:i w:val="false"/>
          <w:color w:val="000000"/>
          <w:sz w:val="28"/>
        </w:rPr>
        <w:t>
      (Повторить для других центров)</w:t>
      </w:r>
    </w:p>
    <w:bookmarkEnd w:id="2122"/>
    <w:bookmarkStart w:name="z2218" w:id="2123"/>
    <w:p>
      <w:pPr>
        <w:spacing w:after="0"/>
        <w:ind w:left="0"/>
        <w:jc w:val="both"/>
      </w:pPr>
      <w:r>
        <w:rPr>
          <w:rFonts w:ascii="Times New Roman"/>
          <w:b w:val="false"/>
          <w:i w:val="false"/>
          <w:color w:val="000000"/>
          <w:sz w:val="28"/>
        </w:rPr>
        <w:t>
      Справочные таблицы</w:t>
      </w:r>
    </w:p>
    <w:bookmarkEnd w:id="2123"/>
    <w:bookmarkStart w:name="z2219" w:id="2124"/>
    <w:p>
      <w:pPr>
        <w:spacing w:after="0"/>
        <w:ind w:left="0"/>
        <w:jc w:val="both"/>
      </w:pPr>
      <w:r>
        <w:rPr>
          <w:rFonts w:ascii="Times New Roman"/>
          <w:b w:val="false"/>
          <w:i w:val="false"/>
          <w:color w:val="000000"/>
          <w:sz w:val="28"/>
        </w:rPr>
        <w:t>
      Краткое обобщение:</w:t>
      </w:r>
    </w:p>
    <w:bookmarkEnd w:id="2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2" w:id="2125"/>
    <w:p>
      <w:pPr>
        <w:spacing w:after="0"/>
        <w:ind w:left="0"/>
        <w:jc w:val="left"/>
      </w:pPr>
      <w:r>
        <w:rPr>
          <w:rFonts w:ascii="Times New Roman"/>
          <w:b/>
          <w:i w:val="false"/>
          <w:color w:val="000000"/>
        </w:rPr>
        <w:t xml:space="preserve"> Количество пациентов и наблюдений, исключенных из анализа эффективности</w:t>
      </w:r>
    </w:p>
    <w:bookmarkEnd w:id="2125"/>
    <w:bookmarkStart w:name="z2223" w:id="2126"/>
    <w:p>
      <w:pPr>
        <w:spacing w:after="0"/>
        <w:ind w:left="0"/>
        <w:jc w:val="both"/>
      </w:pPr>
      <w:r>
        <w:rPr>
          <w:rFonts w:ascii="Times New Roman"/>
          <w:b w:val="false"/>
          <w:i w:val="false"/>
          <w:color w:val="000000"/>
          <w:sz w:val="28"/>
        </w:rPr>
        <w:t>
      ИССЛЕДОВАНИЕ №</w:t>
      </w:r>
    </w:p>
    <w:bookmarkEnd w:id="2126"/>
    <w:bookmarkStart w:name="z2224" w:id="2127"/>
    <w:p>
      <w:pPr>
        <w:spacing w:after="0"/>
        <w:ind w:left="0"/>
        <w:jc w:val="both"/>
      </w:pPr>
      <w:r>
        <w:rPr>
          <w:rFonts w:ascii="Times New Roman"/>
          <w:b w:val="false"/>
          <w:i w:val="false"/>
          <w:color w:val="000000"/>
          <w:sz w:val="28"/>
        </w:rPr>
        <w:t>
      (Идентификация набора данных)</w:t>
      </w:r>
    </w:p>
    <w:bookmarkEnd w:id="2127"/>
    <w:bookmarkStart w:name="z2225" w:id="2128"/>
    <w:p>
      <w:pPr>
        <w:spacing w:after="0"/>
        <w:ind w:left="0"/>
        <w:jc w:val="both"/>
      </w:pPr>
      <w:r>
        <w:rPr>
          <w:rFonts w:ascii="Times New Roman"/>
          <w:b w:val="false"/>
          <w:i w:val="false"/>
          <w:color w:val="000000"/>
          <w:sz w:val="28"/>
        </w:rPr>
        <w:t>
      ЧИСЛО ПАЦИЕНТОВ, ИСКЛЮЧЕННЫХ ИЗ АНАЛИЗА ЭФФЕКТИВНОСТИ </w:t>
      </w:r>
    </w:p>
    <w:bookmarkEnd w:id="2128"/>
    <w:bookmarkStart w:name="z2226" w:id="2129"/>
    <w:p>
      <w:pPr>
        <w:spacing w:after="0"/>
        <w:ind w:left="0"/>
        <w:jc w:val="both"/>
      </w:pPr>
      <w:r>
        <w:rPr>
          <w:rFonts w:ascii="Times New Roman"/>
          <w:b w:val="false"/>
          <w:i w:val="false"/>
          <w:color w:val="000000"/>
          <w:sz w:val="28"/>
        </w:rPr>
        <w:t xml:space="preserve">
      Исследуемый препарат/экспериментальный препарат N =  </w:t>
      </w:r>
    </w:p>
    <w:bookmarkEnd w:id="2129"/>
    <w:bookmarkStart w:name="z2227" w:id="2130"/>
    <w:p>
      <w:pPr>
        <w:spacing w:after="0"/>
        <w:ind w:left="0"/>
        <w:jc w:val="both"/>
      </w:pPr>
      <w:r>
        <w:rPr>
          <w:rFonts w:ascii="Times New Roman"/>
          <w:b w:val="false"/>
          <w:i w:val="false"/>
          <w:color w:val="000000"/>
          <w:sz w:val="28"/>
        </w:rPr>
        <w:t xml:space="preserve">
      Неделя  </w:t>
      </w:r>
    </w:p>
    <w:bookmarkEnd w:id="2130"/>
    <w:bookmarkStart w:name="z2228" w:id="2131"/>
    <w:p>
      <w:pPr>
        <w:spacing w:after="0"/>
        <w:ind w:left="0"/>
        <w:jc w:val="both"/>
      </w:pPr>
      <w:r>
        <w:rPr>
          <w:rFonts w:ascii="Times New Roman"/>
          <w:b w:val="false"/>
          <w:i w:val="false"/>
          <w:color w:val="000000"/>
          <w:sz w:val="28"/>
        </w:rPr>
        <w:t xml:space="preserve">
      Причина 1 2 4 8  </w:t>
      </w:r>
    </w:p>
    <w:bookmarkEnd w:id="2131"/>
    <w:bookmarkStart w:name="z2229" w:id="2132"/>
    <w:p>
      <w:pPr>
        <w:spacing w:after="0"/>
        <w:ind w:left="0"/>
        <w:jc w:val="both"/>
      </w:pPr>
      <w:r>
        <w:rPr>
          <w:rFonts w:ascii="Times New Roman"/>
          <w:b w:val="false"/>
          <w:i w:val="false"/>
          <w:color w:val="000000"/>
          <w:sz w:val="28"/>
        </w:rPr>
        <w:t xml:space="preserve">
      ______ ______ ______ ______ ______ </w:t>
      </w:r>
    </w:p>
    <w:bookmarkEnd w:id="2132"/>
    <w:bookmarkStart w:name="z2230" w:id="2133"/>
    <w:p>
      <w:pPr>
        <w:spacing w:after="0"/>
        <w:ind w:left="0"/>
        <w:jc w:val="both"/>
      </w:pPr>
      <w:r>
        <w:rPr>
          <w:rFonts w:ascii="Times New Roman"/>
          <w:b w:val="false"/>
          <w:i w:val="false"/>
          <w:color w:val="000000"/>
          <w:sz w:val="28"/>
        </w:rPr>
        <w:t xml:space="preserve">
       ______ ______ ______ ______ ______  </w:t>
      </w:r>
    </w:p>
    <w:bookmarkEnd w:id="2133"/>
    <w:bookmarkStart w:name="z2231" w:id="2134"/>
    <w:p>
      <w:pPr>
        <w:spacing w:after="0"/>
        <w:ind w:left="0"/>
        <w:jc w:val="both"/>
      </w:pPr>
      <w:r>
        <w:rPr>
          <w:rFonts w:ascii="Times New Roman"/>
          <w:b w:val="false"/>
          <w:i w:val="false"/>
          <w:color w:val="000000"/>
          <w:sz w:val="28"/>
        </w:rPr>
        <w:t xml:space="preserve">
      Итого   </w:t>
      </w:r>
    </w:p>
    <w:bookmarkEnd w:id="2134"/>
    <w:bookmarkStart w:name="z2232" w:id="2135"/>
    <w:p>
      <w:pPr>
        <w:spacing w:after="0"/>
        <w:ind w:left="0"/>
        <w:jc w:val="both"/>
      </w:pPr>
      <w:r>
        <w:rPr>
          <w:rFonts w:ascii="Times New Roman"/>
          <w:b w:val="false"/>
          <w:i w:val="false"/>
          <w:color w:val="000000"/>
          <w:sz w:val="28"/>
        </w:rPr>
        <w:t>
      _______ ______ ______ ______ ____</w:t>
      </w:r>
    </w:p>
    <w:bookmarkEnd w:id="2135"/>
    <w:bookmarkStart w:name="z2233" w:id="2136"/>
    <w:p>
      <w:pPr>
        <w:spacing w:after="0"/>
        <w:ind w:left="0"/>
        <w:jc w:val="both"/>
      </w:pPr>
      <w:r>
        <w:rPr>
          <w:rFonts w:ascii="Times New Roman"/>
          <w:b w:val="false"/>
          <w:i w:val="false"/>
          <w:color w:val="000000"/>
          <w:sz w:val="28"/>
        </w:rPr>
        <w:t>
      Аналогичные таблицы подготавливаются для других групп лечения.</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Структуре и </w:t>
            </w:r>
            <w:r>
              <w:br/>
            </w:r>
            <w:r>
              <w:rPr>
                <w:rFonts w:ascii="Times New Roman"/>
                <w:b w:val="false"/>
                <w:i w:val="false"/>
                <w:color w:val="000000"/>
                <w:sz w:val="20"/>
              </w:rPr>
              <w:t xml:space="preserve">содержанию отчета о </w:t>
            </w:r>
            <w:r>
              <w:br/>
            </w:r>
            <w:r>
              <w:rPr>
                <w:rFonts w:ascii="Times New Roman"/>
                <w:b w:val="false"/>
                <w:i w:val="false"/>
                <w:color w:val="000000"/>
                <w:sz w:val="20"/>
              </w:rPr>
              <w:t xml:space="preserve">клиническом исследовании </w:t>
            </w:r>
            <w:r>
              <w:br/>
            </w:r>
            <w:r>
              <w:rPr>
                <w:rFonts w:ascii="Times New Roman"/>
                <w:b w:val="false"/>
                <w:i w:val="false"/>
                <w:color w:val="000000"/>
                <w:sz w:val="20"/>
              </w:rPr>
              <w:t>Стандарта надлежащей</w:t>
            </w:r>
            <w:r>
              <w:br/>
            </w:r>
            <w:r>
              <w:rPr>
                <w:rFonts w:ascii="Times New Roman"/>
                <w:b w:val="false"/>
                <w:i w:val="false"/>
                <w:color w:val="000000"/>
                <w:sz w:val="20"/>
              </w:rPr>
              <w:t>клинической практики (GCP) </w:t>
            </w:r>
          </w:p>
        </w:tc>
      </w:tr>
    </w:tbl>
    <w:bookmarkStart w:name="z2235" w:id="2137"/>
    <w:p>
      <w:pPr>
        <w:spacing w:after="0"/>
        <w:ind w:left="0"/>
        <w:jc w:val="left"/>
      </w:pPr>
      <w:r>
        <w:rPr>
          <w:rFonts w:ascii="Times New Roman"/>
          <w:b/>
          <w:i w:val="false"/>
          <w:color w:val="000000"/>
        </w:rPr>
        <w:t xml:space="preserve"> Статистические аспекты и методы</w:t>
      </w:r>
    </w:p>
    <w:bookmarkEnd w:id="2137"/>
    <w:bookmarkStart w:name="z2236" w:id="2138"/>
    <w:p>
      <w:pPr>
        <w:spacing w:after="0"/>
        <w:ind w:left="0"/>
        <w:jc w:val="both"/>
      </w:pPr>
      <w:r>
        <w:rPr>
          <w:rFonts w:ascii="Times New Roman"/>
          <w:b w:val="false"/>
          <w:i w:val="false"/>
          <w:color w:val="000000"/>
          <w:sz w:val="28"/>
        </w:rPr>
        <w:t>
      1. В приложении статистические аспекты представляется подробная информация о статистическом анализе, выполненном по каждой первичной переменной эффективности.</w:t>
      </w:r>
    </w:p>
    <w:bookmarkEnd w:id="2138"/>
    <w:bookmarkStart w:name="z2237" w:id="2139"/>
    <w:p>
      <w:pPr>
        <w:spacing w:after="0"/>
        <w:ind w:left="0"/>
        <w:jc w:val="both"/>
      </w:pPr>
      <w:r>
        <w:rPr>
          <w:rFonts w:ascii="Times New Roman"/>
          <w:b w:val="false"/>
          <w:i w:val="false"/>
          <w:color w:val="000000"/>
          <w:sz w:val="28"/>
        </w:rPr>
        <w:t>
      Отчетные данные включают по крайней мере следующую информацию:</w:t>
      </w:r>
    </w:p>
    <w:bookmarkEnd w:id="2139"/>
    <w:bookmarkStart w:name="z2238" w:id="2140"/>
    <w:p>
      <w:pPr>
        <w:spacing w:after="0"/>
        <w:ind w:left="0"/>
        <w:jc w:val="both"/>
      </w:pPr>
      <w:r>
        <w:rPr>
          <w:rFonts w:ascii="Times New Roman"/>
          <w:b w:val="false"/>
          <w:i w:val="false"/>
          <w:color w:val="000000"/>
          <w:sz w:val="28"/>
        </w:rPr>
        <w:t>
      1) статистическая модель, лежащая в основе анализа, описывается точно и полно с использованием ссылок;</w:t>
      </w:r>
    </w:p>
    <w:bookmarkEnd w:id="2140"/>
    <w:bookmarkStart w:name="z2239" w:id="2141"/>
    <w:p>
      <w:pPr>
        <w:spacing w:after="0"/>
        <w:ind w:left="0"/>
        <w:jc w:val="both"/>
      </w:pPr>
      <w:r>
        <w:rPr>
          <w:rFonts w:ascii="Times New Roman"/>
          <w:b w:val="false"/>
          <w:i w:val="false"/>
          <w:color w:val="000000"/>
          <w:sz w:val="28"/>
        </w:rPr>
        <w:t>
      2) формулировка проверяемого клинического предположения, сформулированная в точных статистических терминах, в виде нулевой и альтернативной гипотезы;</w:t>
      </w:r>
    </w:p>
    <w:bookmarkEnd w:id="2141"/>
    <w:bookmarkStart w:name="z2240" w:id="2142"/>
    <w:p>
      <w:pPr>
        <w:spacing w:after="0"/>
        <w:ind w:left="0"/>
        <w:jc w:val="both"/>
      </w:pPr>
      <w:r>
        <w:rPr>
          <w:rFonts w:ascii="Times New Roman"/>
          <w:b w:val="false"/>
          <w:i w:val="false"/>
          <w:color w:val="000000"/>
          <w:sz w:val="28"/>
        </w:rPr>
        <w:t>
      3) статистические методы, применяемые для оценки эффективности, расчета доверительных интервалов с привидением списка литературы;</w:t>
      </w:r>
    </w:p>
    <w:bookmarkEnd w:id="2142"/>
    <w:bookmarkStart w:name="z2241" w:id="2143"/>
    <w:p>
      <w:pPr>
        <w:spacing w:after="0"/>
        <w:ind w:left="0"/>
        <w:jc w:val="both"/>
      </w:pPr>
      <w:r>
        <w:rPr>
          <w:rFonts w:ascii="Times New Roman"/>
          <w:b w:val="false"/>
          <w:i w:val="false"/>
          <w:color w:val="000000"/>
          <w:sz w:val="28"/>
        </w:rPr>
        <w:t>
      4) допущения, лежащие в основе статистических методов. Следует показать, насколько статистически обосновано имеющиеся данные удовлетворяют основным предположениям, особенно при подтверждении обоснования сделанного вывода. Если большая часть статистического анализа выполнена спонсором, отражаются какие виды анализа были запланированы до получения данных исследования и, если таковых не было, следует указать, как удалось предотвратить системные ошибки в выборе конкретного анализа, используемого как основание для оценки выводов. Особенно важно в случае любого анализа подгрупп, поскольку, если такие анализы заранее не запланированы, они обычно не обеспечивают адекватной основы для окончательных выводов.</w:t>
      </w:r>
    </w:p>
    <w:bookmarkEnd w:id="2143"/>
    <w:bookmarkStart w:name="z2242" w:id="2144"/>
    <w:p>
      <w:pPr>
        <w:spacing w:after="0"/>
        <w:ind w:left="0"/>
        <w:jc w:val="both"/>
      </w:pPr>
      <w:r>
        <w:rPr>
          <w:rFonts w:ascii="Times New Roman"/>
          <w:b w:val="false"/>
          <w:i w:val="false"/>
          <w:color w:val="000000"/>
          <w:sz w:val="28"/>
        </w:rPr>
        <w:t>
      В случае если было выполнено преобразование данных, предоставляется обоснование выбора вида преобразования данных наряду с интерпретацией оценки эффективности лечения, основанного на преобразованных данных.</w:t>
      </w:r>
    </w:p>
    <w:bookmarkEnd w:id="2144"/>
    <w:bookmarkStart w:name="z2243" w:id="2145"/>
    <w:p>
      <w:pPr>
        <w:spacing w:after="0"/>
        <w:ind w:left="0"/>
        <w:jc w:val="both"/>
      </w:pPr>
      <w:r>
        <w:rPr>
          <w:rFonts w:ascii="Times New Roman"/>
          <w:b w:val="false"/>
          <w:i w:val="false"/>
          <w:color w:val="000000"/>
          <w:sz w:val="28"/>
        </w:rPr>
        <w:t>
      Обсуждение целесообразности выбора статистической процедуры и достоверности статистических выводов поможет эксперту уполномоченного органа по оценке статистической части отчета принять решение о том, требуется ли воспроизводить анализ данных для проверки.</w:t>
      </w:r>
    </w:p>
    <w:bookmarkEnd w:id="2145"/>
    <w:bookmarkStart w:name="z2244" w:id="2146"/>
    <w:p>
      <w:pPr>
        <w:spacing w:after="0"/>
        <w:ind w:left="0"/>
        <w:jc w:val="both"/>
      </w:pPr>
      <w:r>
        <w:rPr>
          <w:rFonts w:ascii="Times New Roman"/>
          <w:b w:val="false"/>
          <w:i w:val="false"/>
          <w:color w:val="000000"/>
          <w:sz w:val="28"/>
        </w:rPr>
        <w:t>
      5) тестовая статистика, лежащая в основе критерия, выборочное распределение тестовой статистики по нулевой гипотезе, значение тестовой статистики, уровень значимости (p-значение), и промежуточные итоговые данные представляются в формате, который позволит эксперту уполномоченного органа по оценке статистической части отчета быстро и качественно проверить результаты анализов. Указываются, какие значения критерия значимости (р-значения) - односторонние или двусторонние выбраны для анализа. При этом предоставляется обоснование для использования одностороннего критерия.</w:t>
      </w:r>
    </w:p>
    <w:bookmarkEnd w:id="2146"/>
    <w:bookmarkStart w:name="z2245" w:id="2147"/>
    <w:p>
      <w:pPr>
        <w:spacing w:after="0"/>
        <w:ind w:left="0"/>
        <w:jc w:val="both"/>
      </w:pPr>
      <w:r>
        <w:rPr>
          <w:rFonts w:ascii="Times New Roman"/>
          <w:b w:val="false"/>
          <w:i w:val="false"/>
          <w:color w:val="000000"/>
          <w:sz w:val="28"/>
        </w:rPr>
        <w:t>
      В отчете с использованием двустороннего t-критерия приводятся значения t-статистики, связанных с ним степеней свободы, p-значения, размер каждой из двух сравниваемых выборок, значения среднего и дисперсии для каждой из выборок и суммарной оценки общей дисперсии. В отчете по мультицентровому исследованию с использованием техники дисперсионного анализа приводятся, как минимум, таблица дисперсионного анализа с показателями для центра, лечения, их взаимодействия, остаточной ошибки и общего итога. При перекрестном дизайне в отчете указывается информация относительно статистик по последовательностям, пациентам в последовательностях, исходным данным в начале каждого периода, в периоде отмывки и его продолжительности, выбывании пациентов в течение каждого периода, лечения, периодов, лечения по периоду взаимодействия, ошибки и общем итоге. Для каждого источника вариации помимо общего итога, таблица включает степени свободы, сумму квадратов, среднее квадратичное отклонение, соответствующий F-критерий, p-значение, и математическое ожидание среднего квадратичного отклонения.</w:t>
      </w:r>
    </w:p>
    <w:bookmarkEnd w:id="2147"/>
    <w:bookmarkStart w:name="z2246" w:id="2148"/>
    <w:p>
      <w:pPr>
        <w:spacing w:after="0"/>
        <w:ind w:left="0"/>
        <w:jc w:val="both"/>
      </w:pPr>
      <w:r>
        <w:rPr>
          <w:rFonts w:ascii="Times New Roman"/>
          <w:b w:val="false"/>
          <w:i w:val="false"/>
          <w:color w:val="000000"/>
          <w:sz w:val="28"/>
        </w:rPr>
        <w:t>
      Промежуточные итоговые данные отображают демографические данные, а также данные об ответной реакции, усредненные или иным способом обобщенные для каждой комбинации условий относительно вида лечения (или другие расчетные характеристики, такие как последовательность) в каждом периоде наблюдения.</w:t>
      </w:r>
    </w:p>
    <w:bookmarkEnd w:id="2148"/>
    <w:bookmarkStart w:name="z2247" w:id="2149"/>
    <w:p>
      <w:pPr>
        <w:spacing w:after="0"/>
        <w:ind w:left="0"/>
        <w:jc w:val="both"/>
      </w:pPr>
      <w:r>
        <w:rPr>
          <w:rFonts w:ascii="Times New Roman"/>
          <w:b w:val="false"/>
          <w:i w:val="false"/>
          <w:color w:val="000000"/>
          <w:sz w:val="28"/>
        </w:rPr>
        <w:t>
      2. Формат и технические данные, которые представляются по требованию экспертов уполномоченных органов, оценивающих статистику</w:t>
      </w:r>
    </w:p>
    <w:bookmarkEnd w:id="2149"/>
    <w:bookmarkStart w:name="z2248" w:id="2150"/>
    <w:p>
      <w:pPr>
        <w:spacing w:after="0"/>
        <w:ind w:left="0"/>
        <w:jc w:val="both"/>
      </w:pPr>
      <w:r>
        <w:rPr>
          <w:rFonts w:ascii="Times New Roman"/>
          <w:b w:val="false"/>
          <w:i w:val="false"/>
          <w:color w:val="000000"/>
          <w:sz w:val="28"/>
        </w:rPr>
        <w:t>
      В отчете каждого контролируемого клинического исследования, указываются списки данных (таблицы) о соответствующих данных пациентов, включенных (отобранных) спонсором для статистического анализа и таблиц для обоснования заключений и основных выводов. Эти списки данных необходимы для оценки статистической части отчета уполномоченным органом. Спонсора также могут попросить предоставить эти списки данных по пациентам в виде пригодном для компьютерного считывания.</w:t>
      </w:r>
    </w:p>
    <w:bookmarkEnd w:id="2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надлежащей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клинической практики (GCP) </w:t>
            </w:r>
          </w:p>
        </w:tc>
      </w:tr>
    </w:tbl>
    <w:bookmarkStart w:name="z2252" w:id="2151"/>
    <w:p>
      <w:pPr>
        <w:spacing w:after="0"/>
        <w:ind w:left="0"/>
        <w:jc w:val="left"/>
      </w:pPr>
      <w:r>
        <w:rPr>
          <w:rFonts w:ascii="Times New Roman"/>
          <w:b/>
          <w:i w:val="false"/>
          <w:color w:val="000000"/>
        </w:rPr>
        <w:t xml:space="preserve"> Перечень поправок к разделам клинического исследования, которые  рассматриваются как существенные</w:t>
      </w:r>
    </w:p>
    <w:bookmarkEnd w:id="2151"/>
    <w:bookmarkStart w:name="z2253" w:id="2152"/>
    <w:p>
      <w:pPr>
        <w:spacing w:after="0"/>
        <w:ind w:left="0"/>
        <w:jc w:val="both"/>
      </w:pPr>
      <w:r>
        <w:rPr>
          <w:rFonts w:ascii="Times New Roman"/>
          <w:b w:val="false"/>
          <w:i w:val="false"/>
          <w:color w:val="000000"/>
          <w:sz w:val="28"/>
        </w:rPr>
        <w:t>
      1. В случае внесения изменений в разделы протокола клинического исследования Спонсор для рассмотрения поправки в качестве существенной дает оценку значимости поправки в отношении риска и ожидаемой пользы для пациента исследования, а также научной ценности исследования.</w:t>
      </w:r>
    </w:p>
    <w:bookmarkEnd w:id="2152"/>
    <w:bookmarkStart w:name="z2254" w:id="2153"/>
    <w:p>
      <w:pPr>
        <w:spacing w:after="0"/>
        <w:ind w:left="0"/>
        <w:jc w:val="both"/>
      </w:pPr>
      <w:r>
        <w:rPr>
          <w:rFonts w:ascii="Times New Roman"/>
          <w:b w:val="false"/>
          <w:i w:val="false"/>
          <w:color w:val="000000"/>
          <w:sz w:val="28"/>
        </w:rPr>
        <w:t>
      2. Поправки к разделам клинического исследования считаются существенными, если они могут повлиять:</w:t>
      </w:r>
    </w:p>
    <w:bookmarkEnd w:id="2153"/>
    <w:bookmarkStart w:name="z2255" w:id="2154"/>
    <w:p>
      <w:pPr>
        <w:spacing w:after="0"/>
        <w:ind w:left="0"/>
        <w:jc w:val="both"/>
      </w:pPr>
      <w:r>
        <w:rPr>
          <w:rFonts w:ascii="Times New Roman"/>
          <w:b w:val="false"/>
          <w:i w:val="false"/>
          <w:color w:val="000000"/>
          <w:sz w:val="28"/>
        </w:rPr>
        <w:t>
      1) на безопасность или же физическое либо психическое благополучие пациента;</w:t>
      </w:r>
    </w:p>
    <w:bookmarkEnd w:id="2154"/>
    <w:bookmarkStart w:name="z2256" w:id="2155"/>
    <w:p>
      <w:pPr>
        <w:spacing w:after="0"/>
        <w:ind w:left="0"/>
        <w:jc w:val="both"/>
      </w:pPr>
      <w:r>
        <w:rPr>
          <w:rFonts w:ascii="Times New Roman"/>
          <w:b w:val="false"/>
          <w:i w:val="false"/>
          <w:color w:val="000000"/>
          <w:sz w:val="28"/>
        </w:rPr>
        <w:t>
      2) на научную ценность исследования.</w:t>
      </w:r>
    </w:p>
    <w:bookmarkEnd w:id="2155"/>
    <w:bookmarkStart w:name="z2257" w:id="2156"/>
    <w:p>
      <w:pPr>
        <w:spacing w:after="0"/>
        <w:ind w:left="0"/>
        <w:jc w:val="both"/>
      </w:pPr>
      <w:r>
        <w:rPr>
          <w:rFonts w:ascii="Times New Roman"/>
          <w:b w:val="false"/>
          <w:i w:val="false"/>
          <w:color w:val="000000"/>
          <w:sz w:val="28"/>
        </w:rPr>
        <w:t>
      3. Существенными поправками к разделам клинического исследования могут являться следующие изменения1.</w:t>
      </w:r>
    </w:p>
    <w:bookmarkEnd w:id="2156"/>
    <w:bookmarkStart w:name="z2258" w:id="2157"/>
    <w:p>
      <w:pPr>
        <w:spacing w:after="0"/>
        <w:ind w:left="0"/>
        <w:jc w:val="both"/>
      </w:pPr>
      <w:r>
        <w:rPr>
          <w:rFonts w:ascii="Times New Roman"/>
          <w:b w:val="false"/>
          <w:i w:val="false"/>
          <w:color w:val="000000"/>
          <w:sz w:val="28"/>
        </w:rPr>
        <w:t>
      4. Изменения в протоколе исследования (испытания):</w:t>
      </w:r>
    </w:p>
    <w:bookmarkEnd w:id="2157"/>
    <w:bookmarkStart w:name="z2259" w:id="2158"/>
    <w:p>
      <w:pPr>
        <w:spacing w:after="0"/>
        <w:ind w:left="0"/>
        <w:jc w:val="both"/>
      </w:pPr>
      <w:r>
        <w:rPr>
          <w:rFonts w:ascii="Times New Roman"/>
          <w:b w:val="false"/>
          <w:i w:val="false"/>
          <w:color w:val="000000"/>
          <w:sz w:val="28"/>
        </w:rPr>
        <w:t>
      1) цель исследования;</w:t>
      </w:r>
    </w:p>
    <w:bookmarkEnd w:id="2158"/>
    <w:bookmarkStart w:name="z2260" w:id="2159"/>
    <w:p>
      <w:pPr>
        <w:spacing w:after="0"/>
        <w:ind w:left="0"/>
        <w:jc w:val="both"/>
      </w:pPr>
      <w:r>
        <w:rPr>
          <w:rFonts w:ascii="Times New Roman"/>
          <w:b w:val="false"/>
          <w:i w:val="false"/>
          <w:color w:val="000000"/>
          <w:sz w:val="28"/>
        </w:rPr>
        <w:t>
      2) дизайн исследования;</w:t>
      </w:r>
    </w:p>
    <w:bookmarkEnd w:id="2159"/>
    <w:bookmarkStart w:name="z2261" w:id="2160"/>
    <w:p>
      <w:pPr>
        <w:spacing w:after="0"/>
        <w:ind w:left="0"/>
        <w:jc w:val="both"/>
      </w:pPr>
      <w:r>
        <w:rPr>
          <w:rFonts w:ascii="Times New Roman"/>
          <w:b w:val="false"/>
          <w:i w:val="false"/>
          <w:color w:val="000000"/>
          <w:sz w:val="28"/>
        </w:rPr>
        <w:t>
      3) информированное согласие;</w:t>
      </w:r>
    </w:p>
    <w:bookmarkEnd w:id="2160"/>
    <w:bookmarkStart w:name="z2262" w:id="2161"/>
    <w:p>
      <w:pPr>
        <w:spacing w:after="0"/>
        <w:ind w:left="0"/>
        <w:jc w:val="both"/>
      </w:pPr>
      <w:r>
        <w:rPr>
          <w:rFonts w:ascii="Times New Roman"/>
          <w:b w:val="false"/>
          <w:i w:val="false"/>
          <w:color w:val="000000"/>
          <w:sz w:val="28"/>
        </w:rPr>
        <w:t>
      4) процедура отбора субъектов (пациентов);</w:t>
      </w:r>
    </w:p>
    <w:bookmarkEnd w:id="2161"/>
    <w:bookmarkStart w:name="z2263" w:id="2162"/>
    <w:p>
      <w:pPr>
        <w:spacing w:after="0"/>
        <w:ind w:left="0"/>
        <w:jc w:val="both"/>
      </w:pPr>
      <w:r>
        <w:rPr>
          <w:rFonts w:ascii="Times New Roman"/>
          <w:b w:val="false"/>
          <w:i w:val="false"/>
          <w:color w:val="000000"/>
          <w:sz w:val="28"/>
        </w:rPr>
        <w:t>
      5) показатели эффективности;</w:t>
      </w:r>
    </w:p>
    <w:bookmarkEnd w:id="2162"/>
    <w:bookmarkStart w:name="z2264" w:id="2163"/>
    <w:p>
      <w:pPr>
        <w:spacing w:after="0"/>
        <w:ind w:left="0"/>
        <w:jc w:val="both"/>
      </w:pPr>
      <w:r>
        <w:rPr>
          <w:rFonts w:ascii="Times New Roman"/>
          <w:b w:val="false"/>
          <w:i w:val="false"/>
          <w:color w:val="000000"/>
          <w:sz w:val="28"/>
        </w:rPr>
        <w:t>
      6) схема забора биологических образцов;</w:t>
      </w:r>
    </w:p>
    <w:bookmarkEnd w:id="2163"/>
    <w:bookmarkStart w:name="z2265" w:id="2164"/>
    <w:p>
      <w:pPr>
        <w:spacing w:after="0"/>
        <w:ind w:left="0"/>
        <w:jc w:val="both"/>
      </w:pPr>
      <w:r>
        <w:rPr>
          <w:rFonts w:ascii="Times New Roman"/>
          <w:b w:val="false"/>
          <w:i w:val="false"/>
          <w:color w:val="000000"/>
          <w:sz w:val="28"/>
        </w:rPr>
        <w:t>
      7) добавление или исключение тестов, или показателей;</w:t>
      </w:r>
    </w:p>
    <w:bookmarkEnd w:id="2164"/>
    <w:bookmarkStart w:name="z2266" w:id="2165"/>
    <w:p>
      <w:pPr>
        <w:spacing w:after="0"/>
        <w:ind w:left="0"/>
        <w:jc w:val="both"/>
      </w:pPr>
      <w:r>
        <w:rPr>
          <w:rFonts w:ascii="Times New Roman"/>
          <w:b w:val="false"/>
          <w:i w:val="false"/>
          <w:color w:val="000000"/>
          <w:sz w:val="28"/>
        </w:rPr>
        <w:t>
      8) количество субъектов (пациентов);</w:t>
      </w:r>
    </w:p>
    <w:bookmarkEnd w:id="2165"/>
    <w:bookmarkStart w:name="z2267" w:id="2166"/>
    <w:p>
      <w:pPr>
        <w:spacing w:after="0"/>
        <w:ind w:left="0"/>
        <w:jc w:val="both"/>
      </w:pPr>
      <w:r>
        <w:rPr>
          <w:rFonts w:ascii="Times New Roman"/>
          <w:b w:val="false"/>
          <w:i w:val="false"/>
          <w:color w:val="000000"/>
          <w:sz w:val="28"/>
        </w:rPr>
        <w:t>
      9) возрастной диапазон субъектов (пациентов);</w:t>
      </w:r>
    </w:p>
    <w:bookmarkEnd w:id="2166"/>
    <w:bookmarkStart w:name="z2268" w:id="2167"/>
    <w:p>
      <w:pPr>
        <w:spacing w:after="0"/>
        <w:ind w:left="0"/>
        <w:jc w:val="both"/>
      </w:pPr>
      <w:r>
        <w:rPr>
          <w:rFonts w:ascii="Times New Roman"/>
          <w:b w:val="false"/>
          <w:i w:val="false"/>
          <w:color w:val="000000"/>
          <w:sz w:val="28"/>
        </w:rPr>
        <w:t>
      10) критерии включения;</w:t>
      </w:r>
    </w:p>
    <w:bookmarkEnd w:id="2167"/>
    <w:bookmarkStart w:name="z2269" w:id="2168"/>
    <w:p>
      <w:pPr>
        <w:spacing w:after="0"/>
        <w:ind w:left="0"/>
        <w:jc w:val="both"/>
      </w:pPr>
      <w:r>
        <w:rPr>
          <w:rFonts w:ascii="Times New Roman"/>
          <w:b w:val="false"/>
          <w:i w:val="false"/>
          <w:color w:val="000000"/>
          <w:sz w:val="28"/>
        </w:rPr>
        <w:t>
      11) критерии исключения;</w:t>
      </w:r>
    </w:p>
    <w:bookmarkEnd w:id="2168"/>
    <w:bookmarkStart w:name="z2270" w:id="2169"/>
    <w:p>
      <w:pPr>
        <w:spacing w:after="0"/>
        <w:ind w:left="0"/>
        <w:jc w:val="both"/>
      </w:pPr>
      <w:r>
        <w:rPr>
          <w:rFonts w:ascii="Times New Roman"/>
          <w:b w:val="false"/>
          <w:i w:val="false"/>
          <w:color w:val="000000"/>
          <w:sz w:val="28"/>
        </w:rPr>
        <w:t>
      12) мониторинг безопасности;</w:t>
      </w:r>
    </w:p>
    <w:bookmarkEnd w:id="2169"/>
    <w:bookmarkStart w:name="z2271" w:id="2170"/>
    <w:p>
      <w:pPr>
        <w:spacing w:after="0"/>
        <w:ind w:left="0"/>
        <w:jc w:val="both"/>
      </w:pPr>
      <w:r>
        <w:rPr>
          <w:rFonts w:ascii="Times New Roman"/>
          <w:b w:val="false"/>
          <w:i w:val="false"/>
          <w:color w:val="000000"/>
          <w:sz w:val="28"/>
        </w:rPr>
        <w:t>
      13) продолжительность применения исследуемого препарата;</w:t>
      </w:r>
    </w:p>
    <w:bookmarkEnd w:id="2170"/>
    <w:bookmarkStart w:name="z2272" w:id="2171"/>
    <w:p>
      <w:pPr>
        <w:spacing w:after="0"/>
        <w:ind w:left="0"/>
        <w:jc w:val="both"/>
      </w:pPr>
      <w:r>
        <w:rPr>
          <w:rFonts w:ascii="Times New Roman"/>
          <w:b w:val="false"/>
          <w:i w:val="false"/>
          <w:color w:val="000000"/>
          <w:sz w:val="28"/>
        </w:rPr>
        <w:t>
      14) изменение дозирования исследуемого препарата;</w:t>
      </w:r>
    </w:p>
    <w:bookmarkEnd w:id="2171"/>
    <w:bookmarkStart w:name="z2273" w:id="2172"/>
    <w:p>
      <w:pPr>
        <w:spacing w:after="0"/>
        <w:ind w:left="0"/>
        <w:jc w:val="both"/>
      </w:pPr>
      <w:r>
        <w:rPr>
          <w:rFonts w:ascii="Times New Roman"/>
          <w:b w:val="false"/>
          <w:i w:val="false"/>
          <w:color w:val="000000"/>
          <w:sz w:val="28"/>
        </w:rPr>
        <w:t>
      15) изменение препарата сравнения;</w:t>
      </w:r>
    </w:p>
    <w:bookmarkEnd w:id="2172"/>
    <w:bookmarkStart w:name="z2274" w:id="2173"/>
    <w:p>
      <w:pPr>
        <w:spacing w:after="0"/>
        <w:ind w:left="0"/>
        <w:jc w:val="both"/>
      </w:pPr>
      <w:r>
        <w:rPr>
          <w:rFonts w:ascii="Times New Roman"/>
          <w:b w:val="false"/>
          <w:i w:val="false"/>
          <w:color w:val="000000"/>
          <w:sz w:val="28"/>
        </w:rPr>
        <w:t>
      16) статистический анализ.</w:t>
      </w:r>
    </w:p>
    <w:bookmarkEnd w:id="2173"/>
    <w:bookmarkStart w:name="z2275" w:id="2174"/>
    <w:p>
      <w:pPr>
        <w:spacing w:after="0"/>
        <w:ind w:left="0"/>
        <w:jc w:val="both"/>
      </w:pPr>
      <w:r>
        <w:rPr>
          <w:rFonts w:ascii="Times New Roman"/>
          <w:b w:val="false"/>
          <w:i w:val="false"/>
          <w:color w:val="000000"/>
          <w:sz w:val="28"/>
        </w:rPr>
        <w:t>
      5. Изменения, связанные с организацией клинического исследования:</w:t>
      </w:r>
    </w:p>
    <w:bookmarkEnd w:id="2174"/>
    <w:bookmarkStart w:name="z2276" w:id="2175"/>
    <w:p>
      <w:pPr>
        <w:spacing w:after="0"/>
        <w:ind w:left="0"/>
        <w:jc w:val="both"/>
      </w:pPr>
      <w:r>
        <w:rPr>
          <w:rFonts w:ascii="Times New Roman"/>
          <w:b w:val="false"/>
          <w:i w:val="false"/>
          <w:color w:val="000000"/>
          <w:sz w:val="28"/>
        </w:rPr>
        <w:t>
      1) замена ответственного исследователя или привлечение новых ответственных исследователей;</w:t>
      </w:r>
    </w:p>
    <w:bookmarkEnd w:id="2175"/>
    <w:bookmarkStart w:name="z2277" w:id="2176"/>
    <w:p>
      <w:pPr>
        <w:spacing w:after="0"/>
        <w:ind w:left="0"/>
        <w:jc w:val="both"/>
      </w:pPr>
      <w:r>
        <w:rPr>
          <w:rFonts w:ascii="Times New Roman"/>
          <w:b w:val="false"/>
          <w:i w:val="false"/>
          <w:color w:val="000000"/>
          <w:sz w:val="28"/>
        </w:rPr>
        <w:t>
      2) замена исследователя-координатора;</w:t>
      </w:r>
    </w:p>
    <w:bookmarkEnd w:id="2176"/>
    <w:bookmarkStart w:name="z2278" w:id="2177"/>
    <w:p>
      <w:pPr>
        <w:spacing w:after="0"/>
        <w:ind w:left="0"/>
        <w:jc w:val="both"/>
      </w:pPr>
      <w:r>
        <w:rPr>
          <w:rFonts w:ascii="Times New Roman"/>
          <w:b w:val="false"/>
          <w:i w:val="false"/>
          <w:color w:val="000000"/>
          <w:sz w:val="28"/>
        </w:rPr>
        <w:t>
      3) замена клинической базы (медицинской организации) или добавление дополнительных клинических баз (медицинских организаций);</w:t>
      </w:r>
    </w:p>
    <w:bookmarkEnd w:id="2177"/>
    <w:bookmarkStart w:name="z2279" w:id="2178"/>
    <w:p>
      <w:pPr>
        <w:spacing w:after="0"/>
        <w:ind w:left="0"/>
        <w:jc w:val="both"/>
      </w:pPr>
      <w:r>
        <w:rPr>
          <w:rFonts w:ascii="Times New Roman"/>
          <w:b w:val="false"/>
          <w:i w:val="false"/>
          <w:color w:val="000000"/>
          <w:sz w:val="28"/>
        </w:rPr>
        <w:t>
      4) замена спонсора или официального представителя спонсора;</w:t>
      </w:r>
    </w:p>
    <w:bookmarkEnd w:id="2178"/>
    <w:bookmarkStart w:name="z2280" w:id="2179"/>
    <w:p>
      <w:pPr>
        <w:spacing w:after="0"/>
        <w:ind w:left="0"/>
        <w:jc w:val="both"/>
      </w:pPr>
      <w:r>
        <w:rPr>
          <w:rFonts w:ascii="Times New Roman"/>
          <w:b w:val="false"/>
          <w:i w:val="false"/>
          <w:color w:val="000000"/>
          <w:sz w:val="28"/>
        </w:rPr>
        <w:t>
      5) замена контрактной исследовательской организации, уполномоченной за выполнение важных задач в рамках исследования;</w:t>
      </w:r>
    </w:p>
    <w:bookmarkEnd w:id="2179"/>
    <w:bookmarkStart w:name="z2281" w:id="2180"/>
    <w:p>
      <w:pPr>
        <w:spacing w:after="0"/>
        <w:ind w:left="0"/>
        <w:jc w:val="both"/>
      </w:pPr>
      <w:r>
        <w:rPr>
          <w:rFonts w:ascii="Times New Roman"/>
          <w:b w:val="false"/>
          <w:i w:val="false"/>
          <w:color w:val="000000"/>
          <w:sz w:val="28"/>
        </w:rPr>
        <w:t>
      6) изменение условий завершения исследования.</w:t>
      </w:r>
    </w:p>
    <w:bookmarkEnd w:id="2180"/>
    <w:bookmarkStart w:name="z2282" w:id="2181"/>
    <w:p>
      <w:pPr>
        <w:spacing w:after="0"/>
        <w:ind w:left="0"/>
        <w:jc w:val="both"/>
      </w:pPr>
      <w:r>
        <w:rPr>
          <w:rFonts w:ascii="Times New Roman"/>
          <w:b w:val="false"/>
          <w:i w:val="false"/>
          <w:color w:val="000000"/>
          <w:sz w:val="28"/>
        </w:rPr>
        <w:t>
      6. Изменения, связанные с исследуемым препаратом:</w:t>
      </w:r>
    </w:p>
    <w:bookmarkEnd w:id="2181"/>
    <w:bookmarkStart w:name="z2283" w:id="2182"/>
    <w:p>
      <w:pPr>
        <w:spacing w:after="0"/>
        <w:ind w:left="0"/>
        <w:jc w:val="both"/>
      </w:pPr>
      <w:r>
        <w:rPr>
          <w:rFonts w:ascii="Times New Roman"/>
          <w:b w:val="false"/>
          <w:i w:val="false"/>
          <w:color w:val="000000"/>
          <w:sz w:val="28"/>
        </w:rPr>
        <w:t>
      1) материала первичной упаковки;</w:t>
      </w:r>
    </w:p>
    <w:bookmarkEnd w:id="2182"/>
    <w:bookmarkStart w:name="z2284" w:id="2183"/>
    <w:p>
      <w:pPr>
        <w:spacing w:after="0"/>
        <w:ind w:left="0"/>
        <w:jc w:val="both"/>
      </w:pPr>
      <w:r>
        <w:rPr>
          <w:rFonts w:ascii="Times New Roman"/>
          <w:b w:val="false"/>
          <w:i w:val="false"/>
          <w:color w:val="000000"/>
          <w:sz w:val="28"/>
        </w:rPr>
        <w:t>
      2) производителя действующего вещества;</w:t>
      </w:r>
    </w:p>
    <w:bookmarkEnd w:id="2183"/>
    <w:bookmarkStart w:name="z2285" w:id="2184"/>
    <w:p>
      <w:pPr>
        <w:spacing w:after="0"/>
        <w:ind w:left="0"/>
        <w:jc w:val="both"/>
      </w:pPr>
      <w:r>
        <w:rPr>
          <w:rFonts w:ascii="Times New Roman"/>
          <w:b w:val="false"/>
          <w:i w:val="false"/>
          <w:color w:val="000000"/>
          <w:sz w:val="28"/>
        </w:rPr>
        <w:t>
      3) производственного процесса действующего вещества;</w:t>
      </w:r>
    </w:p>
    <w:bookmarkEnd w:id="2184"/>
    <w:bookmarkStart w:name="z2286" w:id="2185"/>
    <w:p>
      <w:pPr>
        <w:spacing w:after="0"/>
        <w:ind w:left="0"/>
        <w:jc w:val="both"/>
      </w:pPr>
      <w:r>
        <w:rPr>
          <w:rFonts w:ascii="Times New Roman"/>
          <w:b w:val="false"/>
          <w:i w:val="false"/>
          <w:color w:val="000000"/>
          <w:sz w:val="28"/>
        </w:rPr>
        <w:t>
      4) спецификаций действующего вещества;</w:t>
      </w:r>
    </w:p>
    <w:bookmarkEnd w:id="2185"/>
    <w:bookmarkStart w:name="z2287" w:id="2186"/>
    <w:p>
      <w:pPr>
        <w:spacing w:after="0"/>
        <w:ind w:left="0"/>
        <w:jc w:val="both"/>
      </w:pPr>
      <w:r>
        <w:rPr>
          <w:rFonts w:ascii="Times New Roman"/>
          <w:b w:val="false"/>
          <w:i w:val="false"/>
          <w:color w:val="000000"/>
          <w:sz w:val="28"/>
        </w:rPr>
        <w:t>
      5) производства исследуемого препарата;</w:t>
      </w:r>
    </w:p>
    <w:bookmarkEnd w:id="2186"/>
    <w:bookmarkStart w:name="z2288" w:id="2187"/>
    <w:p>
      <w:pPr>
        <w:spacing w:after="0"/>
        <w:ind w:left="0"/>
        <w:jc w:val="both"/>
      </w:pPr>
      <w:r>
        <w:rPr>
          <w:rFonts w:ascii="Times New Roman"/>
          <w:b w:val="false"/>
          <w:i w:val="false"/>
          <w:color w:val="000000"/>
          <w:sz w:val="28"/>
        </w:rPr>
        <w:t>
      6) спецификации исследуемого препарата;</w:t>
      </w:r>
    </w:p>
    <w:bookmarkEnd w:id="2187"/>
    <w:bookmarkStart w:name="z2289" w:id="2188"/>
    <w:p>
      <w:pPr>
        <w:spacing w:after="0"/>
        <w:ind w:left="0"/>
        <w:jc w:val="both"/>
      </w:pPr>
      <w:r>
        <w:rPr>
          <w:rFonts w:ascii="Times New Roman"/>
          <w:b w:val="false"/>
          <w:i w:val="false"/>
          <w:color w:val="000000"/>
          <w:sz w:val="28"/>
        </w:rPr>
        <w:t>
      7) спецификаций вспомогательных веществ в тех случаях, которые способны повлиять на действие лекарственного препарата;</w:t>
      </w:r>
    </w:p>
    <w:bookmarkEnd w:id="2188"/>
    <w:bookmarkStart w:name="z2290" w:id="2189"/>
    <w:p>
      <w:pPr>
        <w:spacing w:after="0"/>
        <w:ind w:left="0"/>
        <w:jc w:val="both"/>
      </w:pPr>
      <w:r>
        <w:rPr>
          <w:rFonts w:ascii="Times New Roman"/>
          <w:b w:val="false"/>
          <w:i w:val="false"/>
          <w:color w:val="000000"/>
          <w:sz w:val="28"/>
        </w:rPr>
        <w:t>
      8) срока хранения, включая период применения после первого вскрытия и (или) разведения;</w:t>
      </w:r>
    </w:p>
    <w:bookmarkEnd w:id="2189"/>
    <w:bookmarkStart w:name="z2291" w:id="2190"/>
    <w:p>
      <w:pPr>
        <w:spacing w:after="0"/>
        <w:ind w:left="0"/>
        <w:jc w:val="both"/>
      </w:pPr>
      <w:r>
        <w:rPr>
          <w:rFonts w:ascii="Times New Roman"/>
          <w:b w:val="false"/>
          <w:i w:val="false"/>
          <w:color w:val="000000"/>
          <w:sz w:val="28"/>
        </w:rPr>
        <w:t>
      9) существенных изменений состава исследуемого препарата;</w:t>
      </w:r>
    </w:p>
    <w:bookmarkEnd w:id="2190"/>
    <w:bookmarkStart w:name="z2292" w:id="2191"/>
    <w:p>
      <w:pPr>
        <w:spacing w:after="0"/>
        <w:ind w:left="0"/>
        <w:jc w:val="both"/>
      </w:pPr>
      <w:r>
        <w:rPr>
          <w:rFonts w:ascii="Times New Roman"/>
          <w:b w:val="false"/>
          <w:i w:val="false"/>
          <w:color w:val="000000"/>
          <w:sz w:val="28"/>
        </w:rPr>
        <w:t>
      10) условий хранения;</w:t>
      </w:r>
    </w:p>
    <w:bookmarkEnd w:id="2191"/>
    <w:bookmarkStart w:name="z2293" w:id="2192"/>
    <w:p>
      <w:pPr>
        <w:spacing w:after="0"/>
        <w:ind w:left="0"/>
        <w:jc w:val="both"/>
      </w:pPr>
      <w:r>
        <w:rPr>
          <w:rFonts w:ascii="Times New Roman"/>
          <w:b w:val="false"/>
          <w:i w:val="false"/>
          <w:color w:val="000000"/>
          <w:sz w:val="28"/>
        </w:rPr>
        <w:t>
      11) методик исследований активной субстанции;</w:t>
      </w:r>
    </w:p>
    <w:bookmarkEnd w:id="2192"/>
    <w:bookmarkStart w:name="z2294" w:id="2193"/>
    <w:p>
      <w:pPr>
        <w:spacing w:after="0"/>
        <w:ind w:left="0"/>
        <w:jc w:val="both"/>
      </w:pPr>
      <w:r>
        <w:rPr>
          <w:rFonts w:ascii="Times New Roman"/>
          <w:b w:val="false"/>
          <w:i w:val="false"/>
          <w:color w:val="000000"/>
          <w:sz w:val="28"/>
        </w:rPr>
        <w:t>
      12) методик исследований исследуемого препарата;</w:t>
      </w:r>
    </w:p>
    <w:bookmarkEnd w:id="2193"/>
    <w:bookmarkStart w:name="z2295" w:id="2194"/>
    <w:p>
      <w:pPr>
        <w:spacing w:after="0"/>
        <w:ind w:left="0"/>
        <w:jc w:val="both"/>
      </w:pPr>
      <w:r>
        <w:rPr>
          <w:rFonts w:ascii="Times New Roman"/>
          <w:b w:val="false"/>
          <w:i w:val="false"/>
          <w:color w:val="000000"/>
          <w:sz w:val="28"/>
        </w:rPr>
        <w:t>
      13) методик исследований не фармакопейных вспомогательных веществ.</w:t>
      </w:r>
    </w:p>
    <w:bookmarkEnd w:id="2194"/>
    <w:bookmarkStart w:name="z2296" w:id="2195"/>
    <w:p>
      <w:pPr>
        <w:spacing w:after="0"/>
        <w:ind w:left="0"/>
        <w:jc w:val="both"/>
      </w:pPr>
      <w:r>
        <w:rPr>
          <w:rFonts w:ascii="Times New Roman"/>
          <w:b w:val="false"/>
          <w:i w:val="false"/>
          <w:color w:val="000000"/>
          <w:sz w:val="28"/>
        </w:rPr>
        <w:t>
      7. Изменения, связанные с данными доклинических исследований и сопровождающиеся изменением оценки соотношения польза-риск. Поправки данных доклинических фармакологических и токсикологических исследований в случаях, которые касаются текущих клинических исследований и сопровождаются изменением оценки соотношения риск-польза. В отношении:</w:t>
      </w:r>
    </w:p>
    <w:bookmarkEnd w:id="2195"/>
    <w:bookmarkStart w:name="z2297" w:id="2196"/>
    <w:p>
      <w:pPr>
        <w:spacing w:after="0"/>
        <w:ind w:left="0"/>
        <w:jc w:val="both"/>
      </w:pPr>
      <w:r>
        <w:rPr>
          <w:rFonts w:ascii="Times New Roman"/>
          <w:b w:val="false"/>
          <w:i w:val="false"/>
          <w:color w:val="000000"/>
          <w:sz w:val="28"/>
        </w:rPr>
        <w:t>
      1) результатов новых фармакологических исследований;</w:t>
      </w:r>
    </w:p>
    <w:bookmarkEnd w:id="2196"/>
    <w:bookmarkStart w:name="z2298" w:id="2197"/>
    <w:p>
      <w:pPr>
        <w:spacing w:after="0"/>
        <w:ind w:left="0"/>
        <w:jc w:val="both"/>
      </w:pPr>
      <w:r>
        <w:rPr>
          <w:rFonts w:ascii="Times New Roman"/>
          <w:b w:val="false"/>
          <w:i w:val="false"/>
          <w:color w:val="000000"/>
          <w:sz w:val="28"/>
        </w:rPr>
        <w:t>
      2) новой интерпретации существующих фармакологических исследований;</w:t>
      </w:r>
    </w:p>
    <w:bookmarkEnd w:id="2197"/>
    <w:bookmarkStart w:name="z2299" w:id="2198"/>
    <w:p>
      <w:pPr>
        <w:spacing w:after="0"/>
        <w:ind w:left="0"/>
        <w:jc w:val="both"/>
      </w:pPr>
      <w:r>
        <w:rPr>
          <w:rFonts w:ascii="Times New Roman"/>
          <w:b w:val="false"/>
          <w:i w:val="false"/>
          <w:color w:val="000000"/>
          <w:sz w:val="28"/>
        </w:rPr>
        <w:t>
      3) результатов новых токсикологических исследований;</w:t>
      </w:r>
    </w:p>
    <w:bookmarkEnd w:id="2198"/>
    <w:bookmarkStart w:name="z2300" w:id="2199"/>
    <w:p>
      <w:pPr>
        <w:spacing w:after="0"/>
        <w:ind w:left="0"/>
        <w:jc w:val="both"/>
      </w:pPr>
      <w:r>
        <w:rPr>
          <w:rFonts w:ascii="Times New Roman"/>
          <w:b w:val="false"/>
          <w:i w:val="false"/>
          <w:color w:val="000000"/>
          <w:sz w:val="28"/>
        </w:rPr>
        <w:t>
      4) новой интерпретации существующих токсикологических исследований;</w:t>
      </w:r>
    </w:p>
    <w:bookmarkEnd w:id="2199"/>
    <w:bookmarkStart w:name="z2301" w:id="2200"/>
    <w:p>
      <w:pPr>
        <w:spacing w:after="0"/>
        <w:ind w:left="0"/>
        <w:jc w:val="both"/>
      </w:pPr>
      <w:r>
        <w:rPr>
          <w:rFonts w:ascii="Times New Roman"/>
          <w:b w:val="false"/>
          <w:i w:val="false"/>
          <w:color w:val="000000"/>
          <w:sz w:val="28"/>
        </w:rPr>
        <w:t>
      5) результатов новых исследований лекарственных взаимодействий.</w:t>
      </w:r>
    </w:p>
    <w:bookmarkEnd w:id="2200"/>
    <w:bookmarkStart w:name="z2302" w:id="2201"/>
    <w:p>
      <w:pPr>
        <w:spacing w:after="0"/>
        <w:ind w:left="0"/>
        <w:jc w:val="both"/>
      </w:pPr>
      <w:r>
        <w:rPr>
          <w:rFonts w:ascii="Times New Roman"/>
          <w:b w:val="false"/>
          <w:i w:val="false"/>
          <w:color w:val="000000"/>
          <w:sz w:val="28"/>
        </w:rPr>
        <w:t>
      8. Изменения, связанные с данными клинических исследований и сопровождающиеся изменением оценки соотношения польза-риск. Поправки в клиническом исследовании, а также данные, отображающие опыт применения препарата у человека, которые являются важными для текущих исследований и сопровождаются изменением оценки соотношения польза-риск. В отношении:</w:t>
      </w:r>
    </w:p>
    <w:bookmarkEnd w:id="2201"/>
    <w:bookmarkStart w:name="z2303" w:id="2202"/>
    <w:p>
      <w:pPr>
        <w:spacing w:after="0"/>
        <w:ind w:left="0"/>
        <w:jc w:val="both"/>
      </w:pPr>
      <w:r>
        <w:rPr>
          <w:rFonts w:ascii="Times New Roman"/>
          <w:b w:val="false"/>
          <w:i w:val="false"/>
          <w:color w:val="000000"/>
          <w:sz w:val="28"/>
        </w:rPr>
        <w:t>
      1) безопасности, связанной с клиническим исследованием или опытом применения исследуемого лекарственного препарата у человека;</w:t>
      </w:r>
    </w:p>
    <w:bookmarkEnd w:id="2202"/>
    <w:bookmarkStart w:name="z2304" w:id="2203"/>
    <w:p>
      <w:pPr>
        <w:spacing w:after="0"/>
        <w:ind w:left="0"/>
        <w:jc w:val="both"/>
      </w:pPr>
      <w:r>
        <w:rPr>
          <w:rFonts w:ascii="Times New Roman"/>
          <w:b w:val="false"/>
          <w:i w:val="false"/>
          <w:color w:val="000000"/>
          <w:sz w:val="28"/>
        </w:rPr>
        <w:t>
      2) результатов новых клинических фармакологических исследований;</w:t>
      </w:r>
    </w:p>
    <w:bookmarkEnd w:id="2203"/>
    <w:bookmarkStart w:name="z2305" w:id="2204"/>
    <w:p>
      <w:pPr>
        <w:spacing w:after="0"/>
        <w:ind w:left="0"/>
        <w:jc w:val="both"/>
      </w:pPr>
      <w:r>
        <w:rPr>
          <w:rFonts w:ascii="Times New Roman"/>
          <w:b w:val="false"/>
          <w:i w:val="false"/>
          <w:color w:val="000000"/>
          <w:sz w:val="28"/>
        </w:rPr>
        <w:t>
      3) новой интерпретации существующих клинических фармакологических исследований;</w:t>
      </w:r>
    </w:p>
    <w:bookmarkEnd w:id="2204"/>
    <w:bookmarkStart w:name="z2306" w:id="2205"/>
    <w:p>
      <w:pPr>
        <w:spacing w:after="0"/>
        <w:ind w:left="0"/>
        <w:jc w:val="both"/>
      </w:pPr>
      <w:r>
        <w:rPr>
          <w:rFonts w:ascii="Times New Roman"/>
          <w:b w:val="false"/>
          <w:i w:val="false"/>
          <w:color w:val="000000"/>
          <w:sz w:val="28"/>
        </w:rPr>
        <w:t>
      4) результатов новых клинических исследований;</w:t>
      </w:r>
    </w:p>
    <w:bookmarkEnd w:id="2205"/>
    <w:bookmarkStart w:name="z2307" w:id="2206"/>
    <w:p>
      <w:pPr>
        <w:spacing w:after="0"/>
        <w:ind w:left="0"/>
        <w:jc w:val="both"/>
      </w:pPr>
      <w:r>
        <w:rPr>
          <w:rFonts w:ascii="Times New Roman"/>
          <w:b w:val="false"/>
          <w:i w:val="false"/>
          <w:color w:val="000000"/>
          <w:sz w:val="28"/>
        </w:rPr>
        <w:t>
      5) новой интерпретации существующих данных клинических исследований;</w:t>
      </w:r>
    </w:p>
    <w:bookmarkEnd w:id="2206"/>
    <w:bookmarkStart w:name="z2308" w:id="2207"/>
    <w:p>
      <w:pPr>
        <w:spacing w:after="0"/>
        <w:ind w:left="0"/>
        <w:jc w:val="both"/>
      </w:pPr>
      <w:r>
        <w:rPr>
          <w:rFonts w:ascii="Times New Roman"/>
          <w:b w:val="false"/>
          <w:i w:val="false"/>
          <w:color w:val="000000"/>
          <w:sz w:val="28"/>
        </w:rPr>
        <w:t>
      6) новых данных по опыту применения исследуемого препарата у человека;</w:t>
      </w:r>
    </w:p>
    <w:bookmarkEnd w:id="2207"/>
    <w:bookmarkStart w:name="z2309" w:id="2208"/>
    <w:p>
      <w:pPr>
        <w:spacing w:after="0"/>
        <w:ind w:left="0"/>
        <w:jc w:val="both"/>
      </w:pPr>
      <w:r>
        <w:rPr>
          <w:rFonts w:ascii="Times New Roman"/>
          <w:b w:val="false"/>
          <w:i w:val="false"/>
          <w:color w:val="000000"/>
          <w:sz w:val="28"/>
        </w:rPr>
        <w:t>
      7) новой интерпретации существующих данных по опыту применения исследуемого препарата у человека.</w:t>
      </w:r>
    </w:p>
    <w:bookmarkEnd w:id="2208"/>
    <w:bookmarkStart w:name="z2310" w:id="2209"/>
    <w:p>
      <w:pPr>
        <w:spacing w:after="0"/>
        <w:ind w:left="0"/>
        <w:jc w:val="both"/>
      </w:pPr>
      <w:r>
        <w:rPr>
          <w:rFonts w:ascii="Times New Roman"/>
          <w:b w:val="false"/>
          <w:i w:val="false"/>
          <w:color w:val="000000"/>
          <w:sz w:val="28"/>
        </w:rPr>
        <w:t>
      9. Порядок рассмотрения уполномоченными органами поправок к разделам клинического исследования определяется требованиями Республики Казахстан.</w:t>
      </w:r>
    </w:p>
    <w:bookmarkEnd w:id="2209"/>
    <w:bookmarkStart w:name="z2311" w:id="2210"/>
    <w:p>
      <w:pPr>
        <w:spacing w:after="0"/>
        <w:ind w:left="0"/>
        <w:jc w:val="both"/>
      </w:pPr>
      <w:r>
        <w:rPr>
          <w:rFonts w:ascii="Times New Roman"/>
          <w:b w:val="false"/>
          <w:i w:val="false"/>
          <w:color w:val="000000"/>
          <w:sz w:val="28"/>
        </w:rPr>
        <w:t>
      _________________________</w:t>
      </w:r>
    </w:p>
    <w:bookmarkEnd w:id="2210"/>
    <w:bookmarkStart w:name="z2312" w:id="2211"/>
    <w:p>
      <w:pPr>
        <w:spacing w:after="0"/>
        <w:ind w:left="0"/>
        <w:jc w:val="both"/>
      </w:pPr>
      <w:r>
        <w:rPr>
          <w:rFonts w:ascii="Times New Roman"/>
          <w:b w:val="false"/>
          <w:i w:val="false"/>
          <w:color w:val="000000"/>
          <w:sz w:val="28"/>
        </w:rPr>
        <w:t>
      1 Прочие изменения к разделам клинического исследования считаются несущественными.</w:t>
      </w:r>
    </w:p>
    <w:bookmarkEnd w:id="2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2021 года</w:t>
            </w:r>
            <w:r>
              <w:br/>
            </w:r>
            <w:r>
              <w:rPr>
                <w:rFonts w:ascii="Times New Roman"/>
                <w:b w:val="false"/>
                <w:i w:val="false"/>
                <w:color w:val="000000"/>
                <w:sz w:val="20"/>
              </w:rPr>
              <w:t>№ ҚР ДСМ-15</w:t>
            </w:r>
          </w:p>
        </w:tc>
      </w:tr>
    </w:tbl>
    <w:bookmarkStart w:name="z2314" w:id="2212"/>
    <w:p>
      <w:pPr>
        <w:spacing w:after="0"/>
        <w:ind w:left="0"/>
        <w:jc w:val="left"/>
      </w:pPr>
      <w:r>
        <w:rPr>
          <w:rFonts w:ascii="Times New Roman"/>
          <w:b/>
          <w:i w:val="false"/>
          <w:color w:val="000000"/>
        </w:rPr>
        <w:t xml:space="preserve"> Cтандарт надлежащей производственной практики (GMP)</w:t>
      </w:r>
    </w:p>
    <w:bookmarkEnd w:id="2212"/>
    <w:bookmarkStart w:name="z2315" w:id="2213"/>
    <w:p>
      <w:pPr>
        <w:spacing w:after="0"/>
        <w:ind w:left="0"/>
        <w:jc w:val="left"/>
      </w:pPr>
      <w:r>
        <w:rPr>
          <w:rFonts w:ascii="Times New Roman"/>
          <w:b/>
          <w:i w:val="false"/>
          <w:color w:val="000000"/>
        </w:rPr>
        <w:t xml:space="preserve"> Глава 1. Общие положение</w:t>
      </w:r>
    </w:p>
    <w:bookmarkEnd w:id="2213"/>
    <w:bookmarkStart w:name="z2316" w:id="2214"/>
    <w:p>
      <w:pPr>
        <w:spacing w:after="0"/>
        <w:ind w:left="0"/>
        <w:jc w:val="both"/>
      </w:pPr>
      <w:r>
        <w:rPr>
          <w:rFonts w:ascii="Times New Roman"/>
          <w:b w:val="false"/>
          <w:i w:val="false"/>
          <w:color w:val="000000"/>
          <w:sz w:val="28"/>
        </w:rPr>
        <w:t xml:space="preserve">
      1. Фармацевтическая промышленность государства поддерживает высокие стандарты управления качеством при разработке, производстве и контроле лекарственных средств. Система государственной регистрации гарантирует, что все лекарственные средства оценены уполномоченным органом, чтобы обеспечить их соответствие современным требованиям безопасности, качества и эффективности. Система лицензирования производства гарантирует, что вся продукция, разрешенная к применению, произведена только производителями, которые имеют соответствующие разрешения (лицензии) и регулярно инспектируются уполномоченными органами с использованием принципов управления рисками для качества. </w:t>
      </w:r>
    </w:p>
    <w:bookmarkEnd w:id="2214"/>
    <w:bookmarkStart w:name="z2317" w:id="2215"/>
    <w:p>
      <w:pPr>
        <w:spacing w:after="0"/>
        <w:ind w:left="0"/>
        <w:jc w:val="both"/>
      </w:pPr>
      <w:r>
        <w:rPr>
          <w:rFonts w:ascii="Times New Roman"/>
          <w:b w:val="false"/>
          <w:i w:val="false"/>
          <w:color w:val="000000"/>
          <w:sz w:val="28"/>
        </w:rPr>
        <w:t>
      Соответствие настоящим Стандартом учитывается при получении разрешений (лицензий) на производство лекарственных средств, и на нем основывается инспектирование производителей лекарственных средств.</w:t>
      </w:r>
    </w:p>
    <w:bookmarkEnd w:id="2215"/>
    <w:bookmarkStart w:name="z2318" w:id="2216"/>
    <w:p>
      <w:pPr>
        <w:spacing w:after="0"/>
        <w:ind w:left="0"/>
        <w:jc w:val="both"/>
      </w:pPr>
      <w:r>
        <w:rPr>
          <w:rFonts w:ascii="Times New Roman"/>
          <w:b w:val="false"/>
          <w:i w:val="false"/>
          <w:color w:val="000000"/>
          <w:sz w:val="28"/>
        </w:rPr>
        <w:t>
      Настоящий Стандарт представлены 3 частями и рядом приложений. Часть І содержит принципы, применимые при производстве лекарственных препаратов. Часть ІІ охватывает принципы, применимые при производстве активных фармацевтических субстанций, используемых в качестве исходных материалов. Часть ІІІ содержит разделы, в которых разъясняются требования уполномоченных органов, связанные со Стандартом надлежащего производства лекарственных средств.</w:t>
      </w:r>
    </w:p>
    <w:bookmarkEnd w:id="2216"/>
    <w:bookmarkStart w:name="z2319" w:id="2217"/>
    <w:p>
      <w:pPr>
        <w:spacing w:after="0"/>
        <w:ind w:left="0"/>
        <w:jc w:val="both"/>
      </w:pPr>
      <w:r>
        <w:rPr>
          <w:rFonts w:ascii="Times New Roman"/>
          <w:b w:val="false"/>
          <w:i w:val="false"/>
          <w:color w:val="000000"/>
          <w:sz w:val="28"/>
        </w:rPr>
        <w:t>
      Главе 1 части І настоящего Стандарта в общих чертах излагается фундаментальная концепция управления качеством при производстве лекарственных препаратов. Каждая из следующих глав содержит принцип, описывающий в общих чертах цели управления качеством в рамках этой главы, и пояснения, которые обеспечивают достаточную детализацию, чтобы производители понимали основные вопросы, которые учитываются при реализации этого принципа.</w:t>
      </w:r>
    </w:p>
    <w:bookmarkEnd w:id="2217"/>
    <w:bookmarkStart w:name="z2320" w:id="2218"/>
    <w:p>
      <w:pPr>
        <w:spacing w:after="0"/>
        <w:ind w:left="0"/>
        <w:jc w:val="both"/>
      </w:pPr>
      <w:r>
        <w:rPr>
          <w:rFonts w:ascii="Times New Roman"/>
          <w:b w:val="false"/>
          <w:i w:val="false"/>
          <w:color w:val="000000"/>
          <w:sz w:val="28"/>
        </w:rPr>
        <w:t>
      В настоящем Стандарте излагается детальная информация о принципах надлежащего производства в отношении активных фармацевтических субстанций, используемых в качестве исходных материалов. Часть ІІ была разработана на основе руководства ICH, изданного как документ ICH Q7A для активных фармацевтических субстанций. Эта часть распространяется как на лекарственные средства для медицинского применения, так и на ветеринарные лекарственные средства.</w:t>
      </w:r>
    </w:p>
    <w:bookmarkEnd w:id="2218"/>
    <w:bookmarkStart w:name="z2321" w:id="2219"/>
    <w:p>
      <w:pPr>
        <w:spacing w:after="0"/>
        <w:ind w:left="0"/>
        <w:jc w:val="both"/>
      </w:pPr>
      <w:r>
        <w:rPr>
          <w:rFonts w:ascii="Times New Roman"/>
          <w:b w:val="false"/>
          <w:i w:val="false"/>
          <w:color w:val="000000"/>
          <w:sz w:val="28"/>
        </w:rPr>
        <w:t>
      Дополнение к основному содержанию, изложенному в частях І, II, настоящего Стандарта включают в себя ряд приложений, обеспечивающих детализацию в отношении отдельных видов деятельности. Для некоторых производственных процессов различные приложения будут применяться одновременно (например, приложения, регламентирующие производство стерильных лекарственных средств и производство радиофармацевтических лекарственных средств и (или) биологических лекарственных средств).</w:t>
      </w:r>
    </w:p>
    <w:bookmarkEnd w:id="2219"/>
    <w:bookmarkStart w:name="z2322" w:id="2220"/>
    <w:p>
      <w:pPr>
        <w:spacing w:after="0"/>
        <w:ind w:left="0"/>
        <w:jc w:val="both"/>
      </w:pPr>
      <w:r>
        <w:rPr>
          <w:rFonts w:ascii="Times New Roman"/>
          <w:b w:val="false"/>
          <w:i w:val="false"/>
          <w:color w:val="000000"/>
          <w:sz w:val="28"/>
        </w:rPr>
        <w:t>
      Часть III содержит разделы, связанные Стандартом надлежащего производства, которые не являются подробными руководящими принципами. Цель части III - разъяснить требования регуляторных органов, ее следует рассматривать как источник информации в отношении наилучших современных методов. Отдельно в каждом разделе описаны детали, касающиеся его применимости.</w:t>
      </w:r>
    </w:p>
    <w:bookmarkEnd w:id="2220"/>
    <w:bookmarkStart w:name="z2323" w:id="2221"/>
    <w:p>
      <w:pPr>
        <w:spacing w:after="0"/>
        <w:ind w:left="0"/>
        <w:jc w:val="both"/>
      </w:pPr>
      <w:r>
        <w:rPr>
          <w:rFonts w:ascii="Times New Roman"/>
          <w:b w:val="false"/>
          <w:i w:val="false"/>
          <w:color w:val="000000"/>
          <w:sz w:val="28"/>
        </w:rPr>
        <w:t>
      После приложений к основным частям Стандарта приведен словарь терминов, используемых в настоящем Стандарте.</w:t>
      </w:r>
    </w:p>
    <w:bookmarkEnd w:id="2221"/>
    <w:bookmarkStart w:name="z2324" w:id="2222"/>
    <w:p>
      <w:pPr>
        <w:spacing w:after="0"/>
        <w:ind w:left="0"/>
        <w:jc w:val="both"/>
      </w:pPr>
      <w:r>
        <w:rPr>
          <w:rFonts w:ascii="Times New Roman"/>
          <w:b w:val="false"/>
          <w:i w:val="false"/>
          <w:color w:val="000000"/>
          <w:sz w:val="28"/>
        </w:rPr>
        <w:t xml:space="preserve">
      Настоящий Стандарт не распространяется на вопросы охраны труда персонала, занятого в производстве. Эти вопросы могут быть важными при производстве таких лекарственных средств, как высокоактивные, биологические и радиоактивные. </w:t>
      </w:r>
    </w:p>
    <w:bookmarkEnd w:id="2222"/>
    <w:bookmarkStart w:name="z2325" w:id="2223"/>
    <w:p>
      <w:pPr>
        <w:spacing w:after="0"/>
        <w:ind w:left="0"/>
        <w:jc w:val="both"/>
      </w:pPr>
      <w:r>
        <w:rPr>
          <w:rFonts w:ascii="Times New Roman"/>
          <w:b w:val="false"/>
          <w:i w:val="false"/>
          <w:color w:val="000000"/>
          <w:sz w:val="28"/>
        </w:rPr>
        <w:t>
      Стандартом предусматривается, что держатель разрешения (лицензии) на производство систематически включает требования регистрационного досье лекарственного препарата в отношении безопасности, качества и эффективности продукции во все мероприятия по производству, контролю и выпуску продукции в реализацию.</w:t>
      </w:r>
    </w:p>
    <w:bookmarkEnd w:id="2223"/>
    <w:bookmarkStart w:name="z2326" w:id="2224"/>
    <w:p>
      <w:pPr>
        <w:spacing w:after="0"/>
        <w:ind w:left="0"/>
        <w:jc w:val="both"/>
      </w:pPr>
      <w:r>
        <w:rPr>
          <w:rFonts w:ascii="Times New Roman"/>
          <w:b w:val="false"/>
          <w:i w:val="false"/>
          <w:color w:val="000000"/>
          <w:sz w:val="28"/>
        </w:rPr>
        <w:t>
      Течение многих лет производство лекарственных средств проводится в соответствии с руководящими принципами Стандарта надлежащего производства и не регулируется стандартами CEN/ISO.</w:t>
      </w:r>
    </w:p>
    <w:bookmarkEnd w:id="2224"/>
    <w:bookmarkStart w:name="z2327" w:id="2225"/>
    <w:p>
      <w:pPr>
        <w:spacing w:after="0"/>
        <w:ind w:left="0"/>
        <w:jc w:val="both"/>
      </w:pPr>
      <w:r>
        <w:rPr>
          <w:rFonts w:ascii="Times New Roman"/>
          <w:b w:val="false"/>
          <w:i w:val="false"/>
          <w:color w:val="000000"/>
          <w:sz w:val="28"/>
        </w:rPr>
        <w:t>
      В настоящем Стандарте стандарты CEN/ISO были учтены, но терминология этих стандартов не применялась.</w:t>
      </w:r>
    </w:p>
    <w:bookmarkEnd w:id="2225"/>
    <w:bookmarkStart w:name="z2328" w:id="2226"/>
    <w:p>
      <w:pPr>
        <w:spacing w:after="0"/>
        <w:ind w:left="0"/>
        <w:jc w:val="both"/>
      </w:pPr>
      <w:r>
        <w:rPr>
          <w:rFonts w:ascii="Times New Roman"/>
          <w:b w:val="false"/>
          <w:i w:val="false"/>
          <w:color w:val="000000"/>
          <w:sz w:val="28"/>
        </w:rPr>
        <w:t>
      Могут существовать иные приемлемые методы, отличные от описанных в настоящем Стандарте, с помощью которых можно соблюсти принципы управления качеством. Стандарт не направлен на ограничение развития каких-либо новых концепций или новых технологий, которые прошли валидацию и обеспечивают уровень управления качеством, по меньшей мере эквивалентный установленному настоящим Стандартом.</w:t>
      </w:r>
    </w:p>
    <w:bookmarkEnd w:id="2226"/>
    <w:bookmarkStart w:name="z2329" w:id="2227"/>
    <w:p>
      <w:pPr>
        <w:spacing w:after="0"/>
        <w:ind w:left="0"/>
        <w:jc w:val="both"/>
      </w:pPr>
      <w:r>
        <w:rPr>
          <w:rFonts w:ascii="Times New Roman"/>
          <w:b w:val="false"/>
          <w:i w:val="false"/>
          <w:color w:val="000000"/>
          <w:sz w:val="28"/>
        </w:rPr>
        <w:t>
      Настоящий Стандарт будет регулярно пересматриваться с целью отражения непрерывного совершенствования практики в области качества.</w:t>
      </w:r>
    </w:p>
    <w:bookmarkEnd w:id="2227"/>
    <w:bookmarkStart w:name="z2330" w:id="2228"/>
    <w:p>
      <w:pPr>
        <w:spacing w:after="0"/>
        <w:ind w:left="0"/>
        <w:jc w:val="left"/>
      </w:pPr>
      <w:r>
        <w:rPr>
          <w:rFonts w:ascii="Times New Roman"/>
          <w:b/>
          <w:i w:val="false"/>
          <w:color w:val="000000"/>
        </w:rPr>
        <w:t xml:space="preserve"> Раздел I. Основные требования</w:t>
      </w:r>
    </w:p>
    <w:bookmarkEnd w:id="2228"/>
    <w:bookmarkStart w:name="z2331" w:id="2229"/>
    <w:p>
      <w:pPr>
        <w:spacing w:after="0"/>
        <w:ind w:left="0"/>
        <w:jc w:val="left"/>
      </w:pPr>
      <w:r>
        <w:rPr>
          <w:rFonts w:ascii="Times New Roman"/>
          <w:b/>
          <w:i w:val="false"/>
          <w:color w:val="000000"/>
        </w:rPr>
        <w:t xml:space="preserve"> Глава 2. Фармацевтическая система качества</w:t>
      </w:r>
    </w:p>
    <w:bookmarkEnd w:id="2229"/>
    <w:bookmarkStart w:name="z2332" w:id="2230"/>
    <w:p>
      <w:pPr>
        <w:spacing w:after="0"/>
        <w:ind w:left="0"/>
        <w:jc w:val="left"/>
      </w:pPr>
      <w:r>
        <w:rPr>
          <w:rFonts w:ascii="Times New Roman"/>
          <w:b/>
          <w:i w:val="false"/>
          <w:color w:val="000000"/>
        </w:rPr>
        <w:t xml:space="preserve"> Параграф 1. Принцип</w:t>
      </w:r>
    </w:p>
    <w:bookmarkEnd w:id="2230"/>
    <w:bookmarkStart w:name="z2333" w:id="2231"/>
    <w:p>
      <w:pPr>
        <w:spacing w:after="0"/>
        <w:ind w:left="0"/>
        <w:jc w:val="both"/>
      </w:pPr>
      <w:r>
        <w:rPr>
          <w:rFonts w:ascii="Times New Roman"/>
          <w:b w:val="false"/>
          <w:i w:val="false"/>
          <w:color w:val="000000"/>
          <w:sz w:val="28"/>
        </w:rPr>
        <w:t>
      2. Производитель производит лекарственные средства таким образом, чтобы гарантировать их соответствие своему назначению, требованиям регистрационного досье и (или) протоколу клинического исследования и минимизировать риск для пациентов, связанный с безопасностью, качеством и эффективностью лекарственных средств. Высшее руководство отвечает за выполнение этих требований, их выполнение требует участия и ответственности персонала различных подразделений предприятия-производителя на всех его уровнях, а также поставщиков и организаций оптовой торговли. Для достижения этой цели создается всесторонне разработанная и правильно функционирующая фармацевтическая система качества, включающая в себя надлежащую производственную практику и управление рисками для качества. Эта оформлено документально, а ее эффективность - проконтролирована. Все элементы фармацевтической системы качества укомплектованы квалифицированным персоналом, обеспечены необходимыми и надлежащими помещениями, оборудованием и техническими средствами. Держатель разрешения (лицензии) на производство лекарственных средств и уполномоченное лицо (лица) отвечает в соответствии с законодательством за функционирование фармацевтической системы качества.</w:t>
      </w:r>
    </w:p>
    <w:bookmarkEnd w:id="2231"/>
    <w:bookmarkStart w:name="z2334" w:id="2232"/>
    <w:p>
      <w:pPr>
        <w:spacing w:after="0"/>
        <w:ind w:left="0"/>
        <w:jc w:val="both"/>
      </w:pPr>
      <w:r>
        <w:rPr>
          <w:rFonts w:ascii="Times New Roman"/>
          <w:b w:val="false"/>
          <w:i w:val="false"/>
          <w:color w:val="000000"/>
          <w:sz w:val="28"/>
        </w:rPr>
        <w:t>
      Основные принципы управления качеством, надлежащей производственной практики и управления рисками для качества взаимосвязаны. Они описаны ниже, чтобы подчеркнуть их взаимосвязь, первостепенное значение для производства и контроля лекарственных препаратов.</w:t>
      </w:r>
    </w:p>
    <w:bookmarkEnd w:id="2232"/>
    <w:bookmarkStart w:name="z2335" w:id="2233"/>
    <w:p>
      <w:pPr>
        <w:spacing w:after="0"/>
        <w:ind w:left="0"/>
        <w:jc w:val="left"/>
      </w:pPr>
      <w:r>
        <w:rPr>
          <w:rFonts w:ascii="Times New Roman"/>
          <w:b/>
          <w:i w:val="false"/>
          <w:color w:val="000000"/>
        </w:rPr>
        <w:t xml:space="preserve"> Параграф 2. Фармацевтическая система качества</w:t>
      </w:r>
    </w:p>
    <w:bookmarkEnd w:id="2233"/>
    <w:bookmarkStart w:name="z2336" w:id="2234"/>
    <w:p>
      <w:pPr>
        <w:spacing w:after="0"/>
        <w:ind w:left="0"/>
        <w:jc w:val="both"/>
      </w:pPr>
      <w:r>
        <w:rPr>
          <w:rFonts w:ascii="Times New Roman"/>
          <w:b w:val="false"/>
          <w:i w:val="false"/>
          <w:color w:val="000000"/>
          <w:sz w:val="28"/>
        </w:rPr>
        <w:t>
      3. Управление качеством - охватывает все вопросы, которые в отдельности или в целом влияют на качество продукции. Это совокупность организационных мер, предпринимаемых в целях обеспечения соответствия качества лекарственных средств их предназначению. Управление качеством включает в себя надлежащую производственную практику.</w:t>
      </w:r>
    </w:p>
    <w:bookmarkEnd w:id="2234"/>
    <w:bookmarkStart w:name="z2337" w:id="2235"/>
    <w:p>
      <w:pPr>
        <w:spacing w:after="0"/>
        <w:ind w:left="0"/>
        <w:jc w:val="both"/>
      </w:pPr>
      <w:r>
        <w:rPr>
          <w:rFonts w:ascii="Times New Roman"/>
          <w:b w:val="false"/>
          <w:i w:val="false"/>
          <w:color w:val="000000"/>
          <w:sz w:val="28"/>
        </w:rPr>
        <w:t>
      4. Стандарт надлежащего производства и контроля качества применяется ко всем стадиям жизненного цикла продуктов: производству лекарственных препаратов для клинических исследований, переносу технологии, промышленному производству, прекращению производства лекарственных средств. Однако фармацевтическая система качества распространяется и на такую стадию жизненного цикла продуктов, как фармацевтическая разработка. Это описано в части III настоящего Стандарта в разделе "Фармацевтическая система качества", который, несмотря на то, что является рекомендательным, способствует инновациям и постоянному улучшению, а также упрочнению связи между фармацевтической разработкой и производственной деятельностью. Раздел "Фармацевтическая система качества" используется, чтобы дополнить содержание настоящей главы.</w:t>
      </w:r>
    </w:p>
    <w:bookmarkEnd w:id="2235"/>
    <w:bookmarkStart w:name="z2338" w:id="2236"/>
    <w:p>
      <w:pPr>
        <w:spacing w:after="0"/>
        <w:ind w:left="0"/>
        <w:jc w:val="both"/>
      </w:pPr>
      <w:r>
        <w:rPr>
          <w:rFonts w:ascii="Times New Roman"/>
          <w:b w:val="false"/>
          <w:i w:val="false"/>
          <w:color w:val="000000"/>
          <w:sz w:val="28"/>
        </w:rPr>
        <w:t>
      5. При разработке новой фармацевтической системы качества или при изменении существующей системы учитывается объем и сложность деятельности организации. В структуру фармацевтической системы качества включены соответствующие принципы управления рисками с использованием подходящих инструментов. В то время как некоторые аспекты фармацевтической системы качества могут применяться к деятельности всей организации в целом, а иные - только к определенным производственным участкам, эффективность внедрения фармацевтической системы качества обычно демонстрируется на уровне производственной площадки.</w:t>
      </w:r>
    </w:p>
    <w:bookmarkEnd w:id="2236"/>
    <w:bookmarkStart w:name="z2339" w:id="2237"/>
    <w:p>
      <w:pPr>
        <w:spacing w:after="0"/>
        <w:ind w:left="0"/>
        <w:jc w:val="both"/>
      </w:pPr>
      <w:r>
        <w:rPr>
          <w:rFonts w:ascii="Times New Roman"/>
          <w:b w:val="false"/>
          <w:i w:val="false"/>
          <w:color w:val="000000"/>
          <w:sz w:val="28"/>
        </w:rPr>
        <w:t>
      6. Фармацевтическая система качества, предназначенная для производства лекарственных средств, гарантирует, что:</w:t>
      </w:r>
    </w:p>
    <w:bookmarkEnd w:id="2237"/>
    <w:bookmarkStart w:name="z2340" w:id="2238"/>
    <w:p>
      <w:pPr>
        <w:spacing w:after="0"/>
        <w:ind w:left="0"/>
        <w:jc w:val="both"/>
      </w:pPr>
      <w:r>
        <w:rPr>
          <w:rFonts w:ascii="Times New Roman"/>
          <w:b w:val="false"/>
          <w:i w:val="false"/>
          <w:color w:val="000000"/>
          <w:sz w:val="28"/>
        </w:rPr>
        <w:t>
      1) выпуск продукции обеспечивается посредством разработки, планирования, внедрения, поддержания и непрерывного усовершенствования системы, которая дает возможность постоянно поставлять продукцию с соответствующими показателями качества;</w:t>
      </w:r>
    </w:p>
    <w:bookmarkEnd w:id="2238"/>
    <w:bookmarkStart w:name="z2341" w:id="2239"/>
    <w:p>
      <w:pPr>
        <w:spacing w:after="0"/>
        <w:ind w:left="0"/>
        <w:jc w:val="both"/>
      </w:pPr>
      <w:r>
        <w:rPr>
          <w:rFonts w:ascii="Times New Roman"/>
          <w:b w:val="false"/>
          <w:i w:val="false"/>
          <w:color w:val="000000"/>
          <w:sz w:val="28"/>
        </w:rPr>
        <w:t>
      2) управление знаниями о продукции и процессе ее производства осуществляется на протяжении всех стадий жизненного цикла продукции;</w:t>
      </w:r>
    </w:p>
    <w:bookmarkEnd w:id="2239"/>
    <w:bookmarkStart w:name="z2342" w:id="2240"/>
    <w:p>
      <w:pPr>
        <w:spacing w:after="0"/>
        <w:ind w:left="0"/>
        <w:jc w:val="both"/>
      </w:pPr>
      <w:r>
        <w:rPr>
          <w:rFonts w:ascii="Times New Roman"/>
          <w:b w:val="false"/>
          <w:i w:val="false"/>
          <w:color w:val="000000"/>
          <w:sz w:val="28"/>
        </w:rPr>
        <w:t>
      3) лекарственные средства разрабатываются и совершенствуются с учетом требований настоящего Стандарта;</w:t>
      </w:r>
    </w:p>
    <w:bookmarkEnd w:id="2240"/>
    <w:bookmarkStart w:name="z2343" w:id="2241"/>
    <w:p>
      <w:pPr>
        <w:spacing w:after="0"/>
        <w:ind w:left="0"/>
        <w:jc w:val="both"/>
      </w:pPr>
      <w:r>
        <w:rPr>
          <w:rFonts w:ascii="Times New Roman"/>
          <w:b w:val="false"/>
          <w:i w:val="false"/>
          <w:color w:val="000000"/>
          <w:sz w:val="28"/>
        </w:rPr>
        <w:t>
      4) операции по производству и контролю точно определены соответствуют требованиям настоящего Стандарта;</w:t>
      </w:r>
    </w:p>
    <w:bookmarkEnd w:id="2241"/>
    <w:bookmarkStart w:name="z2344" w:id="2242"/>
    <w:p>
      <w:pPr>
        <w:spacing w:after="0"/>
        <w:ind w:left="0"/>
        <w:jc w:val="both"/>
      </w:pPr>
      <w:r>
        <w:rPr>
          <w:rFonts w:ascii="Times New Roman"/>
          <w:b w:val="false"/>
          <w:i w:val="false"/>
          <w:color w:val="000000"/>
          <w:sz w:val="28"/>
        </w:rPr>
        <w:t>
      5) обязанности руководителей четко определены;</w:t>
      </w:r>
    </w:p>
    <w:bookmarkEnd w:id="2242"/>
    <w:bookmarkStart w:name="z2345" w:id="2243"/>
    <w:p>
      <w:pPr>
        <w:spacing w:after="0"/>
        <w:ind w:left="0"/>
        <w:jc w:val="both"/>
      </w:pPr>
      <w:r>
        <w:rPr>
          <w:rFonts w:ascii="Times New Roman"/>
          <w:b w:val="false"/>
          <w:i w:val="false"/>
          <w:color w:val="000000"/>
          <w:sz w:val="28"/>
        </w:rPr>
        <w:t>
      6) приняты меры для производства, поставки и использования исходных материалов, соответствующих установленным требованиям, а также для выбора и контроля поставщиков и для проверки того, что каждая поставка получена от утвержденных поставщиков (утвержденной цепи поставки);</w:t>
      </w:r>
    </w:p>
    <w:bookmarkEnd w:id="2243"/>
    <w:bookmarkStart w:name="z2346" w:id="2244"/>
    <w:p>
      <w:pPr>
        <w:spacing w:after="0"/>
        <w:ind w:left="0"/>
        <w:jc w:val="both"/>
      </w:pPr>
      <w:r>
        <w:rPr>
          <w:rFonts w:ascii="Times New Roman"/>
          <w:b w:val="false"/>
          <w:i w:val="false"/>
          <w:color w:val="000000"/>
          <w:sz w:val="28"/>
        </w:rPr>
        <w:t>
      7) внедрены процессы, обеспечивающие управление деятельностью, передаваемой другой организации для выполнения (аутсорсинговой деятельностью);</w:t>
      </w:r>
    </w:p>
    <w:bookmarkEnd w:id="2244"/>
    <w:bookmarkStart w:name="z2347" w:id="2245"/>
    <w:p>
      <w:pPr>
        <w:spacing w:after="0"/>
        <w:ind w:left="0"/>
        <w:jc w:val="both"/>
      </w:pPr>
      <w:r>
        <w:rPr>
          <w:rFonts w:ascii="Times New Roman"/>
          <w:b w:val="false"/>
          <w:i w:val="false"/>
          <w:color w:val="000000"/>
          <w:sz w:val="28"/>
        </w:rPr>
        <w:t>
      8) установлено и поддерживается контролируемое состояние посредством разработки и использования эффективного мониторинга и систем контроля в отношении проведения процесса и качества продукции;</w:t>
      </w:r>
    </w:p>
    <w:bookmarkEnd w:id="2245"/>
    <w:bookmarkStart w:name="z2348" w:id="2246"/>
    <w:p>
      <w:pPr>
        <w:spacing w:after="0"/>
        <w:ind w:left="0"/>
        <w:jc w:val="both"/>
      </w:pPr>
      <w:r>
        <w:rPr>
          <w:rFonts w:ascii="Times New Roman"/>
          <w:b w:val="false"/>
          <w:i w:val="false"/>
          <w:color w:val="000000"/>
          <w:sz w:val="28"/>
        </w:rPr>
        <w:t>
      9) результаты мониторинга процессов и качества продукции принимаются во внимание при выпуске серии, при расследовании отклонений и для принятия предупреждающих мер во избежание потенциальных отклонений, которые могут произойти в будущем;</w:t>
      </w:r>
    </w:p>
    <w:bookmarkEnd w:id="2246"/>
    <w:bookmarkStart w:name="z2349" w:id="2247"/>
    <w:p>
      <w:pPr>
        <w:spacing w:after="0"/>
        <w:ind w:left="0"/>
        <w:jc w:val="both"/>
      </w:pPr>
      <w:r>
        <w:rPr>
          <w:rFonts w:ascii="Times New Roman"/>
          <w:b w:val="false"/>
          <w:i w:val="false"/>
          <w:color w:val="000000"/>
          <w:sz w:val="28"/>
        </w:rPr>
        <w:t>
      10) проводятся необходимый контроль промежуточной продукции, любой другой контроль в процессе производства, и осуществляется валидация;</w:t>
      </w:r>
    </w:p>
    <w:bookmarkEnd w:id="2247"/>
    <w:bookmarkStart w:name="z2350" w:id="2248"/>
    <w:p>
      <w:pPr>
        <w:spacing w:after="0"/>
        <w:ind w:left="0"/>
        <w:jc w:val="both"/>
      </w:pPr>
      <w:r>
        <w:rPr>
          <w:rFonts w:ascii="Times New Roman"/>
          <w:b w:val="false"/>
          <w:i w:val="false"/>
          <w:color w:val="000000"/>
          <w:sz w:val="28"/>
        </w:rPr>
        <w:t>
      11) оказывается содействие постоянному улучшению посредством внедрения усовершенствований, основанных на актуальных знаниях процесса и продукции;</w:t>
      </w:r>
    </w:p>
    <w:bookmarkEnd w:id="2248"/>
    <w:bookmarkStart w:name="z2351" w:id="2249"/>
    <w:p>
      <w:pPr>
        <w:spacing w:after="0"/>
        <w:ind w:left="0"/>
        <w:jc w:val="both"/>
      </w:pPr>
      <w:r>
        <w:rPr>
          <w:rFonts w:ascii="Times New Roman"/>
          <w:b w:val="false"/>
          <w:i w:val="false"/>
          <w:color w:val="000000"/>
          <w:sz w:val="28"/>
        </w:rPr>
        <w:t>
      12) приняты меры для перспективной оценки запланированных изменений и их утверждения до внедрения с учетом необходимости выполнить уведомление уполномоченных органов или согласовать изменения с ними, если это требуется;</w:t>
      </w:r>
    </w:p>
    <w:bookmarkEnd w:id="2249"/>
    <w:bookmarkStart w:name="z2352" w:id="2250"/>
    <w:p>
      <w:pPr>
        <w:spacing w:after="0"/>
        <w:ind w:left="0"/>
        <w:jc w:val="both"/>
      </w:pPr>
      <w:r>
        <w:rPr>
          <w:rFonts w:ascii="Times New Roman"/>
          <w:b w:val="false"/>
          <w:i w:val="false"/>
          <w:color w:val="000000"/>
          <w:sz w:val="28"/>
        </w:rPr>
        <w:t>
      13) проводится оценка любых реализованных изменений после их внедрения для подтверждения того, что цель изменений была достигнута и что это не отразилось на качестве продукции негативно;</w:t>
      </w:r>
    </w:p>
    <w:bookmarkEnd w:id="2250"/>
    <w:bookmarkStart w:name="z2353" w:id="2251"/>
    <w:p>
      <w:pPr>
        <w:spacing w:after="0"/>
        <w:ind w:left="0"/>
        <w:jc w:val="both"/>
      </w:pPr>
      <w:r>
        <w:rPr>
          <w:rFonts w:ascii="Times New Roman"/>
          <w:b w:val="false"/>
          <w:i w:val="false"/>
          <w:color w:val="000000"/>
          <w:sz w:val="28"/>
        </w:rPr>
        <w:t>
      14) во время расследования отклонений, предполагаемых дефектов продукции и других проблем применяется соответствующий уровень анализа основных причин данных несоответствий, который определяются с использованием принципов управления рисками для качества. В случаях, когда истинная основная причина (причины) несоответствия не может быть установлена, идентифицирует наиболее вероятную причину.</w:t>
      </w:r>
    </w:p>
    <w:bookmarkEnd w:id="2251"/>
    <w:bookmarkStart w:name="z2354" w:id="2252"/>
    <w:p>
      <w:pPr>
        <w:spacing w:after="0"/>
        <w:ind w:left="0"/>
        <w:jc w:val="both"/>
      </w:pPr>
      <w:r>
        <w:rPr>
          <w:rFonts w:ascii="Times New Roman"/>
          <w:b w:val="false"/>
          <w:i w:val="false"/>
          <w:color w:val="000000"/>
          <w:sz w:val="28"/>
        </w:rPr>
        <w:t>
      15) случаях, когда в качестве причины подозревается или идентифицирована ошибка персонала, это доказано с особой тщательностью, чтобы гарантировать, что не были пропущены существующие процессные, процедурные или системные ошибки или проблемы. По результатам расследования определяются и предпринимаются соответствующие корректирующие и (или) предупреждающие действия. Эффективность таких действий проверяется и оценивается в соответствии с принципами управления рисками для качества;</w:t>
      </w:r>
    </w:p>
    <w:bookmarkEnd w:id="2252"/>
    <w:bookmarkStart w:name="z2355" w:id="2253"/>
    <w:p>
      <w:pPr>
        <w:spacing w:after="0"/>
        <w:ind w:left="0"/>
        <w:jc w:val="both"/>
      </w:pPr>
      <w:r>
        <w:rPr>
          <w:rFonts w:ascii="Times New Roman"/>
          <w:b w:val="false"/>
          <w:i w:val="false"/>
          <w:color w:val="000000"/>
          <w:sz w:val="28"/>
        </w:rPr>
        <w:t>
      16) лекарственные препараты не будут выпущены в обращение до того, как уполномоченное лицо не удостоверит, что каждая серия продукции была произведена и проконтролирована в соответствии с требованиями регистрационного досье и настоящего Стандарта;</w:t>
      </w:r>
    </w:p>
    <w:bookmarkEnd w:id="2253"/>
    <w:bookmarkStart w:name="z2356" w:id="2254"/>
    <w:p>
      <w:pPr>
        <w:spacing w:after="0"/>
        <w:ind w:left="0"/>
        <w:jc w:val="both"/>
      </w:pPr>
      <w:r>
        <w:rPr>
          <w:rFonts w:ascii="Times New Roman"/>
          <w:b w:val="false"/>
          <w:i w:val="false"/>
          <w:color w:val="000000"/>
          <w:sz w:val="28"/>
        </w:rPr>
        <w:t>
      17) предприняты достаточные меры, обеспечивающие поддержание качества лекарственных препаратов в течение всего срока годности при их хранении и последующем обращении;</w:t>
      </w:r>
    </w:p>
    <w:bookmarkEnd w:id="2254"/>
    <w:bookmarkStart w:name="z2357" w:id="2255"/>
    <w:p>
      <w:pPr>
        <w:spacing w:after="0"/>
        <w:ind w:left="0"/>
        <w:jc w:val="both"/>
      </w:pPr>
      <w:r>
        <w:rPr>
          <w:rFonts w:ascii="Times New Roman"/>
          <w:b w:val="false"/>
          <w:i w:val="false"/>
          <w:color w:val="000000"/>
          <w:sz w:val="28"/>
        </w:rPr>
        <w:t>
      18) имеется процедура проведения самоинспекции и (или) аудита качества, в соответствии с которой регулярно оцениваются эффективность и пригодность фармацевтической системы качества.</w:t>
      </w:r>
    </w:p>
    <w:bookmarkEnd w:id="2255"/>
    <w:bookmarkStart w:name="z2358" w:id="2256"/>
    <w:p>
      <w:pPr>
        <w:spacing w:after="0"/>
        <w:ind w:left="0"/>
        <w:jc w:val="both"/>
      </w:pPr>
      <w:r>
        <w:rPr>
          <w:rFonts w:ascii="Times New Roman"/>
          <w:b w:val="false"/>
          <w:i w:val="false"/>
          <w:color w:val="000000"/>
          <w:sz w:val="28"/>
        </w:rPr>
        <w:t>
      7. Высшее руководство отвечает основную за основную наличие эффективной фармацевтической системы качества, за то, что имеются необходимые ресурсы и что обязанности, полномочия определены, доведены до сведения и выполняются, реализуются во всех подразделениях предприятия. Важна лидирующая роль высшего руководства и его активное участие в фармацевтической системе качества. Это гарантирует поддержку фармацевтической системы качества и заинтересованность персонала на всех уровнях и в подразделениях предприятия.</w:t>
      </w:r>
    </w:p>
    <w:bookmarkEnd w:id="2256"/>
    <w:bookmarkStart w:name="z2359" w:id="2257"/>
    <w:p>
      <w:pPr>
        <w:spacing w:after="0"/>
        <w:ind w:left="0"/>
        <w:jc w:val="both"/>
      </w:pPr>
      <w:r>
        <w:rPr>
          <w:rFonts w:ascii="Times New Roman"/>
          <w:b w:val="false"/>
          <w:i w:val="false"/>
          <w:color w:val="000000"/>
          <w:sz w:val="28"/>
        </w:rPr>
        <w:t>
      8. Проводятся периодические обзоры функционирования фармацевтической системы качества с вовлечением в этот процесс высшего руководства, чтобы определить возможности для постоянного улучшения продукции, процессов и самой системы.</w:t>
      </w:r>
    </w:p>
    <w:bookmarkEnd w:id="2257"/>
    <w:bookmarkStart w:name="z2360" w:id="2258"/>
    <w:p>
      <w:pPr>
        <w:spacing w:after="0"/>
        <w:ind w:left="0"/>
        <w:jc w:val="both"/>
      </w:pPr>
      <w:r>
        <w:rPr>
          <w:rFonts w:ascii="Times New Roman"/>
          <w:b w:val="false"/>
          <w:i w:val="false"/>
          <w:color w:val="000000"/>
          <w:sz w:val="28"/>
        </w:rPr>
        <w:t>
      9. Фармацевтическая система качества определяется и оформляется документально. В руководстве по качеству или эквивалентном ему документе, содержится описание системы управления качеством, включая обязанность руководства.</w:t>
      </w:r>
    </w:p>
    <w:bookmarkEnd w:id="2258"/>
    <w:bookmarkStart w:name="z2361" w:id="2259"/>
    <w:p>
      <w:pPr>
        <w:spacing w:after="0"/>
        <w:ind w:left="0"/>
        <w:jc w:val="left"/>
      </w:pPr>
      <w:r>
        <w:rPr>
          <w:rFonts w:ascii="Times New Roman"/>
          <w:b/>
          <w:i w:val="false"/>
          <w:color w:val="000000"/>
        </w:rPr>
        <w:t xml:space="preserve"> Параграф 3. Надлежащая производственная практика</w:t>
      </w:r>
    </w:p>
    <w:bookmarkEnd w:id="2259"/>
    <w:bookmarkStart w:name="z2362" w:id="2260"/>
    <w:p>
      <w:pPr>
        <w:spacing w:after="0"/>
        <w:ind w:left="0"/>
        <w:jc w:val="both"/>
      </w:pPr>
      <w:r>
        <w:rPr>
          <w:rFonts w:ascii="Times New Roman"/>
          <w:b w:val="false"/>
          <w:i w:val="false"/>
          <w:color w:val="000000"/>
          <w:sz w:val="28"/>
        </w:rPr>
        <w:t>
      10. Надлежащая производственная практика является той частью управления качеством, которая гарантирует, что продукция постоянно производится и контролируется по стандартам качества, соответствующим ее назначению, а также в соответствии с требованиями регистрационного досье, протокола клинических исследований и спецификации на эту продукцию.</w:t>
      </w:r>
    </w:p>
    <w:bookmarkEnd w:id="2260"/>
    <w:bookmarkStart w:name="z2363" w:id="2261"/>
    <w:p>
      <w:pPr>
        <w:spacing w:after="0"/>
        <w:ind w:left="0"/>
        <w:jc w:val="both"/>
      </w:pPr>
      <w:r>
        <w:rPr>
          <w:rFonts w:ascii="Times New Roman"/>
          <w:b w:val="false"/>
          <w:i w:val="false"/>
          <w:color w:val="000000"/>
          <w:sz w:val="28"/>
        </w:rPr>
        <w:t>
      Надлежащая производственная практика связана как с производством, так и с контролем качества.</w:t>
      </w:r>
    </w:p>
    <w:bookmarkEnd w:id="2261"/>
    <w:bookmarkStart w:name="z2364" w:id="2262"/>
    <w:p>
      <w:pPr>
        <w:spacing w:after="0"/>
        <w:ind w:left="0"/>
        <w:jc w:val="both"/>
      </w:pPr>
      <w:r>
        <w:rPr>
          <w:rFonts w:ascii="Times New Roman"/>
          <w:b w:val="false"/>
          <w:i w:val="false"/>
          <w:color w:val="000000"/>
          <w:sz w:val="28"/>
        </w:rPr>
        <w:t>
      Основные требования надлежащей производственной практики:</w:t>
      </w:r>
    </w:p>
    <w:bookmarkEnd w:id="2262"/>
    <w:bookmarkStart w:name="z2365" w:id="2263"/>
    <w:p>
      <w:pPr>
        <w:spacing w:after="0"/>
        <w:ind w:left="0"/>
        <w:jc w:val="both"/>
      </w:pPr>
      <w:r>
        <w:rPr>
          <w:rFonts w:ascii="Times New Roman"/>
          <w:b w:val="false"/>
          <w:i w:val="false"/>
          <w:color w:val="000000"/>
          <w:sz w:val="28"/>
        </w:rPr>
        <w:t>
      1) все производственные процессы определяются, систематически пересматриваются с учетом накопленного опыта и подтверждают способность постоянно производить лекарственные препараты требуемого качества в соответствии со спецификациями;</w:t>
      </w:r>
    </w:p>
    <w:bookmarkEnd w:id="2263"/>
    <w:bookmarkStart w:name="z2366" w:id="2264"/>
    <w:p>
      <w:pPr>
        <w:spacing w:after="0"/>
        <w:ind w:left="0"/>
        <w:jc w:val="both"/>
      </w:pPr>
      <w:r>
        <w:rPr>
          <w:rFonts w:ascii="Times New Roman"/>
          <w:b w:val="false"/>
          <w:i w:val="false"/>
          <w:color w:val="000000"/>
          <w:sz w:val="28"/>
        </w:rPr>
        <w:t>
      2) критические стадии производственного процесса и существенные изменения процесса проходят валидацию;</w:t>
      </w:r>
    </w:p>
    <w:bookmarkEnd w:id="2264"/>
    <w:bookmarkStart w:name="z2367" w:id="2265"/>
    <w:p>
      <w:pPr>
        <w:spacing w:after="0"/>
        <w:ind w:left="0"/>
        <w:jc w:val="both"/>
      </w:pPr>
      <w:r>
        <w:rPr>
          <w:rFonts w:ascii="Times New Roman"/>
          <w:b w:val="false"/>
          <w:i w:val="false"/>
          <w:color w:val="000000"/>
          <w:sz w:val="28"/>
        </w:rPr>
        <w:t>
      3) обеспечивает все необходимые условия для выполнения требований настоящего Стандарта, включая наличие:</w:t>
      </w:r>
    </w:p>
    <w:bookmarkEnd w:id="2265"/>
    <w:bookmarkStart w:name="z2368" w:id="2266"/>
    <w:p>
      <w:pPr>
        <w:spacing w:after="0"/>
        <w:ind w:left="0"/>
        <w:jc w:val="both"/>
      </w:pPr>
      <w:r>
        <w:rPr>
          <w:rFonts w:ascii="Times New Roman"/>
          <w:b w:val="false"/>
          <w:i w:val="false"/>
          <w:color w:val="000000"/>
          <w:sz w:val="28"/>
        </w:rPr>
        <w:t>
      4) надлежащим образом обученного персонала, имеющего необходимую квалификацию;</w:t>
      </w:r>
    </w:p>
    <w:bookmarkEnd w:id="2266"/>
    <w:bookmarkStart w:name="z2369" w:id="2267"/>
    <w:p>
      <w:pPr>
        <w:spacing w:after="0"/>
        <w:ind w:left="0"/>
        <w:jc w:val="both"/>
      </w:pPr>
      <w:r>
        <w:rPr>
          <w:rFonts w:ascii="Times New Roman"/>
          <w:b w:val="false"/>
          <w:i w:val="false"/>
          <w:color w:val="000000"/>
          <w:sz w:val="28"/>
        </w:rPr>
        <w:t>
      5) соответствующих помещений и площадей;</w:t>
      </w:r>
    </w:p>
    <w:bookmarkEnd w:id="2267"/>
    <w:bookmarkStart w:name="z2370" w:id="2268"/>
    <w:p>
      <w:pPr>
        <w:spacing w:after="0"/>
        <w:ind w:left="0"/>
        <w:jc w:val="both"/>
      </w:pPr>
      <w:r>
        <w:rPr>
          <w:rFonts w:ascii="Times New Roman"/>
          <w:b w:val="false"/>
          <w:i w:val="false"/>
          <w:color w:val="000000"/>
          <w:sz w:val="28"/>
        </w:rPr>
        <w:t>
      6) соответствующих оборудования и обслуживания;</w:t>
      </w:r>
    </w:p>
    <w:bookmarkEnd w:id="2268"/>
    <w:bookmarkStart w:name="z2371" w:id="2269"/>
    <w:p>
      <w:pPr>
        <w:spacing w:after="0"/>
        <w:ind w:left="0"/>
        <w:jc w:val="both"/>
      </w:pPr>
      <w:r>
        <w:rPr>
          <w:rFonts w:ascii="Times New Roman"/>
          <w:b w:val="false"/>
          <w:i w:val="false"/>
          <w:color w:val="000000"/>
          <w:sz w:val="28"/>
        </w:rPr>
        <w:t>
      7) соответствующих материалов, контейнеров и этикеток;</w:t>
      </w:r>
    </w:p>
    <w:bookmarkEnd w:id="2269"/>
    <w:bookmarkStart w:name="z2372" w:id="2270"/>
    <w:p>
      <w:pPr>
        <w:spacing w:after="0"/>
        <w:ind w:left="0"/>
        <w:jc w:val="both"/>
      </w:pPr>
      <w:r>
        <w:rPr>
          <w:rFonts w:ascii="Times New Roman"/>
          <w:b w:val="false"/>
          <w:i w:val="false"/>
          <w:color w:val="000000"/>
          <w:sz w:val="28"/>
        </w:rPr>
        <w:t>
      8) утвержденных процедур и инструкций в соответствии с фармацевтической системой качества;</w:t>
      </w:r>
    </w:p>
    <w:bookmarkEnd w:id="2270"/>
    <w:bookmarkStart w:name="z2373" w:id="2271"/>
    <w:p>
      <w:pPr>
        <w:spacing w:after="0"/>
        <w:ind w:left="0"/>
        <w:jc w:val="both"/>
      </w:pPr>
      <w:r>
        <w:rPr>
          <w:rFonts w:ascii="Times New Roman"/>
          <w:b w:val="false"/>
          <w:i w:val="false"/>
          <w:color w:val="000000"/>
          <w:sz w:val="28"/>
        </w:rPr>
        <w:t>
      9) соответствующих условий хранения и транспортирования;</w:t>
      </w:r>
    </w:p>
    <w:bookmarkEnd w:id="2271"/>
    <w:bookmarkStart w:name="z2374" w:id="2272"/>
    <w:p>
      <w:pPr>
        <w:spacing w:after="0"/>
        <w:ind w:left="0"/>
        <w:jc w:val="both"/>
      </w:pPr>
      <w:r>
        <w:rPr>
          <w:rFonts w:ascii="Times New Roman"/>
          <w:b w:val="false"/>
          <w:i w:val="false"/>
          <w:color w:val="000000"/>
          <w:sz w:val="28"/>
        </w:rPr>
        <w:t>
      10) инструкции и процедуры излагаются в письменной форме ясно и недвусмысленно, они конкретно применимы имеющимся в наличии средствам;</w:t>
      </w:r>
    </w:p>
    <w:bookmarkEnd w:id="2272"/>
    <w:bookmarkStart w:name="z2375" w:id="2273"/>
    <w:p>
      <w:pPr>
        <w:spacing w:after="0"/>
        <w:ind w:left="0"/>
        <w:jc w:val="both"/>
      </w:pPr>
      <w:r>
        <w:rPr>
          <w:rFonts w:ascii="Times New Roman"/>
          <w:b w:val="false"/>
          <w:i w:val="false"/>
          <w:color w:val="000000"/>
          <w:sz w:val="28"/>
        </w:rPr>
        <w:t>
      11 )процедуры точно соблюдаются, и персонал обучен правильному их выполнению;</w:t>
      </w:r>
    </w:p>
    <w:bookmarkEnd w:id="2273"/>
    <w:bookmarkStart w:name="z2376" w:id="2274"/>
    <w:p>
      <w:pPr>
        <w:spacing w:after="0"/>
        <w:ind w:left="0"/>
        <w:jc w:val="both"/>
      </w:pPr>
      <w:r>
        <w:rPr>
          <w:rFonts w:ascii="Times New Roman"/>
          <w:b w:val="false"/>
          <w:i w:val="false"/>
          <w:color w:val="000000"/>
          <w:sz w:val="28"/>
        </w:rPr>
        <w:t>
      12) в процессе производства составляются записи (рукописным способом и (или) с применением технических средств), документально подтверждающие фактическое проведение этапов, предусмотренных установленными методиками и инструкциями, также то, что количество и качество продукции соответствуют установленным нормам;</w:t>
      </w:r>
    </w:p>
    <w:bookmarkEnd w:id="2274"/>
    <w:bookmarkStart w:name="z2377" w:id="2275"/>
    <w:p>
      <w:pPr>
        <w:spacing w:after="0"/>
        <w:ind w:left="0"/>
        <w:jc w:val="both"/>
      </w:pPr>
      <w:r>
        <w:rPr>
          <w:rFonts w:ascii="Times New Roman"/>
          <w:b w:val="false"/>
          <w:i w:val="false"/>
          <w:color w:val="000000"/>
          <w:sz w:val="28"/>
        </w:rPr>
        <w:t>
      13) любые существенные отклонения полностью оформляются документально и расследуются с целью определения причины отклонения и осуществления соответствующих корректирующих и предупреждающих действий;</w:t>
      </w:r>
    </w:p>
    <w:bookmarkEnd w:id="2275"/>
    <w:bookmarkStart w:name="z2378" w:id="2276"/>
    <w:p>
      <w:pPr>
        <w:spacing w:after="0"/>
        <w:ind w:left="0"/>
        <w:jc w:val="both"/>
      </w:pPr>
      <w:r>
        <w:rPr>
          <w:rFonts w:ascii="Times New Roman"/>
          <w:b w:val="false"/>
          <w:i w:val="false"/>
          <w:color w:val="000000"/>
          <w:sz w:val="28"/>
        </w:rPr>
        <w:t>
      14) в понятной и доступной форме сохраняются записи, относящиеся к серии (например, в досье на серию), включая документацию по реализации, которые позволяют проследить полную историю серии;</w:t>
      </w:r>
    </w:p>
    <w:bookmarkEnd w:id="2276"/>
    <w:bookmarkStart w:name="z2379" w:id="2277"/>
    <w:p>
      <w:pPr>
        <w:spacing w:after="0"/>
        <w:ind w:left="0"/>
        <w:jc w:val="both"/>
      </w:pPr>
      <w:r>
        <w:rPr>
          <w:rFonts w:ascii="Times New Roman"/>
          <w:b w:val="false"/>
          <w:i w:val="false"/>
          <w:color w:val="000000"/>
          <w:sz w:val="28"/>
        </w:rPr>
        <w:t>
      15) при оптовой реализации продукции сводятся к минимуму риски для ее качества и учитываются Стандарт надлежащей дистрибьюторской практики;</w:t>
      </w:r>
    </w:p>
    <w:bookmarkEnd w:id="2277"/>
    <w:bookmarkStart w:name="z2380" w:id="2278"/>
    <w:p>
      <w:pPr>
        <w:spacing w:after="0"/>
        <w:ind w:left="0"/>
        <w:jc w:val="both"/>
      </w:pPr>
      <w:r>
        <w:rPr>
          <w:rFonts w:ascii="Times New Roman"/>
          <w:b w:val="false"/>
          <w:i w:val="false"/>
          <w:color w:val="000000"/>
          <w:sz w:val="28"/>
        </w:rPr>
        <w:t>
      16) система отзыва любой серии продукции из продажи или поставки;</w:t>
      </w:r>
    </w:p>
    <w:bookmarkEnd w:id="2278"/>
    <w:bookmarkStart w:name="z2381" w:id="2279"/>
    <w:p>
      <w:pPr>
        <w:spacing w:after="0"/>
        <w:ind w:left="0"/>
        <w:jc w:val="both"/>
      </w:pPr>
      <w:r>
        <w:rPr>
          <w:rFonts w:ascii="Times New Roman"/>
          <w:b w:val="false"/>
          <w:i w:val="false"/>
          <w:color w:val="000000"/>
          <w:sz w:val="28"/>
        </w:rPr>
        <w:t>
      17) рассматриваются претензии на поставленную продукцию, расследоваться причины дефектов и принимаются соответствующие меры как в отношении недоброкачественной продукции, так и для предотвращения подобных случаев.</w:t>
      </w:r>
    </w:p>
    <w:bookmarkEnd w:id="2279"/>
    <w:bookmarkStart w:name="z2382" w:id="2280"/>
    <w:p>
      <w:pPr>
        <w:spacing w:after="0"/>
        <w:ind w:left="0"/>
        <w:jc w:val="left"/>
      </w:pPr>
      <w:r>
        <w:rPr>
          <w:rFonts w:ascii="Times New Roman"/>
          <w:b/>
          <w:i w:val="false"/>
          <w:color w:val="000000"/>
        </w:rPr>
        <w:t xml:space="preserve"> Параграф 4. Контроль качества</w:t>
      </w:r>
    </w:p>
    <w:bookmarkEnd w:id="2280"/>
    <w:bookmarkStart w:name="z2383" w:id="2281"/>
    <w:p>
      <w:pPr>
        <w:spacing w:after="0"/>
        <w:ind w:left="0"/>
        <w:jc w:val="both"/>
      </w:pPr>
      <w:r>
        <w:rPr>
          <w:rFonts w:ascii="Times New Roman"/>
          <w:b w:val="false"/>
          <w:i w:val="false"/>
          <w:color w:val="000000"/>
          <w:sz w:val="28"/>
        </w:rPr>
        <w:t>
      11. Контроль качества является частью надлежащей производственной практики, связанной с отбором проб, спецификациями и проведением испытаний, а также с процедурами организации, документирования и выдачи разрешения на выпуск, гарантирующими, что фактически проведены все необходимые испытания и что материалы не будут разрешены для использования, а готовая продукция не будет допущена к реализации или поставке до тех пор, пока их качество не будет признано удовлетворительным.</w:t>
      </w:r>
    </w:p>
    <w:bookmarkEnd w:id="2281"/>
    <w:bookmarkStart w:name="z2384" w:id="2282"/>
    <w:p>
      <w:pPr>
        <w:spacing w:after="0"/>
        <w:ind w:left="0"/>
        <w:jc w:val="both"/>
      </w:pPr>
      <w:r>
        <w:rPr>
          <w:rFonts w:ascii="Times New Roman"/>
          <w:b w:val="false"/>
          <w:i w:val="false"/>
          <w:color w:val="000000"/>
          <w:sz w:val="28"/>
        </w:rPr>
        <w:t>
      Основные требования к контролю качества:</w:t>
      </w:r>
    </w:p>
    <w:bookmarkEnd w:id="2282"/>
    <w:bookmarkStart w:name="z2385" w:id="2283"/>
    <w:p>
      <w:pPr>
        <w:spacing w:after="0"/>
        <w:ind w:left="0"/>
        <w:jc w:val="both"/>
      </w:pPr>
      <w:r>
        <w:rPr>
          <w:rFonts w:ascii="Times New Roman"/>
          <w:b w:val="false"/>
          <w:i w:val="false"/>
          <w:color w:val="000000"/>
          <w:sz w:val="28"/>
        </w:rPr>
        <w:t>
      1) имеются соответствующие помещения и оборудование, обученный персонал и утвержденные методики для отбора проб, контроля и испытаний исходных материалов, промежуточной, нерасфасованной и готовой продукции, а также для мониторинга условий производственной среды целях выполнения требований настоящего Стандарта;</w:t>
      </w:r>
    </w:p>
    <w:bookmarkEnd w:id="2283"/>
    <w:bookmarkStart w:name="z2386" w:id="2284"/>
    <w:p>
      <w:pPr>
        <w:spacing w:after="0"/>
        <w:ind w:left="0"/>
        <w:jc w:val="both"/>
      </w:pPr>
      <w:r>
        <w:rPr>
          <w:rFonts w:ascii="Times New Roman"/>
          <w:b w:val="false"/>
          <w:i w:val="false"/>
          <w:color w:val="000000"/>
          <w:sz w:val="28"/>
        </w:rPr>
        <w:t>
      2) проведение отбора проб исходных и упаковочных материалов, промежуточной, нерасфасованной и готовой продукции назначенным персоналом в соответствии с утвержденными методиками;</w:t>
      </w:r>
    </w:p>
    <w:bookmarkEnd w:id="2284"/>
    <w:bookmarkStart w:name="z2387" w:id="2285"/>
    <w:p>
      <w:pPr>
        <w:spacing w:after="0"/>
        <w:ind w:left="0"/>
        <w:jc w:val="both"/>
      </w:pPr>
      <w:r>
        <w:rPr>
          <w:rFonts w:ascii="Times New Roman"/>
          <w:b w:val="false"/>
          <w:i w:val="false"/>
          <w:color w:val="000000"/>
          <w:sz w:val="28"/>
        </w:rPr>
        <w:t>
      3) методы испытаний проходят валидацию;</w:t>
      </w:r>
    </w:p>
    <w:bookmarkEnd w:id="2285"/>
    <w:bookmarkStart w:name="z2388" w:id="2286"/>
    <w:p>
      <w:pPr>
        <w:spacing w:after="0"/>
        <w:ind w:left="0"/>
        <w:jc w:val="both"/>
      </w:pPr>
      <w:r>
        <w:rPr>
          <w:rFonts w:ascii="Times New Roman"/>
          <w:b w:val="false"/>
          <w:i w:val="false"/>
          <w:color w:val="000000"/>
          <w:sz w:val="28"/>
        </w:rPr>
        <w:t>
      4) составляются записи (рукописным способом и (или) применением технических средств), документально подтверждающие, что все необходимые мероприятия по отбору проб, контролю и методикам испытаний действительно проведены. Любые отклонения оформляются документально и расследуются;</w:t>
      </w:r>
    </w:p>
    <w:bookmarkEnd w:id="2286"/>
    <w:bookmarkStart w:name="z2389" w:id="2287"/>
    <w:p>
      <w:pPr>
        <w:spacing w:after="0"/>
        <w:ind w:left="0"/>
        <w:jc w:val="both"/>
      </w:pPr>
      <w:r>
        <w:rPr>
          <w:rFonts w:ascii="Times New Roman"/>
          <w:b w:val="false"/>
          <w:i w:val="false"/>
          <w:color w:val="000000"/>
          <w:sz w:val="28"/>
        </w:rPr>
        <w:t>
      5) готовая продукция содержит активные фармацевтические субстанции, соответствующие регистрационному досье по качественному и количественному составу, имеет требуемую чистоту, вложена в надлежащую упаковку и правильно маркирована;</w:t>
      </w:r>
    </w:p>
    <w:bookmarkEnd w:id="2287"/>
    <w:bookmarkStart w:name="z2390" w:id="2288"/>
    <w:p>
      <w:pPr>
        <w:spacing w:after="0"/>
        <w:ind w:left="0"/>
        <w:jc w:val="both"/>
      </w:pPr>
      <w:r>
        <w:rPr>
          <w:rFonts w:ascii="Times New Roman"/>
          <w:b w:val="false"/>
          <w:i w:val="false"/>
          <w:color w:val="000000"/>
          <w:sz w:val="28"/>
        </w:rPr>
        <w:t>
      6) записи, оформленные по результатам контроля и испытаний материалов, промежуточной, нерасфасованной и готовой продукции, официально сопоставлены с требованиями спецификаций. Оценка продукции включает в себя обзор и оценку, соответствующей производственной документации и оценку отклонений от установленных процедур;</w:t>
      </w:r>
    </w:p>
    <w:bookmarkEnd w:id="2288"/>
    <w:bookmarkStart w:name="z2391" w:id="2289"/>
    <w:p>
      <w:pPr>
        <w:spacing w:after="0"/>
        <w:ind w:left="0"/>
        <w:jc w:val="both"/>
      </w:pPr>
      <w:r>
        <w:rPr>
          <w:rFonts w:ascii="Times New Roman"/>
          <w:b w:val="false"/>
          <w:i w:val="false"/>
          <w:color w:val="000000"/>
          <w:sz w:val="28"/>
        </w:rPr>
        <w:t>
      7) ни одна серия продукции не может быть разрешена для реализации или поставки до того, как уполномоченное лицо согласно приложению № 16 не удостоверит ее соответствие требованиям, установленным при государственной регистрации;</w:t>
      </w:r>
    </w:p>
    <w:bookmarkEnd w:id="2289"/>
    <w:bookmarkStart w:name="z2392" w:id="2290"/>
    <w:p>
      <w:pPr>
        <w:spacing w:after="0"/>
        <w:ind w:left="0"/>
        <w:jc w:val="both"/>
      </w:pPr>
      <w:r>
        <w:rPr>
          <w:rFonts w:ascii="Times New Roman"/>
          <w:b w:val="false"/>
          <w:i w:val="false"/>
          <w:color w:val="000000"/>
          <w:sz w:val="28"/>
        </w:rPr>
        <w:t>
      8) сохраняются достаточное количество контрольных образцов исходных и упаковочных материалов и готовой продукции, которое позволит проводить испытания в будущем согласно приложению № 19. Образцы готовой продукции хранятся в окончательной упаковке.</w:t>
      </w:r>
    </w:p>
    <w:bookmarkEnd w:id="2290"/>
    <w:bookmarkStart w:name="z2393" w:id="2291"/>
    <w:p>
      <w:pPr>
        <w:spacing w:after="0"/>
        <w:ind w:left="0"/>
        <w:jc w:val="left"/>
      </w:pPr>
      <w:r>
        <w:rPr>
          <w:rFonts w:ascii="Times New Roman"/>
          <w:b/>
          <w:i w:val="false"/>
          <w:color w:val="000000"/>
        </w:rPr>
        <w:t xml:space="preserve"> Параграф 5. Обзор качества продукции</w:t>
      </w:r>
    </w:p>
    <w:bookmarkEnd w:id="2291"/>
    <w:bookmarkStart w:name="z2394" w:id="2292"/>
    <w:p>
      <w:pPr>
        <w:spacing w:after="0"/>
        <w:ind w:left="0"/>
        <w:jc w:val="both"/>
      </w:pPr>
      <w:r>
        <w:rPr>
          <w:rFonts w:ascii="Times New Roman"/>
          <w:b w:val="false"/>
          <w:i w:val="false"/>
          <w:color w:val="000000"/>
          <w:sz w:val="28"/>
        </w:rPr>
        <w:t>
      12. Регулярно проводятся обзоры качества всех зарегистрированных произведенных лекарственных препаратов, в том числе лекарственных препаратов, изготовляемых только на экспорт, с целью подтверждения постоянства имеющегося процесса, соответствия действующим спецификациям как на исходные материалы, так и на готовую продукцию, чтобы выявить какие-либо тенденции (тренды) и установить возможность усовершенствования продукции и процесса. Такие обзоры оформляют документально и проводят, как правило, ежегодно, принимая во внимание предыдущие обзоры. Они включают, как минимум, следующее:</w:t>
      </w:r>
    </w:p>
    <w:bookmarkEnd w:id="2292"/>
    <w:bookmarkStart w:name="z2395" w:id="2293"/>
    <w:p>
      <w:pPr>
        <w:spacing w:after="0"/>
        <w:ind w:left="0"/>
        <w:jc w:val="both"/>
      </w:pPr>
      <w:r>
        <w:rPr>
          <w:rFonts w:ascii="Times New Roman"/>
          <w:b w:val="false"/>
          <w:i w:val="false"/>
          <w:color w:val="000000"/>
          <w:sz w:val="28"/>
        </w:rPr>
        <w:t>
      1) обзор исходных материалов (включая упаковочные материалы), используемых при производстве, особенно отмечая те, которые получены от новых поставщиков, и отдельный обзор прослеживаемости цепи поставки активных фармацевтических субстанций;</w:t>
      </w:r>
    </w:p>
    <w:bookmarkEnd w:id="2293"/>
    <w:bookmarkStart w:name="z2396" w:id="2294"/>
    <w:p>
      <w:pPr>
        <w:spacing w:after="0"/>
        <w:ind w:left="0"/>
        <w:jc w:val="both"/>
      </w:pPr>
      <w:r>
        <w:rPr>
          <w:rFonts w:ascii="Times New Roman"/>
          <w:b w:val="false"/>
          <w:i w:val="false"/>
          <w:color w:val="000000"/>
          <w:sz w:val="28"/>
        </w:rPr>
        <w:t>
      2) обзор критических точек контроля в процессе производства и результатов контроля готовой продукции;</w:t>
      </w:r>
    </w:p>
    <w:bookmarkEnd w:id="2294"/>
    <w:bookmarkStart w:name="z2397" w:id="2295"/>
    <w:p>
      <w:pPr>
        <w:spacing w:after="0"/>
        <w:ind w:left="0"/>
        <w:jc w:val="both"/>
      </w:pPr>
      <w:r>
        <w:rPr>
          <w:rFonts w:ascii="Times New Roman"/>
          <w:b w:val="false"/>
          <w:i w:val="false"/>
          <w:color w:val="000000"/>
          <w:sz w:val="28"/>
        </w:rPr>
        <w:t>
      3) обзор всех серий, которые не соответствовали установленным спецификациям, и результатов соответствующих расследований;</w:t>
      </w:r>
    </w:p>
    <w:bookmarkEnd w:id="2295"/>
    <w:bookmarkStart w:name="z2398" w:id="2296"/>
    <w:p>
      <w:pPr>
        <w:spacing w:after="0"/>
        <w:ind w:left="0"/>
        <w:jc w:val="both"/>
      </w:pPr>
      <w:r>
        <w:rPr>
          <w:rFonts w:ascii="Times New Roman"/>
          <w:b w:val="false"/>
          <w:i w:val="false"/>
          <w:color w:val="000000"/>
          <w:sz w:val="28"/>
        </w:rPr>
        <w:t>
      4) обзор всех существенных отклонений или несоответствий, связанных с ними расследований, эффективности и результативности предпринятых корректирующих и предупреждающих действий;</w:t>
      </w:r>
    </w:p>
    <w:bookmarkEnd w:id="2296"/>
    <w:bookmarkStart w:name="z2399" w:id="2297"/>
    <w:p>
      <w:pPr>
        <w:spacing w:after="0"/>
        <w:ind w:left="0"/>
        <w:jc w:val="both"/>
      </w:pPr>
      <w:r>
        <w:rPr>
          <w:rFonts w:ascii="Times New Roman"/>
          <w:b w:val="false"/>
          <w:i w:val="false"/>
          <w:color w:val="000000"/>
          <w:sz w:val="28"/>
        </w:rPr>
        <w:t>
      5) обзор всех изменений, внесенных в процессы или аналитические методики;</w:t>
      </w:r>
    </w:p>
    <w:bookmarkEnd w:id="2297"/>
    <w:bookmarkStart w:name="z2400" w:id="2298"/>
    <w:p>
      <w:pPr>
        <w:spacing w:after="0"/>
        <w:ind w:left="0"/>
        <w:jc w:val="both"/>
      </w:pPr>
      <w:r>
        <w:rPr>
          <w:rFonts w:ascii="Times New Roman"/>
          <w:b w:val="false"/>
          <w:i w:val="false"/>
          <w:color w:val="000000"/>
          <w:sz w:val="28"/>
        </w:rPr>
        <w:t>
      6) обзор поданных, утвержденных или отклоненных изменений в регистрационное досье, в том числе в досье на лекарственные препараты, предназначенные только для экспорта;</w:t>
      </w:r>
    </w:p>
    <w:bookmarkEnd w:id="2298"/>
    <w:bookmarkStart w:name="z2401" w:id="2299"/>
    <w:p>
      <w:pPr>
        <w:spacing w:after="0"/>
        <w:ind w:left="0"/>
        <w:jc w:val="both"/>
      </w:pPr>
      <w:r>
        <w:rPr>
          <w:rFonts w:ascii="Times New Roman"/>
          <w:b w:val="false"/>
          <w:i w:val="false"/>
          <w:color w:val="000000"/>
          <w:sz w:val="28"/>
        </w:rPr>
        <w:t>
      7) обзор результатов мониторинга стабильности и любых неблагоприятных тенденций;</w:t>
      </w:r>
    </w:p>
    <w:bookmarkEnd w:id="2299"/>
    <w:bookmarkStart w:name="z2402" w:id="2300"/>
    <w:p>
      <w:pPr>
        <w:spacing w:after="0"/>
        <w:ind w:left="0"/>
        <w:jc w:val="both"/>
      </w:pPr>
      <w:r>
        <w:rPr>
          <w:rFonts w:ascii="Times New Roman"/>
          <w:b w:val="false"/>
          <w:i w:val="false"/>
          <w:color w:val="000000"/>
          <w:sz w:val="28"/>
        </w:rPr>
        <w:t>
      8) обзор всех связанных с качеством продукции возвратов, претензий и отзывов, а также проведенных в это время расследований;</w:t>
      </w:r>
    </w:p>
    <w:bookmarkEnd w:id="2300"/>
    <w:bookmarkStart w:name="z2403" w:id="2301"/>
    <w:p>
      <w:pPr>
        <w:spacing w:after="0"/>
        <w:ind w:left="0"/>
        <w:jc w:val="both"/>
      </w:pPr>
      <w:r>
        <w:rPr>
          <w:rFonts w:ascii="Times New Roman"/>
          <w:b w:val="false"/>
          <w:i w:val="false"/>
          <w:color w:val="000000"/>
          <w:sz w:val="28"/>
        </w:rPr>
        <w:t>
      9) обзор достаточности любых ранее проведенных корректирующих действий в отношении производства или оборудования;</w:t>
      </w:r>
    </w:p>
    <w:bookmarkEnd w:id="2301"/>
    <w:bookmarkStart w:name="z2404" w:id="2302"/>
    <w:p>
      <w:pPr>
        <w:spacing w:after="0"/>
        <w:ind w:left="0"/>
        <w:jc w:val="both"/>
      </w:pPr>
      <w:r>
        <w:rPr>
          <w:rFonts w:ascii="Times New Roman"/>
          <w:b w:val="false"/>
          <w:i w:val="false"/>
          <w:color w:val="000000"/>
          <w:sz w:val="28"/>
        </w:rPr>
        <w:t>
      10) обзор пострегистрационных обязательств при получении новых регистрационных удостоверений или внесения изменений в регистрационные досье;</w:t>
      </w:r>
    </w:p>
    <w:bookmarkEnd w:id="2302"/>
    <w:bookmarkStart w:name="z2405" w:id="2303"/>
    <w:p>
      <w:pPr>
        <w:spacing w:after="0"/>
        <w:ind w:left="0"/>
        <w:jc w:val="both"/>
      </w:pPr>
      <w:r>
        <w:rPr>
          <w:rFonts w:ascii="Times New Roman"/>
          <w:b w:val="false"/>
          <w:i w:val="false"/>
          <w:color w:val="000000"/>
          <w:sz w:val="28"/>
        </w:rPr>
        <w:t>
      11) состояние квалификации соответствующих оборудования и технических средств, например, систем нагрева, вентиляции и кондиционирования воздуха, систем снабжения водой, сжатыми газами и т.д.;</w:t>
      </w:r>
    </w:p>
    <w:bookmarkEnd w:id="2303"/>
    <w:bookmarkStart w:name="z2406" w:id="2304"/>
    <w:p>
      <w:pPr>
        <w:spacing w:after="0"/>
        <w:ind w:left="0"/>
        <w:jc w:val="both"/>
      </w:pPr>
      <w:r>
        <w:rPr>
          <w:rFonts w:ascii="Times New Roman"/>
          <w:b w:val="false"/>
          <w:i w:val="false"/>
          <w:color w:val="000000"/>
          <w:sz w:val="28"/>
        </w:rPr>
        <w:t>
      12) обзор любых контрактных соглашений, указанных в главе 7 настоящего Стандарта, с целью подтверждения их соответствия действующим требованиям.</w:t>
      </w:r>
    </w:p>
    <w:bookmarkEnd w:id="2304"/>
    <w:bookmarkStart w:name="z2407" w:id="2305"/>
    <w:p>
      <w:pPr>
        <w:spacing w:after="0"/>
        <w:ind w:left="0"/>
        <w:jc w:val="both"/>
      </w:pPr>
      <w:r>
        <w:rPr>
          <w:rFonts w:ascii="Times New Roman"/>
          <w:b w:val="false"/>
          <w:i w:val="false"/>
          <w:color w:val="000000"/>
          <w:sz w:val="28"/>
        </w:rPr>
        <w:t>
      13. Производитель и держатель регистрационного удостоверения (если они являются разными организациями) оценивает результаты обзора качества и делает выводы о необходимости осуществления корректирующих и предупреждающих действий или проведения повторной валидации в рамках фармацевтической системы качества. Имеются процедуры для постоянного управления и анализа таких действий. Эффективность этих процедур подтверждается во время самоинспекции. Обзоры качества можно группировать по видам продукции (твердые лекарственные формы, жидкие лекарственные формы, стерильные лекарственные препараты и т. д.) при наличии научного обоснования.</w:t>
      </w:r>
    </w:p>
    <w:bookmarkEnd w:id="2305"/>
    <w:bookmarkStart w:name="z2408" w:id="2306"/>
    <w:p>
      <w:pPr>
        <w:spacing w:after="0"/>
        <w:ind w:left="0"/>
        <w:jc w:val="both"/>
      </w:pPr>
      <w:r>
        <w:rPr>
          <w:rFonts w:ascii="Times New Roman"/>
          <w:b w:val="false"/>
          <w:i w:val="false"/>
          <w:color w:val="000000"/>
          <w:sz w:val="28"/>
        </w:rPr>
        <w:t>
      Если держатель регистрационного удостоверения не является производителем, то заключается соглашение между ним и производителем, в котором устанавливаются соответствующие обязанности сторон в отношении составления обзора качества.</w:t>
      </w:r>
    </w:p>
    <w:bookmarkEnd w:id="2306"/>
    <w:bookmarkStart w:name="z2409" w:id="2307"/>
    <w:p>
      <w:pPr>
        <w:spacing w:after="0"/>
        <w:ind w:left="0"/>
        <w:jc w:val="left"/>
      </w:pPr>
      <w:r>
        <w:rPr>
          <w:rFonts w:ascii="Times New Roman"/>
          <w:b/>
          <w:i w:val="false"/>
          <w:color w:val="000000"/>
        </w:rPr>
        <w:t xml:space="preserve"> Параграф 6. Управление рисками для качества</w:t>
      </w:r>
    </w:p>
    <w:bookmarkEnd w:id="2307"/>
    <w:bookmarkStart w:name="z2410" w:id="2308"/>
    <w:p>
      <w:pPr>
        <w:spacing w:after="0"/>
        <w:ind w:left="0"/>
        <w:jc w:val="both"/>
      </w:pPr>
      <w:r>
        <w:rPr>
          <w:rFonts w:ascii="Times New Roman"/>
          <w:b w:val="false"/>
          <w:i w:val="false"/>
          <w:color w:val="000000"/>
          <w:sz w:val="28"/>
        </w:rPr>
        <w:t>
      14. Управление рисками для качества является систематизированным процессом оценки, контроля, передачи информации, а также обзора рисков для качества лекарственного препарата. Этот процесс проводиться как перспективно, так и ретроспективно.</w:t>
      </w:r>
    </w:p>
    <w:bookmarkEnd w:id="2308"/>
    <w:bookmarkStart w:name="z2411" w:id="2309"/>
    <w:p>
      <w:pPr>
        <w:spacing w:after="0"/>
        <w:ind w:left="0"/>
        <w:jc w:val="both"/>
      </w:pPr>
      <w:r>
        <w:rPr>
          <w:rFonts w:ascii="Times New Roman"/>
          <w:b w:val="false"/>
          <w:i w:val="false"/>
          <w:color w:val="000000"/>
          <w:sz w:val="28"/>
        </w:rPr>
        <w:t>
      15. Принципы управления рисками для качества:</w:t>
      </w:r>
    </w:p>
    <w:bookmarkEnd w:id="2309"/>
    <w:bookmarkStart w:name="z2412" w:id="2310"/>
    <w:p>
      <w:pPr>
        <w:spacing w:after="0"/>
        <w:ind w:left="0"/>
        <w:jc w:val="both"/>
      </w:pPr>
      <w:r>
        <w:rPr>
          <w:rFonts w:ascii="Times New Roman"/>
          <w:b w:val="false"/>
          <w:i w:val="false"/>
          <w:color w:val="000000"/>
          <w:sz w:val="28"/>
        </w:rPr>
        <w:t>
      оценка рисков для качества основывается на научных знаниях, опыте работы в отношении процесса и в конечном счете связана с защитой пациента;</w:t>
      </w:r>
    </w:p>
    <w:bookmarkEnd w:id="2310"/>
    <w:bookmarkStart w:name="z2413" w:id="2311"/>
    <w:p>
      <w:pPr>
        <w:spacing w:after="0"/>
        <w:ind w:left="0"/>
        <w:jc w:val="both"/>
      </w:pPr>
      <w:r>
        <w:rPr>
          <w:rFonts w:ascii="Times New Roman"/>
          <w:b w:val="false"/>
          <w:i w:val="false"/>
          <w:color w:val="000000"/>
          <w:sz w:val="28"/>
        </w:rPr>
        <w:t>
      масштаб работ, степень формализации и документального оформления процесса управления рисками для качества соответствуют уровню риска.</w:t>
      </w:r>
    </w:p>
    <w:bookmarkEnd w:id="2311"/>
    <w:bookmarkStart w:name="z2414" w:id="2312"/>
    <w:p>
      <w:pPr>
        <w:spacing w:after="0"/>
        <w:ind w:left="0"/>
        <w:jc w:val="both"/>
      </w:pPr>
      <w:r>
        <w:rPr>
          <w:rFonts w:ascii="Times New Roman"/>
          <w:b w:val="false"/>
          <w:i w:val="false"/>
          <w:color w:val="000000"/>
          <w:sz w:val="28"/>
        </w:rPr>
        <w:t>
      Примеры процессов и применения управления рисками для качества также указаны в главе 12 части III настоящего Стандарта.</w:t>
      </w:r>
    </w:p>
    <w:bookmarkEnd w:id="2312"/>
    <w:bookmarkStart w:name="z2415" w:id="2313"/>
    <w:p>
      <w:pPr>
        <w:spacing w:after="0"/>
        <w:ind w:left="0"/>
        <w:jc w:val="left"/>
      </w:pPr>
      <w:r>
        <w:rPr>
          <w:rFonts w:ascii="Times New Roman"/>
          <w:b/>
          <w:i w:val="false"/>
          <w:color w:val="000000"/>
        </w:rPr>
        <w:t xml:space="preserve"> Глава 3. Персонал</w:t>
      </w:r>
    </w:p>
    <w:bookmarkEnd w:id="2313"/>
    <w:bookmarkStart w:name="z2416" w:id="2314"/>
    <w:p>
      <w:pPr>
        <w:spacing w:after="0"/>
        <w:ind w:left="0"/>
        <w:jc w:val="left"/>
      </w:pPr>
      <w:r>
        <w:rPr>
          <w:rFonts w:ascii="Times New Roman"/>
          <w:b/>
          <w:i w:val="false"/>
          <w:color w:val="000000"/>
        </w:rPr>
        <w:t xml:space="preserve"> Параграф 1. Принцип</w:t>
      </w:r>
    </w:p>
    <w:bookmarkEnd w:id="2314"/>
    <w:bookmarkStart w:name="z2417" w:id="2315"/>
    <w:p>
      <w:pPr>
        <w:spacing w:after="0"/>
        <w:ind w:left="0"/>
        <w:jc w:val="both"/>
      </w:pPr>
      <w:r>
        <w:rPr>
          <w:rFonts w:ascii="Times New Roman"/>
          <w:b w:val="false"/>
          <w:i w:val="false"/>
          <w:color w:val="000000"/>
          <w:sz w:val="28"/>
        </w:rPr>
        <w:t>
      16. Надлежащее производство лекарственных средств зависит от персонала. Поэтому на предприятии достаточное количество квалифицированного персонала для решения всех задач, относящихся к сфере ответственности производителя. Каждый сотрудник понимает индивидуальную ответственность, которая документально оформляется. Весь персонал знает принципы надлежащей производственной практики, касающиеся его деятельности, а также пройти первичное и последующее обучение в соответствии с его обязанностями, включая инструктаж по выполнению гигиенических требований.</w:t>
      </w:r>
    </w:p>
    <w:bookmarkEnd w:id="2315"/>
    <w:bookmarkStart w:name="z2418" w:id="2316"/>
    <w:p>
      <w:pPr>
        <w:spacing w:after="0"/>
        <w:ind w:left="0"/>
        <w:jc w:val="left"/>
      </w:pPr>
      <w:r>
        <w:rPr>
          <w:rFonts w:ascii="Times New Roman"/>
          <w:b/>
          <w:i w:val="false"/>
          <w:color w:val="000000"/>
        </w:rPr>
        <w:t xml:space="preserve"> Параграф 2. Общие требования</w:t>
      </w:r>
    </w:p>
    <w:bookmarkEnd w:id="2316"/>
    <w:bookmarkStart w:name="z2419" w:id="2317"/>
    <w:p>
      <w:pPr>
        <w:spacing w:after="0"/>
        <w:ind w:left="0"/>
        <w:jc w:val="both"/>
      </w:pPr>
      <w:r>
        <w:rPr>
          <w:rFonts w:ascii="Times New Roman"/>
          <w:b w:val="false"/>
          <w:i w:val="false"/>
          <w:color w:val="000000"/>
          <w:sz w:val="28"/>
        </w:rPr>
        <w:t>
      17. Производитель имеет достаточное количество сотрудников с необходимой квалификацией и практическим опытом работы. Высшее руководство определяет и обеспечивает достаточные и надлежащие ресурсы (человеческие, финансовые, материальные, а также помещения и оборудование) для внедрения и поддержания системы управления качеством и постоянного повышения эффективности. Обязанности любого сотрудника не чрезмерные, чтобы исключить возможность возникновения рисков для качества продукции.</w:t>
      </w:r>
    </w:p>
    <w:bookmarkEnd w:id="2317"/>
    <w:bookmarkStart w:name="z2420" w:id="2318"/>
    <w:p>
      <w:pPr>
        <w:spacing w:after="0"/>
        <w:ind w:left="0"/>
        <w:jc w:val="both"/>
      </w:pPr>
      <w:r>
        <w:rPr>
          <w:rFonts w:ascii="Times New Roman"/>
          <w:b w:val="false"/>
          <w:i w:val="false"/>
          <w:color w:val="000000"/>
          <w:sz w:val="28"/>
        </w:rPr>
        <w:t>
      18. На предприятии имеется схема организационной структуры, в которой отношения между руководителями производства, контроля качества и, где это применимо, руководителем подразделения обеспечения качества или подразделения по качеству, указанные в пункте 307 настоящего раздела, и позиция уполномоченного лица (лиц) ясно обозначены в иерархии управления.</w:t>
      </w:r>
    </w:p>
    <w:bookmarkEnd w:id="2318"/>
    <w:bookmarkStart w:name="z2421" w:id="2319"/>
    <w:p>
      <w:pPr>
        <w:spacing w:after="0"/>
        <w:ind w:left="0"/>
        <w:jc w:val="both"/>
      </w:pPr>
      <w:r>
        <w:rPr>
          <w:rFonts w:ascii="Times New Roman"/>
          <w:b w:val="false"/>
          <w:i w:val="false"/>
          <w:color w:val="000000"/>
          <w:sz w:val="28"/>
        </w:rPr>
        <w:t>
      19. Обязанности и соответствующие полномочия для их выполнения определяются и прописываются в должностных инструкциях. Обязанности руководящего персонала могут быть переданы назначенным заместителям, обладающим достаточным уровнем квалификации. Круг обязанностей персонала охватывает все стороны надлежащей производственной практики, однако нет необоснованного дублирования сфер ответственности.</w:t>
      </w:r>
    </w:p>
    <w:bookmarkEnd w:id="2319"/>
    <w:bookmarkStart w:name="z2422" w:id="2320"/>
    <w:p>
      <w:pPr>
        <w:spacing w:after="0"/>
        <w:ind w:left="0"/>
        <w:jc w:val="both"/>
      </w:pPr>
      <w:r>
        <w:rPr>
          <w:rFonts w:ascii="Times New Roman"/>
          <w:b w:val="false"/>
          <w:i w:val="false"/>
          <w:color w:val="000000"/>
          <w:sz w:val="28"/>
        </w:rPr>
        <w:t>
      20. Высшее руководство отвечает за основное обеспечение эффективной системы управления качеством для достижения целей в области качества, а также за то, что роли, обязанности и полномочия определены, доведены до сведения персонала и осуществляются в рамках всей организации. Высшее руководство устанавливает политику в области качества, которая определяет общие намерения и направления деятельности компании, связанные с качеством, и обеспечивает постоянную пригодность и эффективность системы управления качеством и соответствие надлежащей производственной практики путем участия в анализе со стороны руководства.</w:t>
      </w:r>
    </w:p>
    <w:bookmarkEnd w:id="2320"/>
    <w:bookmarkStart w:name="z2423" w:id="2321"/>
    <w:p>
      <w:pPr>
        <w:spacing w:after="0"/>
        <w:ind w:left="0"/>
        <w:jc w:val="left"/>
      </w:pPr>
      <w:r>
        <w:rPr>
          <w:rFonts w:ascii="Times New Roman"/>
          <w:b/>
          <w:i w:val="false"/>
          <w:color w:val="000000"/>
        </w:rPr>
        <w:t xml:space="preserve"> Параграф 3. Ключевой персонал</w:t>
      </w:r>
    </w:p>
    <w:bookmarkEnd w:id="2321"/>
    <w:bookmarkStart w:name="z2424" w:id="2322"/>
    <w:p>
      <w:pPr>
        <w:spacing w:after="0"/>
        <w:ind w:left="0"/>
        <w:jc w:val="both"/>
      </w:pPr>
      <w:r>
        <w:rPr>
          <w:rFonts w:ascii="Times New Roman"/>
          <w:b w:val="false"/>
          <w:i w:val="false"/>
          <w:color w:val="000000"/>
          <w:sz w:val="28"/>
        </w:rPr>
        <w:t>
      21. Высшее руководство назначает ключевой руководящий персонал, включая руководителя производства и руководителя подразделения контроля качества, а также достаточное число (но не менее 1) уполномоченных лиц, если в обязанности руководителя производства и (или) руководителя подразделения контроля качества не входят обязанности, предусмотренные для уполномоченного лица. Ключевой руководящий персонал, как правило, работает полный рабочий день. Руководители производства и подразделения контроля качества независимы друг от друга. В больших организациях возникает необходимость передать другим сотрудникам отдельные обязанности, указанные в пунктах 23 - 25 настоящего раздела.</w:t>
      </w:r>
    </w:p>
    <w:bookmarkEnd w:id="2322"/>
    <w:bookmarkStart w:name="z2425" w:id="2323"/>
    <w:p>
      <w:pPr>
        <w:spacing w:after="0"/>
        <w:ind w:left="0"/>
        <w:jc w:val="both"/>
      </w:pPr>
      <w:r>
        <w:rPr>
          <w:rFonts w:ascii="Times New Roman"/>
          <w:b w:val="false"/>
          <w:i w:val="false"/>
          <w:color w:val="000000"/>
          <w:sz w:val="28"/>
        </w:rPr>
        <w:t>
      Кроме того, в зависимости от размера и структуры организации может быть отдельно назначен руководитель подразделения обеспечения качества или руководитель подразделения качества. При наличии таких подразделений некоторые их обязанности, указанные в пунктах 23 - 25 настоящего раздела, будут общими с обязанностями руководителя подразделения контроля качества и руководителя производства, поэтому высшее руководство обеспечивает, чтобы их обязанности и полномочия были четко и недвусмысленно определены.</w:t>
      </w:r>
    </w:p>
    <w:bookmarkEnd w:id="2323"/>
    <w:bookmarkStart w:name="z2426" w:id="2324"/>
    <w:p>
      <w:pPr>
        <w:spacing w:after="0"/>
        <w:ind w:left="0"/>
        <w:jc w:val="both"/>
      </w:pPr>
      <w:r>
        <w:rPr>
          <w:rFonts w:ascii="Times New Roman"/>
          <w:b w:val="false"/>
          <w:i w:val="false"/>
          <w:color w:val="000000"/>
          <w:sz w:val="28"/>
        </w:rPr>
        <w:t xml:space="preserve">
      22. Обязанности уполномоченного лица: </w:t>
      </w:r>
    </w:p>
    <w:bookmarkEnd w:id="2324"/>
    <w:bookmarkStart w:name="z2427" w:id="2325"/>
    <w:p>
      <w:pPr>
        <w:spacing w:after="0"/>
        <w:ind w:left="0"/>
        <w:jc w:val="both"/>
      </w:pPr>
      <w:r>
        <w:rPr>
          <w:rFonts w:ascii="Times New Roman"/>
          <w:b w:val="false"/>
          <w:i w:val="false"/>
          <w:color w:val="000000"/>
          <w:sz w:val="28"/>
        </w:rPr>
        <w:t>
      Для лекарственных средств, уполномоченное лицо гарантирует, что каждая серия была произведена и проверена в соответствии с законодательством и в соответствии с требованиями регистрационного досье;</w:t>
      </w:r>
    </w:p>
    <w:bookmarkEnd w:id="2325"/>
    <w:bookmarkStart w:name="z2428" w:id="2326"/>
    <w:p>
      <w:pPr>
        <w:spacing w:after="0"/>
        <w:ind w:left="0"/>
        <w:jc w:val="both"/>
      </w:pPr>
      <w:r>
        <w:rPr>
          <w:rFonts w:ascii="Times New Roman"/>
          <w:b w:val="false"/>
          <w:i w:val="false"/>
          <w:color w:val="000000"/>
          <w:sz w:val="28"/>
        </w:rPr>
        <w:t>
      Уполномоченное лицо (лица) перед выпуском любой серии документально подтверждает, что все необходимые операции выполняются и что каждая серия соответствует установленным требованиям.</w:t>
      </w:r>
    </w:p>
    <w:bookmarkEnd w:id="2326"/>
    <w:bookmarkStart w:name="z2429" w:id="2327"/>
    <w:p>
      <w:pPr>
        <w:spacing w:after="0"/>
        <w:ind w:left="0"/>
        <w:jc w:val="both"/>
      </w:pPr>
      <w:r>
        <w:rPr>
          <w:rFonts w:ascii="Times New Roman"/>
          <w:b w:val="false"/>
          <w:i w:val="false"/>
          <w:color w:val="000000"/>
          <w:sz w:val="28"/>
        </w:rPr>
        <w:t>
      Образование, обучение и стаж работы уполномоченных лиц соответствуют требованиям, установленным международными договорами. Они постоянно и непрерывно находятся в распоряжении владельца разрешения (лицензии) на производство для выполнения своих обязанностей.</w:t>
      </w:r>
    </w:p>
    <w:bookmarkEnd w:id="2327"/>
    <w:bookmarkStart w:name="z2430" w:id="2328"/>
    <w:p>
      <w:pPr>
        <w:spacing w:after="0"/>
        <w:ind w:left="0"/>
        <w:jc w:val="both"/>
      </w:pPr>
      <w:r>
        <w:rPr>
          <w:rFonts w:ascii="Times New Roman"/>
          <w:b w:val="false"/>
          <w:i w:val="false"/>
          <w:color w:val="000000"/>
          <w:sz w:val="28"/>
        </w:rPr>
        <w:t>
      Должностные обязанности уполномоченного лица могут быть переданы только другому уполномоченному лицу (лицам).</w:t>
      </w:r>
    </w:p>
    <w:bookmarkEnd w:id="2328"/>
    <w:bookmarkStart w:name="z2431" w:id="2329"/>
    <w:p>
      <w:pPr>
        <w:spacing w:after="0"/>
        <w:ind w:left="0"/>
        <w:jc w:val="both"/>
      </w:pPr>
      <w:r>
        <w:rPr>
          <w:rFonts w:ascii="Times New Roman"/>
          <w:b w:val="false"/>
          <w:i w:val="false"/>
          <w:color w:val="000000"/>
          <w:sz w:val="28"/>
        </w:rPr>
        <w:t>
      Порядок подтверждения уполномоченным лицом соответствия серии продукции приведен в приложении № 16.</w:t>
      </w:r>
    </w:p>
    <w:bookmarkEnd w:id="2329"/>
    <w:bookmarkStart w:name="z2432" w:id="2330"/>
    <w:p>
      <w:pPr>
        <w:spacing w:after="0"/>
        <w:ind w:left="0"/>
        <w:jc w:val="both"/>
      </w:pPr>
      <w:r>
        <w:rPr>
          <w:rFonts w:ascii="Times New Roman"/>
          <w:b w:val="false"/>
          <w:i w:val="false"/>
          <w:color w:val="000000"/>
          <w:sz w:val="28"/>
        </w:rPr>
        <w:t>
      23. Руководитель производства включают в себя:</w:t>
      </w:r>
    </w:p>
    <w:bookmarkEnd w:id="2330"/>
    <w:bookmarkStart w:name="z2433" w:id="2331"/>
    <w:p>
      <w:pPr>
        <w:spacing w:after="0"/>
        <w:ind w:left="0"/>
        <w:jc w:val="both"/>
      </w:pPr>
      <w:r>
        <w:rPr>
          <w:rFonts w:ascii="Times New Roman"/>
          <w:b w:val="false"/>
          <w:i w:val="false"/>
          <w:color w:val="000000"/>
          <w:sz w:val="28"/>
        </w:rPr>
        <w:t>
      1) обеспечивает производства и хранения продукции утвержденной документации для обеспечения требуемого качества;</w:t>
      </w:r>
    </w:p>
    <w:bookmarkEnd w:id="2331"/>
    <w:bookmarkStart w:name="z2434" w:id="2332"/>
    <w:p>
      <w:pPr>
        <w:spacing w:after="0"/>
        <w:ind w:left="0"/>
        <w:jc w:val="both"/>
      </w:pPr>
      <w:r>
        <w:rPr>
          <w:rFonts w:ascii="Times New Roman"/>
          <w:b w:val="false"/>
          <w:i w:val="false"/>
          <w:color w:val="000000"/>
          <w:sz w:val="28"/>
        </w:rPr>
        <w:t>
      2) утверждение инструкций, относящихся к производственным операциям, и обеспечение их строгого выполнения;</w:t>
      </w:r>
    </w:p>
    <w:bookmarkEnd w:id="2332"/>
    <w:bookmarkStart w:name="z2435" w:id="2333"/>
    <w:p>
      <w:pPr>
        <w:spacing w:after="0"/>
        <w:ind w:left="0"/>
        <w:jc w:val="both"/>
      </w:pPr>
      <w:r>
        <w:rPr>
          <w:rFonts w:ascii="Times New Roman"/>
          <w:b w:val="false"/>
          <w:i w:val="false"/>
          <w:color w:val="000000"/>
          <w:sz w:val="28"/>
        </w:rPr>
        <w:t>
      3) обеспечивает оценки и подписания производственных документов уполномоченным на это персоналом;</w:t>
      </w:r>
    </w:p>
    <w:bookmarkEnd w:id="2333"/>
    <w:bookmarkStart w:name="z2436" w:id="2334"/>
    <w:p>
      <w:pPr>
        <w:spacing w:after="0"/>
        <w:ind w:left="0"/>
        <w:jc w:val="both"/>
      </w:pPr>
      <w:r>
        <w:rPr>
          <w:rFonts w:ascii="Times New Roman"/>
          <w:b w:val="false"/>
          <w:i w:val="false"/>
          <w:color w:val="000000"/>
          <w:sz w:val="28"/>
        </w:rPr>
        <w:t>
      4) обеспечивает и гарантирует квалификации, надлежащего содержания, эксплуатации и технического обслуживания помещений и оборудования в своем подразделении;</w:t>
      </w:r>
    </w:p>
    <w:bookmarkEnd w:id="2334"/>
    <w:bookmarkStart w:name="z2437" w:id="2335"/>
    <w:p>
      <w:pPr>
        <w:spacing w:after="0"/>
        <w:ind w:left="0"/>
        <w:jc w:val="both"/>
      </w:pPr>
      <w:r>
        <w:rPr>
          <w:rFonts w:ascii="Times New Roman"/>
          <w:b w:val="false"/>
          <w:i w:val="false"/>
          <w:color w:val="000000"/>
          <w:sz w:val="28"/>
        </w:rPr>
        <w:t>
      5) обеспечивает и гарантирует проведения соответствующей валидации;</w:t>
      </w:r>
    </w:p>
    <w:bookmarkEnd w:id="2335"/>
    <w:bookmarkStart w:name="z2438" w:id="2336"/>
    <w:p>
      <w:pPr>
        <w:spacing w:after="0"/>
        <w:ind w:left="0"/>
        <w:jc w:val="both"/>
      </w:pPr>
      <w:r>
        <w:rPr>
          <w:rFonts w:ascii="Times New Roman"/>
          <w:b w:val="false"/>
          <w:i w:val="false"/>
          <w:color w:val="000000"/>
          <w:sz w:val="28"/>
        </w:rPr>
        <w:t>
      6) обеспечивает и гарантирует проведение необходимого первичного последующего непрерывного обучения персонала своего подразделения.</w:t>
      </w:r>
    </w:p>
    <w:bookmarkEnd w:id="2336"/>
    <w:bookmarkStart w:name="z2439" w:id="2337"/>
    <w:p>
      <w:pPr>
        <w:spacing w:after="0"/>
        <w:ind w:left="0"/>
        <w:jc w:val="both"/>
      </w:pPr>
      <w:r>
        <w:rPr>
          <w:rFonts w:ascii="Times New Roman"/>
          <w:b w:val="false"/>
          <w:i w:val="false"/>
          <w:color w:val="000000"/>
          <w:sz w:val="28"/>
        </w:rPr>
        <w:t>
      24. Должностная инструкция руководителя подразделения контроля качества включают в себя, как правило:</w:t>
      </w:r>
    </w:p>
    <w:bookmarkEnd w:id="2337"/>
    <w:bookmarkStart w:name="z2440" w:id="2338"/>
    <w:p>
      <w:pPr>
        <w:spacing w:after="0"/>
        <w:ind w:left="0"/>
        <w:jc w:val="both"/>
      </w:pPr>
      <w:r>
        <w:rPr>
          <w:rFonts w:ascii="Times New Roman"/>
          <w:b w:val="false"/>
          <w:i w:val="false"/>
          <w:color w:val="000000"/>
          <w:sz w:val="28"/>
        </w:rPr>
        <w:t>
      1) одобрение или отклонение, если он считает это необходимым, исходного сырья и упаковочных материалов, а также промежуточной, нерасфасованной и готовой продукции;</w:t>
      </w:r>
    </w:p>
    <w:bookmarkEnd w:id="2338"/>
    <w:bookmarkStart w:name="z2441" w:id="2339"/>
    <w:p>
      <w:pPr>
        <w:spacing w:after="0"/>
        <w:ind w:left="0"/>
        <w:jc w:val="both"/>
      </w:pPr>
      <w:r>
        <w:rPr>
          <w:rFonts w:ascii="Times New Roman"/>
          <w:b w:val="false"/>
          <w:i w:val="false"/>
          <w:color w:val="000000"/>
          <w:sz w:val="28"/>
        </w:rPr>
        <w:t>
      2) обеспечение проведения всех необходимых испытаний и оценку соответствующих записей;</w:t>
      </w:r>
    </w:p>
    <w:bookmarkEnd w:id="2339"/>
    <w:bookmarkStart w:name="z2442" w:id="2340"/>
    <w:p>
      <w:pPr>
        <w:spacing w:after="0"/>
        <w:ind w:left="0"/>
        <w:jc w:val="both"/>
      </w:pPr>
      <w:r>
        <w:rPr>
          <w:rFonts w:ascii="Times New Roman"/>
          <w:b w:val="false"/>
          <w:i w:val="false"/>
          <w:color w:val="000000"/>
          <w:sz w:val="28"/>
        </w:rPr>
        <w:t>
      3) утверждение спецификаций, процедур по отбору проб, методик испытаний и других процедур по контролю качества;</w:t>
      </w:r>
    </w:p>
    <w:bookmarkEnd w:id="2340"/>
    <w:bookmarkStart w:name="z2443" w:id="2341"/>
    <w:p>
      <w:pPr>
        <w:spacing w:after="0"/>
        <w:ind w:left="0"/>
        <w:jc w:val="both"/>
      </w:pPr>
      <w:r>
        <w:rPr>
          <w:rFonts w:ascii="Times New Roman"/>
          <w:b w:val="false"/>
          <w:i w:val="false"/>
          <w:color w:val="000000"/>
          <w:sz w:val="28"/>
        </w:rPr>
        <w:t>
      4) одобрение специалистов, привлекаемых к проведению испытаний по контракту, и осуществление контроля за ними;</w:t>
      </w:r>
    </w:p>
    <w:bookmarkEnd w:id="2341"/>
    <w:bookmarkStart w:name="z2444" w:id="2342"/>
    <w:p>
      <w:pPr>
        <w:spacing w:after="0"/>
        <w:ind w:left="0"/>
        <w:jc w:val="both"/>
      </w:pPr>
      <w:r>
        <w:rPr>
          <w:rFonts w:ascii="Times New Roman"/>
          <w:b w:val="false"/>
          <w:i w:val="false"/>
          <w:color w:val="000000"/>
          <w:sz w:val="28"/>
        </w:rPr>
        <w:t>
      5) обеспечение и гарантию квалификации, надлежащего содержания, эксплуатации и технического обслуживания помещений и оборудования в своем подразделении;</w:t>
      </w:r>
    </w:p>
    <w:bookmarkEnd w:id="2342"/>
    <w:bookmarkStart w:name="z2445" w:id="2343"/>
    <w:p>
      <w:pPr>
        <w:spacing w:after="0"/>
        <w:ind w:left="0"/>
        <w:jc w:val="both"/>
      </w:pPr>
      <w:r>
        <w:rPr>
          <w:rFonts w:ascii="Times New Roman"/>
          <w:b w:val="false"/>
          <w:i w:val="false"/>
          <w:color w:val="000000"/>
          <w:sz w:val="28"/>
        </w:rPr>
        <w:t>
      6) обеспечение и гарантию проведения соответствующей валидации;</w:t>
      </w:r>
    </w:p>
    <w:bookmarkEnd w:id="2343"/>
    <w:bookmarkStart w:name="z2446" w:id="2344"/>
    <w:p>
      <w:pPr>
        <w:spacing w:after="0"/>
        <w:ind w:left="0"/>
        <w:jc w:val="both"/>
      </w:pPr>
      <w:r>
        <w:rPr>
          <w:rFonts w:ascii="Times New Roman"/>
          <w:b w:val="false"/>
          <w:i w:val="false"/>
          <w:color w:val="000000"/>
          <w:sz w:val="28"/>
        </w:rPr>
        <w:t>
      7) обеспечение и гарантию проведения необходимого первичного последующего непрерывного обучения персонала своего подразделения.</w:t>
      </w:r>
    </w:p>
    <w:bookmarkEnd w:id="2344"/>
    <w:bookmarkStart w:name="z2447" w:id="2345"/>
    <w:p>
      <w:pPr>
        <w:spacing w:after="0"/>
        <w:ind w:left="0"/>
        <w:jc w:val="both"/>
      </w:pPr>
      <w:r>
        <w:rPr>
          <w:rFonts w:ascii="Times New Roman"/>
          <w:b w:val="false"/>
          <w:i w:val="false"/>
          <w:color w:val="000000"/>
          <w:sz w:val="28"/>
        </w:rPr>
        <w:t>
      Другие процедуры персонала подразделения контроля качества указаны в главе 6 части I настоящего Стандарта.</w:t>
      </w:r>
    </w:p>
    <w:bookmarkEnd w:id="2345"/>
    <w:bookmarkStart w:name="z2448" w:id="2346"/>
    <w:p>
      <w:pPr>
        <w:spacing w:after="0"/>
        <w:ind w:left="0"/>
        <w:jc w:val="both"/>
      </w:pPr>
      <w:r>
        <w:rPr>
          <w:rFonts w:ascii="Times New Roman"/>
          <w:b w:val="false"/>
          <w:i w:val="false"/>
          <w:color w:val="000000"/>
          <w:sz w:val="28"/>
        </w:rPr>
        <w:t>
      25. Руководители производства и подразделения контроля качества, а также руководитель отдела обеспечения качества или руководитель службы качества (при необходимости), как правило, имеют некоторые общие или совместно выполняемые должностные инструкции, относящиеся к обеспечению качества продукции, включая, в частности, разработку, эффективное внедрение, поддержание и мониторинг системы управления качеством, и включают:</w:t>
      </w:r>
    </w:p>
    <w:bookmarkEnd w:id="2346"/>
    <w:bookmarkStart w:name="z2449" w:id="2347"/>
    <w:p>
      <w:pPr>
        <w:spacing w:after="0"/>
        <w:ind w:left="0"/>
        <w:jc w:val="both"/>
      </w:pPr>
      <w:r>
        <w:rPr>
          <w:rFonts w:ascii="Times New Roman"/>
          <w:b w:val="false"/>
          <w:i w:val="false"/>
          <w:color w:val="000000"/>
          <w:sz w:val="28"/>
        </w:rPr>
        <w:t>
      1) согласование и утверждение письменных процедур и других документов, в том числе внесение в них изменений;</w:t>
      </w:r>
    </w:p>
    <w:bookmarkEnd w:id="2347"/>
    <w:bookmarkStart w:name="z2450" w:id="2348"/>
    <w:p>
      <w:pPr>
        <w:spacing w:after="0"/>
        <w:ind w:left="0"/>
        <w:jc w:val="both"/>
      </w:pPr>
      <w:r>
        <w:rPr>
          <w:rFonts w:ascii="Times New Roman"/>
          <w:b w:val="false"/>
          <w:i w:val="false"/>
          <w:color w:val="000000"/>
          <w:sz w:val="28"/>
        </w:rPr>
        <w:t>
      2) мониторинг и контроль производственной среды;</w:t>
      </w:r>
    </w:p>
    <w:bookmarkEnd w:id="2348"/>
    <w:bookmarkStart w:name="z2451" w:id="2349"/>
    <w:p>
      <w:pPr>
        <w:spacing w:after="0"/>
        <w:ind w:left="0"/>
        <w:jc w:val="both"/>
      </w:pPr>
      <w:r>
        <w:rPr>
          <w:rFonts w:ascii="Times New Roman"/>
          <w:b w:val="false"/>
          <w:i w:val="false"/>
          <w:color w:val="000000"/>
          <w:sz w:val="28"/>
        </w:rPr>
        <w:t>
      3) контроль за соблюдением гигиенических требований на предприятии;</w:t>
      </w:r>
    </w:p>
    <w:bookmarkEnd w:id="2349"/>
    <w:bookmarkStart w:name="z2452" w:id="2350"/>
    <w:p>
      <w:pPr>
        <w:spacing w:after="0"/>
        <w:ind w:left="0"/>
        <w:jc w:val="both"/>
      </w:pPr>
      <w:r>
        <w:rPr>
          <w:rFonts w:ascii="Times New Roman"/>
          <w:b w:val="false"/>
          <w:i w:val="false"/>
          <w:color w:val="000000"/>
          <w:sz w:val="28"/>
        </w:rPr>
        <w:t>
      4) валидацию процессов;</w:t>
      </w:r>
    </w:p>
    <w:bookmarkEnd w:id="2350"/>
    <w:bookmarkStart w:name="z2453" w:id="2351"/>
    <w:p>
      <w:pPr>
        <w:spacing w:after="0"/>
        <w:ind w:left="0"/>
        <w:jc w:val="both"/>
      </w:pPr>
      <w:r>
        <w:rPr>
          <w:rFonts w:ascii="Times New Roman"/>
          <w:b w:val="false"/>
          <w:i w:val="false"/>
          <w:color w:val="000000"/>
          <w:sz w:val="28"/>
        </w:rPr>
        <w:t>
      5) обучение персонала;</w:t>
      </w:r>
    </w:p>
    <w:bookmarkEnd w:id="2351"/>
    <w:bookmarkStart w:name="z2454" w:id="2352"/>
    <w:p>
      <w:pPr>
        <w:spacing w:after="0"/>
        <w:ind w:left="0"/>
        <w:jc w:val="both"/>
      </w:pPr>
      <w:r>
        <w:rPr>
          <w:rFonts w:ascii="Times New Roman"/>
          <w:b w:val="false"/>
          <w:i w:val="false"/>
          <w:color w:val="000000"/>
          <w:sz w:val="28"/>
        </w:rPr>
        <w:t>
      6) утверждение и мониторинг поставщиков исходных и упаковочных материалов;</w:t>
      </w:r>
    </w:p>
    <w:bookmarkEnd w:id="2352"/>
    <w:bookmarkStart w:name="z2455" w:id="2353"/>
    <w:p>
      <w:pPr>
        <w:spacing w:after="0"/>
        <w:ind w:left="0"/>
        <w:jc w:val="both"/>
      </w:pPr>
      <w:r>
        <w:rPr>
          <w:rFonts w:ascii="Times New Roman"/>
          <w:b w:val="false"/>
          <w:i w:val="false"/>
          <w:color w:val="000000"/>
          <w:sz w:val="28"/>
        </w:rPr>
        <w:t>
      7) утверждение и мониторинг организаций, выполняющих работы по контракту, и поставщиков других связанных с надлежащей производственной практикой аутсорсинговых услуг;</w:t>
      </w:r>
    </w:p>
    <w:bookmarkEnd w:id="2353"/>
    <w:bookmarkStart w:name="z2456" w:id="2354"/>
    <w:p>
      <w:pPr>
        <w:spacing w:after="0"/>
        <w:ind w:left="0"/>
        <w:jc w:val="both"/>
      </w:pPr>
      <w:r>
        <w:rPr>
          <w:rFonts w:ascii="Times New Roman"/>
          <w:b w:val="false"/>
          <w:i w:val="false"/>
          <w:color w:val="000000"/>
          <w:sz w:val="28"/>
        </w:rPr>
        <w:t>
      8) определение и мониторинг соблюдения условий хранения материалов и продукции;</w:t>
      </w:r>
    </w:p>
    <w:bookmarkEnd w:id="2354"/>
    <w:bookmarkStart w:name="z2457" w:id="2355"/>
    <w:p>
      <w:pPr>
        <w:spacing w:after="0"/>
        <w:ind w:left="0"/>
        <w:jc w:val="both"/>
      </w:pPr>
      <w:r>
        <w:rPr>
          <w:rFonts w:ascii="Times New Roman"/>
          <w:b w:val="false"/>
          <w:i w:val="false"/>
          <w:color w:val="000000"/>
          <w:sz w:val="28"/>
        </w:rPr>
        <w:t>
      9) хранение записей;</w:t>
      </w:r>
    </w:p>
    <w:bookmarkEnd w:id="2355"/>
    <w:bookmarkStart w:name="z2458" w:id="2356"/>
    <w:p>
      <w:pPr>
        <w:spacing w:after="0"/>
        <w:ind w:left="0"/>
        <w:jc w:val="both"/>
      </w:pPr>
      <w:r>
        <w:rPr>
          <w:rFonts w:ascii="Times New Roman"/>
          <w:b w:val="false"/>
          <w:i w:val="false"/>
          <w:color w:val="000000"/>
          <w:sz w:val="28"/>
        </w:rPr>
        <w:t>
      10) мониторинг соблюдения требований GMP;</w:t>
      </w:r>
    </w:p>
    <w:bookmarkEnd w:id="2356"/>
    <w:bookmarkStart w:name="z2459" w:id="2357"/>
    <w:p>
      <w:pPr>
        <w:spacing w:after="0"/>
        <w:ind w:left="0"/>
        <w:jc w:val="both"/>
      </w:pPr>
      <w:r>
        <w:rPr>
          <w:rFonts w:ascii="Times New Roman"/>
          <w:b w:val="false"/>
          <w:i w:val="false"/>
          <w:color w:val="000000"/>
          <w:sz w:val="28"/>
        </w:rPr>
        <w:t>
      11) проверку, расследование и отбор проб (образцов) в целях контроля факторов, которые могут повлиять на качество продукции;</w:t>
      </w:r>
    </w:p>
    <w:bookmarkEnd w:id="2357"/>
    <w:bookmarkStart w:name="z2460" w:id="2358"/>
    <w:p>
      <w:pPr>
        <w:spacing w:after="0"/>
        <w:ind w:left="0"/>
        <w:jc w:val="both"/>
      </w:pPr>
      <w:r>
        <w:rPr>
          <w:rFonts w:ascii="Times New Roman"/>
          <w:b w:val="false"/>
          <w:i w:val="false"/>
          <w:color w:val="000000"/>
          <w:sz w:val="28"/>
        </w:rPr>
        <w:t>
      12) участие в анализе со стороны руководства функционирования процессов, качества продукции и системы управления качеством и поддержку постоянного улучшения;</w:t>
      </w:r>
    </w:p>
    <w:bookmarkEnd w:id="2358"/>
    <w:bookmarkStart w:name="z2461" w:id="2359"/>
    <w:p>
      <w:pPr>
        <w:spacing w:after="0"/>
        <w:ind w:left="0"/>
        <w:jc w:val="both"/>
      </w:pPr>
      <w:r>
        <w:rPr>
          <w:rFonts w:ascii="Times New Roman"/>
          <w:b w:val="false"/>
          <w:i w:val="false"/>
          <w:color w:val="000000"/>
          <w:sz w:val="28"/>
        </w:rPr>
        <w:t>
      13) обеспечение своевременного и эффективного обмена информацией и доведение проблемных вопросов по качеству до руководящего состава соответствующего уровня.</w:t>
      </w:r>
    </w:p>
    <w:bookmarkEnd w:id="2359"/>
    <w:bookmarkStart w:name="z2462" w:id="2360"/>
    <w:p>
      <w:pPr>
        <w:spacing w:after="0"/>
        <w:ind w:left="0"/>
        <w:jc w:val="left"/>
      </w:pPr>
      <w:r>
        <w:rPr>
          <w:rFonts w:ascii="Times New Roman"/>
          <w:b/>
          <w:i w:val="false"/>
          <w:color w:val="000000"/>
        </w:rPr>
        <w:t xml:space="preserve"> Параграф 4. Обучение</w:t>
      </w:r>
    </w:p>
    <w:bookmarkEnd w:id="2360"/>
    <w:bookmarkStart w:name="z2463" w:id="2361"/>
    <w:p>
      <w:pPr>
        <w:spacing w:after="0"/>
        <w:ind w:left="0"/>
        <w:jc w:val="both"/>
      </w:pPr>
      <w:r>
        <w:rPr>
          <w:rFonts w:ascii="Times New Roman"/>
          <w:b w:val="false"/>
          <w:i w:val="false"/>
          <w:color w:val="000000"/>
          <w:sz w:val="28"/>
        </w:rPr>
        <w:t>
      26. Производитель обеспечивает обучение персонала, должностные обязанности которого предполагают пребывание в производственных и складских зонах или контрольных лабораториях (включая технический и обслуживающий персонал и сотрудников, проводящих уборку), а также другого персонала, деятельность которого оказывает влияние на качество продукции.</w:t>
      </w:r>
    </w:p>
    <w:bookmarkEnd w:id="2361"/>
    <w:bookmarkStart w:name="z2464" w:id="2362"/>
    <w:p>
      <w:pPr>
        <w:spacing w:after="0"/>
        <w:ind w:left="0"/>
        <w:jc w:val="both"/>
      </w:pPr>
      <w:r>
        <w:rPr>
          <w:rFonts w:ascii="Times New Roman"/>
          <w:b w:val="false"/>
          <w:i w:val="false"/>
          <w:color w:val="000000"/>
          <w:sz w:val="28"/>
        </w:rPr>
        <w:t>
      27. Кроме основного обучения, включающего теорию и практику применения системы управления качеством и GMP, каждый принятый на работу сотрудник проходит первичное обучение в соответствии со своими должностными обязанностями. Производитель проводит последующее непрерывное обучение персонала, периодически оценивая его эффективность на практике. Обучение персонала проводится по программам, утвержденным соответственно руководителем производства либо руководителем подразделения контроля качества. Производитель обязан хранить записи о проведении обучения.</w:t>
      </w:r>
    </w:p>
    <w:bookmarkEnd w:id="2362"/>
    <w:bookmarkStart w:name="z2465" w:id="2363"/>
    <w:p>
      <w:pPr>
        <w:spacing w:after="0"/>
        <w:ind w:left="0"/>
        <w:jc w:val="both"/>
      </w:pPr>
      <w:r>
        <w:rPr>
          <w:rFonts w:ascii="Times New Roman"/>
          <w:b w:val="false"/>
          <w:i w:val="false"/>
          <w:color w:val="000000"/>
          <w:sz w:val="28"/>
        </w:rPr>
        <w:t>
      28. Персонал, работающий в зонах, где контаминация представляет опасность (например, в чистых зонах или в зонах, где работают с высокоактивными, токсичными, инфицирующими или сенсибилизирующими веществами), проходит специальное обучение.</w:t>
      </w:r>
    </w:p>
    <w:bookmarkEnd w:id="2363"/>
    <w:bookmarkStart w:name="z2466" w:id="2364"/>
    <w:p>
      <w:pPr>
        <w:spacing w:after="0"/>
        <w:ind w:left="0"/>
        <w:jc w:val="both"/>
      </w:pPr>
      <w:r>
        <w:rPr>
          <w:rFonts w:ascii="Times New Roman"/>
          <w:b w:val="false"/>
          <w:i w:val="false"/>
          <w:color w:val="000000"/>
          <w:sz w:val="28"/>
        </w:rPr>
        <w:t>
      29. Посетители и (или) не прошедшие обучение сотрудники не допускаются в зоны производства и контроля качества. Если это неизбежно, они предварительно проходят инструктаж, частности по гигиеническим требованиям к персоналу и использованию защитной одежды. Организовано их сопровождение и наблюдение за ними.</w:t>
      </w:r>
    </w:p>
    <w:bookmarkEnd w:id="2364"/>
    <w:bookmarkStart w:name="z2467" w:id="2365"/>
    <w:p>
      <w:pPr>
        <w:spacing w:after="0"/>
        <w:ind w:left="0"/>
        <w:jc w:val="both"/>
      </w:pPr>
      <w:r>
        <w:rPr>
          <w:rFonts w:ascii="Times New Roman"/>
          <w:b w:val="false"/>
          <w:i w:val="false"/>
          <w:color w:val="000000"/>
          <w:sz w:val="28"/>
        </w:rPr>
        <w:t>
      30. При обучении подробно разъясняются и обсуждаются принципы фармацевтической системы качества, а также все меры, улучшающие их понимание и осуществление.</w:t>
      </w:r>
    </w:p>
    <w:bookmarkEnd w:id="2365"/>
    <w:bookmarkStart w:name="z2468" w:id="2366"/>
    <w:p>
      <w:pPr>
        <w:spacing w:after="0"/>
        <w:ind w:left="0"/>
        <w:jc w:val="left"/>
      </w:pPr>
      <w:r>
        <w:rPr>
          <w:rFonts w:ascii="Times New Roman"/>
          <w:b/>
          <w:i w:val="false"/>
          <w:color w:val="000000"/>
        </w:rPr>
        <w:t xml:space="preserve"> Параграф 5. Гигиена персонала</w:t>
      </w:r>
    </w:p>
    <w:bookmarkEnd w:id="2366"/>
    <w:bookmarkStart w:name="z2469" w:id="2367"/>
    <w:p>
      <w:pPr>
        <w:spacing w:after="0"/>
        <w:ind w:left="0"/>
        <w:jc w:val="both"/>
      </w:pPr>
      <w:r>
        <w:rPr>
          <w:rFonts w:ascii="Times New Roman"/>
          <w:b w:val="false"/>
          <w:i w:val="false"/>
          <w:color w:val="000000"/>
          <w:sz w:val="28"/>
        </w:rPr>
        <w:t>
      31. На предприятии разрабатываются детальные программы по гигиене труда с учетом особенностей конкретного производства. Эти программы содержат процедуры, касающиеся здоровья, соблюдения гигиенических правил и требований одежде персонала. Каждый сотрудник, обязанности которого предполагают пребывание в зонах производства и контроля, понимает и точно соблюдает эти процедуры. Руководство предприятия содействует развитию программ по гигиене, которые обсуждаются при обучении.</w:t>
      </w:r>
    </w:p>
    <w:bookmarkEnd w:id="2367"/>
    <w:bookmarkStart w:name="z2470" w:id="2368"/>
    <w:p>
      <w:pPr>
        <w:spacing w:after="0"/>
        <w:ind w:left="0"/>
        <w:jc w:val="both"/>
      </w:pPr>
      <w:r>
        <w:rPr>
          <w:rFonts w:ascii="Times New Roman"/>
          <w:b w:val="false"/>
          <w:i w:val="false"/>
          <w:color w:val="000000"/>
          <w:sz w:val="28"/>
        </w:rPr>
        <w:t>
      32. Лица, принимаемые на работу, проходят медицинский осмотр. Производитель обязан утвердить инструкции, обеспечивающие его осведомленность о состоянии здоровья персонала, которое повлиять на качество продукции. После первичного медицинского осмотра проводятся регулярные последующие медицинские осмотры персонала.</w:t>
      </w:r>
    </w:p>
    <w:bookmarkEnd w:id="2368"/>
    <w:bookmarkStart w:name="z2471" w:id="2369"/>
    <w:p>
      <w:pPr>
        <w:spacing w:after="0"/>
        <w:ind w:left="0"/>
        <w:jc w:val="both"/>
      </w:pPr>
      <w:r>
        <w:rPr>
          <w:rFonts w:ascii="Times New Roman"/>
          <w:b w:val="false"/>
          <w:i w:val="false"/>
          <w:color w:val="000000"/>
          <w:sz w:val="28"/>
        </w:rPr>
        <w:t>
      33. Производитель принимает меры, обеспечивающие недопущение лиц с инфекционными заболеваниями или открытыми повреждениями на открытых участках тела к производству лекарственных средств.</w:t>
      </w:r>
    </w:p>
    <w:bookmarkEnd w:id="2369"/>
    <w:bookmarkStart w:name="z2472" w:id="2370"/>
    <w:p>
      <w:pPr>
        <w:spacing w:after="0"/>
        <w:ind w:left="0"/>
        <w:jc w:val="both"/>
      </w:pPr>
      <w:r>
        <w:rPr>
          <w:rFonts w:ascii="Times New Roman"/>
          <w:b w:val="false"/>
          <w:i w:val="false"/>
          <w:color w:val="000000"/>
          <w:sz w:val="28"/>
        </w:rPr>
        <w:t>
      34. Лица, входящие в производственные зоны, носят защитную одежду, соответствующую выполняемым в этих зонах операциям.</w:t>
      </w:r>
    </w:p>
    <w:bookmarkEnd w:id="2370"/>
    <w:bookmarkStart w:name="z2473" w:id="2371"/>
    <w:p>
      <w:pPr>
        <w:spacing w:after="0"/>
        <w:ind w:left="0"/>
        <w:jc w:val="both"/>
      </w:pPr>
      <w:r>
        <w:rPr>
          <w:rFonts w:ascii="Times New Roman"/>
          <w:b w:val="false"/>
          <w:i w:val="false"/>
          <w:color w:val="000000"/>
          <w:sz w:val="28"/>
        </w:rPr>
        <w:t>
      35. В производственных и складских зонах запрещаются курение, прием пищи, питье, жевание, а также хранение пищевых продуктов, напитков, табачных изделий и личных лекарственных препаратов. Не допускаются любые действия, нарушающие гигиенические требования в производственных помещениях (зонах) или других местах, которые могут оказать неблагоприятное влияние на качество продукции.</w:t>
      </w:r>
    </w:p>
    <w:bookmarkEnd w:id="2371"/>
    <w:bookmarkStart w:name="z2474" w:id="2372"/>
    <w:p>
      <w:pPr>
        <w:spacing w:after="0"/>
        <w:ind w:left="0"/>
        <w:jc w:val="both"/>
      </w:pPr>
      <w:r>
        <w:rPr>
          <w:rFonts w:ascii="Times New Roman"/>
          <w:b w:val="false"/>
          <w:i w:val="false"/>
          <w:color w:val="000000"/>
          <w:sz w:val="28"/>
        </w:rPr>
        <w:t>
      36. Избегать непосредственного контакта рук персонала с открытой продукцией, а также с любой частью оборудования, контактирующей с продукцией.</w:t>
      </w:r>
    </w:p>
    <w:bookmarkEnd w:id="2372"/>
    <w:bookmarkStart w:name="z2475" w:id="2373"/>
    <w:p>
      <w:pPr>
        <w:spacing w:after="0"/>
        <w:ind w:left="0"/>
        <w:jc w:val="both"/>
      </w:pPr>
      <w:r>
        <w:rPr>
          <w:rFonts w:ascii="Times New Roman"/>
          <w:b w:val="false"/>
          <w:i w:val="false"/>
          <w:color w:val="000000"/>
          <w:sz w:val="28"/>
        </w:rPr>
        <w:t>
      37. Персонал обучен правилам мытья рук.</w:t>
      </w:r>
    </w:p>
    <w:bookmarkEnd w:id="2373"/>
    <w:bookmarkStart w:name="z2476" w:id="2374"/>
    <w:p>
      <w:pPr>
        <w:spacing w:after="0"/>
        <w:ind w:left="0"/>
        <w:jc w:val="both"/>
      </w:pPr>
      <w:r>
        <w:rPr>
          <w:rFonts w:ascii="Times New Roman"/>
          <w:b w:val="false"/>
          <w:i w:val="false"/>
          <w:color w:val="000000"/>
          <w:sz w:val="28"/>
        </w:rPr>
        <w:t>
      38. Специальные требования, относящиеся к производству отдельных видов продукции, приведены в приложениях к настоящего Стандарта.</w:t>
      </w:r>
    </w:p>
    <w:bookmarkEnd w:id="2374"/>
    <w:bookmarkStart w:name="z2477" w:id="2375"/>
    <w:p>
      <w:pPr>
        <w:spacing w:after="0"/>
        <w:ind w:left="0"/>
        <w:jc w:val="left"/>
      </w:pPr>
      <w:r>
        <w:rPr>
          <w:rFonts w:ascii="Times New Roman"/>
          <w:b/>
          <w:i w:val="false"/>
          <w:color w:val="000000"/>
        </w:rPr>
        <w:t xml:space="preserve"> Параграф 6. Консультанты</w:t>
      </w:r>
    </w:p>
    <w:bookmarkEnd w:id="2375"/>
    <w:bookmarkStart w:name="z2478" w:id="2376"/>
    <w:p>
      <w:pPr>
        <w:spacing w:after="0"/>
        <w:ind w:left="0"/>
        <w:jc w:val="both"/>
      </w:pPr>
      <w:r>
        <w:rPr>
          <w:rFonts w:ascii="Times New Roman"/>
          <w:b w:val="false"/>
          <w:i w:val="false"/>
          <w:color w:val="000000"/>
          <w:sz w:val="28"/>
        </w:rPr>
        <w:t>
      39. Консультанты имеют соответствующее образование, подготовку и опыт по вопросам, касающимся деятельности, для консультирования в сфере которой они привлекаются. Ведется их учет с указанием личных данных, адреса проживания, квалификации и вида услуг, предоставляемых этими консультантами.</w:t>
      </w:r>
    </w:p>
    <w:bookmarkEnd w:id="2376"/>
    <w:bookmarkStart w:name="z2479" w:id="2377"/>
    <w:p>
      <w:pPr>
        <w:spacing w:after="0"/>
        <w:ind w:left="0"/>
        <w:jc w:val="left"/>
      </w:pPr>
      <w:r>
        <w:rPr>
          <w:rFonts w:ascii="Times New Roman"/>
          <w:b/>
          <w:i w:val="false"/>
          <w:color w:val="000000"/>
        </w:rPr>
        <w:t xml:space="preserve"> Глава 4. Помещения и оборудование</w:t>
      </w:r>
    </w:p>
    <w:bookmarkEnd w:id="2377"/>
    <w:bookmarkStart w:name="z2480" w:id="2378"/>
    <w:p>
      <w:pPr>
        <w:spacing w:after="0"/>
        <w:ind w:left="0"/>
        <w:jc w:val="left"/>
      </w:pPr>
      <w:r>
        <w:rPr>
          <w:rFonts w:ascii="Times New Roman"/>
          <w:b/>
          <w:i w:val="false"/>
          <w:color w:val="000000"/>
        </w:rPr>
        <w:t xml:space="preserve"> Параграф 1. Принцип</w:t>
      </w:r>
    </w:p>
    <w:bookmarkEnd w:id="2378"/>
    <w:bookmarkStart w:name="z2481" w:id="2379"/>
    <w:p>
      <w:pPr>
        <w:spacing w:after="0"/>
        <w:ind w:left="0"/>
        <w:jc w:val="both"/>
      </w:pPr>
      <w:r>
        <w:rPr>
          <w:rFonts w:ascii="Times New Roman"/>
          <w:b w:val="false"/>
          <w:i w:val="false"/>
          <w:color w:val="000000"/>
          <w:sz w:val="28"/>
        </w:rPr>
        <w:t>
      40. Помещения и оборудование располагают, проектируют, строят, оснащают и эксплуатируют таким образом, чтобы они соответствовали проводимым операциям. Их расположение и конструкция сводят к минимуму риск ошибок и обеспечивают возможность эффективной очистки и обслуживания в целях исключения перекрестной контаминации, накопления пыли или грязи и любых неблагоприятных факторов для качества продукции.</w:t>
      </w:r>
    </w:p>
    <w:bookmarkEnd w:id="2379"/>
    <w:bookmarkStart w:name="z2482" w:id="2380"/>
    <w:p>
      <w:pPr>
        <w:spacing w:after="0"/>
        <w:ind w:left="0"/>
        <w:jc w:val="left"/>
      </w:pPr>
      <w:r>
        <w:rPr>
          <w:rFonts w:ascii="Times New Roman"/>
          <w:b/>
          <w:i w:val="false"/>
          <w:color w:val="000000"/>
        </w:rPr>
        <w:t xml:space="preserve"> Параграф 2. Помещения</w:t>
      </w:r>
    </w:p>
    <w:bookmarkEnd w:id="2380"/>
    <w:bookmarkStart w:name="z2483" w:id="2381"/>
    <w:p>
      <w:pPr>
        <w:spacing w:after="0"/>
        <w:ind w:left="0"/>
        <w:jc w:val="both"/>
      </w:pPr>
      <w:r>
        <w:rPr>
          <w:rFonts w:ascii="Times New Roman"/>
          <w:b w:val="false"/>
          <w:i w:val="false"/>
          <w:color w:val="000000"/>
          <w:sz w:val="28"/>
        </w:rPr>
        <w:t>
      41. Производственная среда помещений, учитывая все меры по защите производства, представляет минимальный риск контаминации материалов или продукции.</w:t>
      </w:r>
    </w:p>
    <w:bookmarkEnd w:id="2381"/>
    <w:bookmarkStart w:name="z2484" w:id="2382"/>
    <w:p>
      <w:pPr>
        <w:spacing w:after="0"/>
        <w:ind w:left="0"/>
        <w:jc w:val="both"/>
      </w:pPr>
      <w:r>
        <w:rPr>
          <w:rFonts w:ascii="Times New Roman"/>
          <w:b w:val="false"/>
          <w:i w:val="false"/>
          <w:color w:val="000000"/>
          <w:sz w:val="28"/>
        </w:rPr>
        <w:t>
      42. Проводится тщательное техническое обслуживание помещений, гарантируя, что ремонт и обслуживание не будут представлять никакой опасности для качества продукции. Помещения убираются и, где применимо, дезинфицируют в соответствии с подробными письменными инструкциями.</w:t>
      </w:r>
    </w:p>
    <w:bookmarkEnd w:id="2382"/>
    <w:bookmarkStart w:name="z2485" w:id="2383"/>
    <w:p>
      <w:pPr>
        <w:spacing w:after="0"/>
        <w:ind w:left="0"/>
        <w:jc w:val="both"/>
      </w:pPr>
      <w:r>
        <w:rPr>
          <w:rFonts w:ascii="Times New Roman"/>
          <w:b w:val="false"/>
          <w:i w:val="false"/>
          <w:color w:val="000000"/>
          <w:sz w:val="28"/>
        </w:rPr>
        <w:t>
      43. Освещение, температура, влажность и вентиляция соответствующие и не оказывают неблагоприятного воздействия (прямого или косвенного) ни на лекарственные препараты во время их производства и хранения, ни на надлежащее функционирование оборудования.</w:t>
      </w:r>
    </w:p>
    <w:bookmarkEnd w:id="2383"/>
    <w:bookmarkStart w:name="z2486" w:id="2384"/>
    <w:p>
      <w:pPr>
        <w:spacing w:after="0"/>
        <w:ind w:left="0"/>
        <w:jc w:val="both"/>
      </w:pPr>
      <w:r>
        <w:rPr>
          <w:rFonts w:ascii="Times New Roman"/>
          <w:b w:val="false"/>
          <w:i w:val="false"/>
          <w:color w:val="000000"/>
          <w:sz w:val="28"/>
        </w:rPr>
        <w:t>
      44. Помещения спроектированы и оснащены таким образом, чтобы обеспечивать максимальную защиту от проникновения в них насекомых и (или) животных.</w:t>
      </w:r>
    </w:p>
    <w:bookmarkEnd w:id="2384"/>
    <w:bookmarkStart w:name="z2487" w:id="2385"/>
    <w:p>
      <w:pPr>
        <w:spacing w:after="0"/>
        <w:ind w:left="0"/>
        <w:jc w:val="both"/>
      </w:pPr>
      <w:r>
        <w:rPr>
          <w:rFonts w:ascii="Times New Roman"/>
          <w:b w:val="false"/>
          <w:i w:val="false"/>
          <w:color w:val="000000"/>
          <w:sz w:val="28"/>
        </w:rPr>
        <w:t>
      45. Принимаются меры, предотвращающие вход в помещения лиц, не имеющих права доступа в них. Зоны производства, хранения и контроля качества не используются как проходные для персонала, который в них не работает.</w:t>
      </w:r>
    </w:p>
    <w:bookmarkEnd w:id="2385"/>
    <w:bookmarkStart w:name="z2488" w:id="2386"/>
    <w:p>
      <w:pPr>
        <w:spacing w:after="0"/>
        <w:ind w:left="0"/>
        <w:jc w:val="left"/>
      </w:pPr>
      <w:r>
        <w:rPr>
          <w:rFonts w:ascii="Times New Roman"/>
          <w:b/>
          <w:i w:val="false"/>
          <w:color w:val="000000"/>
        </w:rPr>
        <w:t xml:space="preserve"> Параграф 3. Производственная зона</w:t>
      </w:r>
    </w:p>
    <w:bookmarkEnd w:id="2386"/>
    <w:bookmarkStart w:name="z2489" w:id="2387"/>
    <w:p>
      <w:pPr>
        <w:spacing w:after="0"/>
        <w:ind w:left="0"/>
        <w:jc w:val="both"/>
      </w:pPr>
      <w:r>
        <w:rPr>
          <w:rFonts w:ascii="Times New Roman"/>
          <w:b w:val="false"/>
          <w:i w:val="false"/>
          <w:color w:val="000000"/>
          <w:sz w:val="28"/>
        </w:rPr>
        <w:t>
      46. Перекрестная контаминация предотвращена для всех лекарственных средств при проектировании и эксплуатации производственных помещений. Меры по предотвращению перекрестной контаминации соизмеримы с рисками. Для оценки и управления рисками используются принципы управления рисками для качества. В зависимости от уровня риска требуются выделенные помещения и оборудование для производственных и (или) упаковочных операций, чтобы контролировать риск возможной перекрестной контаминации некоторыми лекарственными средствами.</w:t>
      </w:r>
    </w:p>
    <w:bookmarkEnd w:id="2387"/>
    <w:bookmarkStart w:name="z2490" w:id="2388"/>
    <w:p>
      <w:pPr>
        <w:spacing w:after="0"/>
        <w:ind w:left="0"/>
        <w:jc w:val="both"/>
      </w:pPr>
      <w:r>
        <w:rPr>
          <w:rFonts w:ascii="Times New Roman"/>
          <w:b w:val="false"/>
          <w:i w:val="false"/>
          <w:color w:val="000000"/>
          <w:sz w:val="28"/>
        </w:rPr>
        <w:t>
      Выделяют производственные участки, если лекарственное средство представляет собой риск, который не контролируется надлежащим образом организационными и (или) техническими мерами, или научные данные токсикологической оценки не подтверждают возможность надлежащего контроля риска (например, высокосенсибилизирующие материалы с аллергенным потенциалом, такие как бета-лактамы), или соответствующие пределы остаточных количеств, полученные путем токсикологической оценки, не могут быть удовлетворительно определены с помощью валидированного аналитического метода.</w:t>
      </w:r>
    </w:p>
    <w:bookmarkEnd w:id="2388"/>
    <w:bookmarkStart w:name="z2491" w:id="2389"/>
    <w:p>
      <w:pPr>
        <w:spacing w:after="0"/>
        <w:ind w:left="0"/>
        <w:jc w:val="both"/>
      </w:pPr>
      <w:r>
        <w:rPr>
          <w:rFonts w:ascii="Times New Roman"/>
          <w:b w:val="false"/>
          <w:i w:val="false"/>
          <w:color w:val="000000"/>
          <w:sz w:val="28"/>
        </w:rPr>
        <w:t>
      Дальнейшие указания приведены в главе 5 настоящего Стандарта и в приложениях № 2 - 6 к настоящего Стандарта.</w:t>
      </w:r>
    </w:p>
    <w:bookmarkEnd w:id="2389"/>
    <w:bookmarkStart w:name="z2492" w:id="2390"/>
    <w:p>
      <w:pPr>
        <w:spacing w:after="0"/>
        <w:ind w:left="0"/>
        <w:jc w:val="both"/>
      </w:pPr>
      <w:r>
        <w:rPr>
          <w:rFonts w:ascii="Times New Roman"/>
          <w:b w:val="false"/>
          <w:i w:val="false"/>
          <w:color w:val="000000"/>
          <w:sz w:val="28"/>
        </w:rPr>
        <w:t>
      47. Предпочтительно, чтобы планировочные решения помещений соответствовали логической последовательности производственных операций и требуемым уровням чистоты.</w:t>
      </w:r>
    </w:p>
    <w:bookmarkEnd w:id="2390"/>
    <w:bookmarkStart w:name="z2493" w:id="2391"/>
    <w:p>
      <w:pPr>
        <w:spacing w:after="0"/>
        <w:ind w:left="0"/>
        <w:jc w:val="both"/>
      </w:pPr>
      <w:r>
        <w:rPr>
          <w:rFonts w:ascii="Times New Roman"/>
          <w:b w:val="false"/>
          <w:i w:val="false"/>
          <w:color w:val="000000"/>
          <w:sz w:val="28"/>
        </w:rPr>
        <w:t>
      48. Планировочные решения рабочих зон и внутрипроизводственных зон хранения обеспечивает последовательное и логичное размещение оборудования и материалов, сводящее к минимуму риск перепутывания различных лекарственных препаратов или их компонентов, обеспечивающее отсутствие перекрестной контаминации и сводящее к минимуму риск пропуска или неправильного осуществления любого этапа при производстве или контроле.</w:t>
      </w:r>
    </w:p>
    <w:bookmarkEnd w:id="2391"/>
    <w:bookmarkStart w:name="z2494" w:id="2392"/>
    <w:p>
      <w:pPr>
        <w:spacing w:after="0"/>
        <w:ind w:left="0"/>
        <w:jc w:val="both"/>
      </w:pPr>
      <w:r>
        <w:rPr>
          <w:rFonts w:ascii="Times New Roman"/>
          <w:b w:val="false"/>
          <w:i w:val="false"/>
          <w:color w:val="000000"/>
          <w:sz w:val="28"/>
        </w:rPr>
        <w:t>
      49. Там, где исходное сырье и первичные упаковочные материалы, промежуточная или нерасфасованная продукция подвержены влиянию производственной среды, внутренние поверхности (стены, полы и потолки) гладкие, без щелей трещин на стыках, не выделяют частиц, а также легко эффективно очищаются и, при необходимости, дезинфицируются.</w:t>
      </w:r>
    </w:p>
    <w:bookmarkEnd w:id="2392"/>
    <w:bookmarkStart w:name="z2495" w:id="2393"/>
    <w:p>
      <w:pPr>
        <w:spacing w:after="0"/>
        <w:ind w:left="0"/>
        <w:jc w:val="both"/>
      </w:pPr>
      <w:r>
        <w:rPr>
          <w:rFonts w:ascii="Times New Roman"/>
          <w:b w:val="false"/>
          <w:i w:val="false"/>
          <w:color w:val="000000"/>
          <w:sz w:val="28"/>
        </w:rPr>
        <w:t>
      50. Трубопроводы, осветительные приборы, вентиляционные установки и другие системы обслуживания спроектированы и расположены таким образом, чтобы не было углублений, затрудняющих их очистку. По возможности доступ к ним для обслуживания осуществляется извне производственных зон.</w:t>
      </w:r>
    </w:p>
    <w:bookmarkEnd w:id="2393"/>
    <w:bookmarkStart w:name="z2496" w:id="2394"/>
    <w:p>
      <w:pPr>
        <w:spacing w:after="0"/>
        <w:ind w:left="0"/>
        <w:jc w:val="both"/>
      </w:pPr>
      <w:r>
        <w:rPr>
          <w:rFonts w:ascii="Times New Roman"/>
          <w:b w:val="false"/>
          <w:i w:val="false"/>
          <w:color w:val="000000"/>
          <w:sz w:val="28"/>
        </w:rPr>
        <w:t>
      51. Точки подключения к канализационным стокам соответствуют размерам и оборудованы устройствами для предотвращения обратного потока. По возможности избегают открытых сливных желобов, но если они необходимы, то они неглубокие для облегчения очистки и дезинфекции.</w:t>
      </w:r>
    </w:p>
    <w:bookmarkEnd w:id="2394"/>
    <w:bookmarkStart w:name="z2497" w:id="2395"/>
    <w:p>
      <w:pPr>
        <w:spacing w:after="0"/>
        <w:ind w:left="0"/>
        <w:jc w:val="both"/>
      </w:pPr>
      <w:r>
        <w:rPr>
          <w:rFonts w:ascii="Times New Roman"/>
          <w:b w:val="false"/>
          <w:i w:val="false"/>
          <w:color w:val="000000"/>
          <w:sz w:val="28"/>
        </w:rPr>
        <w:t>
      52. Производственные зоны эффективно вентилируются; в них средства для контроля параметров воздуха (включая температуру, влажность и фильтрацию), соответствующие обрабатываемой продукции, проводимым операциям и производственной зоне.</w:t>
      </w:r>
    </w:p>
    <w:bookmarkEnd w:id="2395"/>
    <w:bookmarkStart w:name="z2498" w:id="2396"/>
    <w:p>
      <w:pPr>
        <w:spacing w:after="0"/>
        <w:ind w:left="0"/>
        <w:jc w:val="both"/>
      </w:pPr>
      <w:r>
        <w:rPr>
          <w:rFonts w:ascii="Times New Roman"/>
          <w:b w:val="false"/>
          <w:i w:val="false"/>
          <w:color w:val="000000"/>
          <w:sz w:val="28"/>
        </w:rPr>
        <w:t>
      53. Взвешивание исходного сырья, как правило, осуществляют в отдельном, предназначенном для этого помещении.</w:t>
      </w:r>
    </w:p>
    <w:bookmarkEnd w:id="2396"/>
    <w:bookmarkStart w:name="z2499" w:id="2397"/>
    <w:p>
      <w:pPr>
        <w:spacing w:after="0"/>
        <w:ind w:left="0"/>
        <w:jc w:val="both"/>
      </w:pPr>
      <w:r>
        <w:rPr>
          <w:rFonts w:ascii="Times New Roman"/>
          <w:b w:val="false"/>
          <w:i w:val="false"/>
          <w:color w:val="000000"/>
          <w:sz w:val="28"/>
        </w:rPr>
        <w:t>
      54. В тех случаях, когда происходит образование пыли (например, во время отбора проб, взвешивания, смешивания и производственных операций, упаковки сухой продукции), принимаются специальные меры предосторожности в целях предупреждения перекрестной контаминации и облегчения очистки.</w:t>
      </w:r>
    </w:p>
    <w:bookmarkEnd w:id="2397"/>
    <w:bookmarkStart w:name="z2500" w:id="2398"/>
    <w:p>
      <w:pPr>
        <w:spacing w:after="0"/>
        <w:ind w:left="0"/>
        <w:jc w:val="both"/>
      </w:pPr>
      <w:r>
        <w:rPr>
          <w:rFonts w:ascii="Times New Roman"/>
          <w:b w:val="false"/>
          <w:i w:val="false"/>
          <w:color w:val="000000"/>
          <w:sz w:val="28"/>
        </w:rPr>
        <w:t>
      55. Помещения для упаковки лекарственных препаратов специально спроектированы и расположены таким образом, чтобы избежать перепутывания или перекрестной контаминации.</w:t>
      </w:r>
    </w:p>
    <w:bookmarkEnd w:id="2398"/>
    <w:bookmarkStart w:name="z2501" w:id="2399"/>
    <w:p>
      <w:pPr>
        <w:spacing w:after="0"/>
        <w:ind w:left="0"/>
        <w:jc w:val="both"/>
      </w:pPr>
      <w:r>
        <w:rPr>
          <w:rFonts w:ascii="Times New Roman"/>
          <w:b w:val="false"/>
          <w:i w:val="false"/>
          <w:color w:val="000000"/>
          <w:sz w:val="28"/>
        </w:rPr>
        <w:t>
      56. Производственные зоны хорошо освещаются, особенно там, где проводится постоянный визуальный контроль.</w:t>
      </w:r>
    </w:p>
    <w:bookmarkEnd w:id="2399"/>
    <w:bookmarkStart w:name="z2502" w:id="2400"/>
    <w:p>
      <w:pPr>
        <w:spacing w:after="0"/>
        <w:ind w:left="0"/>
        <w:jc w:val="both"/>
      </w:pPr>
      <w:r>
        <w:rPr>
          <w:rFonts w:ascii="Times New Roman"/>
          <w:b w:val="false"/>
          <w:i w:val="false"/>
          <w:color w:val="000000"/>
          <w:sz w:val="28"/>
        </w:rPr>
        <w:t>
      57. Контроль в процессе производства проводится в производственной зоне, если это не создает риска для технологического процесса.</w:t>
      </w:r>
    </w:p>
    <w:bookmarkEnd w:id="2400"/>
    <w:bookmarkStart w:name="z2503" w:id="2401"/>
    <w:p>
      <w:pPr>
        <w:spacing w:after="0"/>
        <w:ind w:left="0"/>
        <w:jc w:val="left"/>
      </w:pPr>
      <w:r>
        <w:rPr>
          <w:rFonts w:ascii="Times New Roman"/>
          <w:b/>
          <w:i w:val="false"/>
          <w:color w:val="000000"/>
        </w:rPr>
        <w:t xml:space="preserve"> Параграф 4. Складские зоны</w:t>
      </w:r>
    </w:p>
    <w:bookmarkEnd w:id="2401"/>
    <w:bookmarkStart w:name="z2504" w:id="2402"/>
    <w:p>
      <w:pPr>
        <w:spacing w:after="0"/>
        <w:ind w:left="0"/>
        <w:jc w:val="both"/>
      </w:pPr>
      <w:r>
        <w:rPr>
          <w:rFonts w:ascii="Times New Roman"/>
          <w:b w:val="false"/>
          <w:i w:val="false"/>
          <w:color w:val="000000"/>
          <w:sz w:val="28"/>
        </w:rPr>
        <w:t>
      58. Складские зоны достаточно вместительные, чтобы обеспечивать упорядоченное хранение различных категорий материалов и продукции: исходного сырья и упаковочных материалов, промежуточной, нерасфасованной и готовой продукции, а также продукции, находящейся в карантине, продукции, разрешенной для выпуска, отклоненной, возвращенной или отозванной.</w:t>
      </w:r>
    </w:p>
    <w:bookmarkEnd w:id="2402"/>
    <w:bookmarkStart w:name="z2505" w:id="2403"/>
    <w:p>
      <w:pPr>
        <w:spacing w:after="0"/>
        <w:ind w:left="0"/>
        <w:jc w:val="both"/>
      </w:pPr>
      <w:r>
        <w:rPr>
          <w:rFonts w:ascii="Times New Roman"/>
          <w:b w:val="false"/>
          <w:i w:val="false"/>
          <w:color w:val="000000"/>
          <w:sz w:val="28"/>
        </w:rPr>
        <w:t>
      59. При проектировании и оснащении складских зон предусматривают надлежащие условия хранения. В частности, они чистые и сухие, в них поддерживается требуемая температура. Если требуются специальные условия хранения (например, температура, влажность), то обеспечиваются и проверяются такие условия, а также осуществлять их мониторинг.</w:t>
      </w:r>
    </w:p>
    <w:bookmarkEnd w:id="2403"/>
    <w:bookmarkStart w:name="z2506" w:id="2404"/>
    <w:p>
      <w:pPr>
        <w:spacing w:after="0"/>
        <w:ind w:left="0"/>
        <w:jc w:val="both"/>
      </w:pPr>
      <w:r>
        <w:rPr>
          <w:rFonts w:ascii="Times New Roman"/>
          <w:b w:val="false"/>
          <w:i w:val="false"/>
          <w:color w:val="000000"/>
          <w:sz w:val="28"/>
        </w:rPr>
        <w:t>
      60. В местах приемки и отгрузки обеспечена защита сырья, материалов и продукции от воздействия погодных условий. Зоны приемки спроектирована и оборудована так, чтобы тару с поступающим сырьем и материалами перед складированием при необходимости очищается.</w:t>
      </w:r>
    </w:p>
    <w:bookmarkEnd w:id="2404"/>
    <w:bookmarkStart w:name="z2507" w:id="2405"/>
    <w:p>
      <w:pPr>
        <w:spacing w:after="0"/>
        <w:ind w:left="0"/>
        <w:jc w:val="both"/>
      </w:pPr>
      <w:r>
        <w:rPr>
          <w:rFonts w:ascii="Times New Roman"/>
          <w:b w:val="false"/>
          <w:i w:val="false"/>
          <w:color w:val="000000"/>
          <w:sz w:val="28"/>
        </w:rPr>
        <w:t>
      61. Если режим карантина обеспечивается хранением продукции в раздельных зонах, то эти зоны четко обозначены, доступ в них разрешен персоналу, имеющему соответствующие полномочия. Любая другая система, заменяющая физический карантин, обеспечивает эквивалентную надежность.</w:t>
      </w:r>
    </w:p>
    <w:bookmarkEnd w:id="2405"/>
    <w:bookmarkStart w:name="z2508" w:id="2406"/>
    <w:p>
      <w:pPr>
        <w:spacing w:after="0"/>
        <w:ind w:left="0"/>
        <w:jc w:val="both"/>
      </w:pPr>
      <w:r>
        <w:rPr>
          <w:rFonts w:ascii="Times New Roman"/>
          <w:b w:val="false"/>
          <w:i w:val="false"/>
          <w:color w:val="000000"/>
          <w:sz w:val="28"/>
        </w:rPr>
        <w:t>
      62. Как правило, отдельная зона для отбора проб исходного сырья. Если отбор проб осуществляется в зоне хранения, то он проводится таким образом, чтобы предотвратить контаминацию или перекрестную контаминацию.</w:t>
      </w:r>
    </w:p>
    <w:bookmarkEnd w:id="2406"/>
    <w:bookmarkStart w:name="z2509" w:id="2407"/>
    <w:p>
      <w:pPr>
        <w:spacing w:after="0"/>
        <w:ind w:left="0"/>
        <w:jc w:val="both"/>
      </w:pPr>
      <w:r>
        <w:rPr>
          <w:rFonts w:ascii="Times New Roman"/>
          <w:b w:val="false"/>
          <w:i w:val="false"/>
          <w:color w:val="000000"/>
          <w:sz w:val="28"/>
        </w:rPr>
        <w:t>
      63. Для хранения отклоненных, отозванных или возвращенных сырья, материалов или продукции предусмотрены изолированные зоны.</w:t>
      </w:r>
    </w:p>
    <w:bookmarkEnd w:id="2407"/>
    <w:bookmarkStart w:name="z2510" w:id="2408"/>
    <w:p>
      <w:pPr>
        <w:spacing w:after="0"/>
        <w:ind w:left="0"/>
        <w:jc w:val="both"/>
      </w:pPr>
      <w:r>
        <w:rPr>
          <w:rFonts w:ascii="Times New Roman"/>
          <w:b w:val="false"/>
          <w:i w:val="false"/>
          <w:color w:val="000000"/>
          <w:sz w:val="28"/>
        </w:rPr>
        <w:t>
      64. Высокоактивные вещества и лекарственные препараты хранятся в безопасных и защищенных зонах.</w:t>
      </w:r>
    </w:p>
    <w:bookmarkEnd w:id="2408"/>
    <w:bookmarkStart w:name="z2511" w:id="2409"/>
    <w:p>
      <w:pPr>
        <w:spacing w:after="0"/>
        <w:ind w:left="0"/>
        <w:jc w:val="both"/>
      </w:pPr>
      <w:r>
        <w:rPr>
          <w:rFonts w:ascii="Times New Roman"/>
          <w:b w:val="false"/>
          <w:i w:val="false"/>
          <w:color w:val="000000"/>
          <w:sz w:val="28"/>
        </w:rPr>
        <w:t>
      65. Уделяют особое внимание безопасному и надежному хранению печатных упаковочных материалов, так как они считаются критическими для обеспечения соответствия лекарственного препарата установленным требованиям.</w:t>
      </w:r>
    </w:p>
    <w:bookmarkEnd w:id="2409"/>
    <w:bookmarkStart w:name="z2512" w:id="2410"/>
    <w:p>
      <w:pPr>
        <w:spacing w:after="0"/>
        <w:ind w:left="0"/>
        <w:jc w:val="left"/>
      </w:pPr>
      <w:r>
        <w:rPr>
          <w:rFonts w:ascii="Times New Roman"/>
          <w:b/>
          <w:i w:val="false"/>
          <w:color w:val="000000"/>
        </w:rPr>
        <w:t xml:space="preserve"> Параграф 5. Зоны контроля качества</w:t>
      </w:r>
    </w:p>
    <w:bookmarkEnd w:id="2410"/>
    <w:bookmarkStart w:name="z2513" w:id="2411"/>
    <w:p>
      <w:pPr>
        <w:spacing w:after="0"/>
        <w:ind w:left="0"/>
        <w:jc w:val="both"/>
      </w:pPr>
      <w:r>
        <w:rPr>
          <w:rFonts w:ascii="Times New Roman"/>
          <w:b w:val="false"/>
          <w:i w:val="false"/>
          <w:color w:val="000000"/>
          <w:sz w:val="28"/>
        </w:rPr>
        <w:t>
      66. Лаборатории контроля качества отделены от производственных зон. Это особенно важно для лабораторий по контролю биологических и микробиологических лекарственных препаратов и радиоизотопов, которые также отделены друг от друга.</w:t>
      </w:r>
    </w:p>
    <w:bookmarkEnd w:id="2411"/>
    <w:bookmarkStart w:name="z2514" w:id="2412"/>
    <w:p>
      <w:pPr>
        <w:spacing w:after="0"/>
        <w:ind w:left="0"/>
        <w:jc w:val="both"/>
      </w:pPr>
      <w:r>
        <w:rPr>
          <w:rFonts w:ascii="Times New Roman"/>
          <w:b w:val="false"/>
          <w:i w:val="false"/>
          <w:color w:val="000000"/>
          <w:sz w:val="28"/>
        </w:rPr>
        <w:t>
      67. Контрольные лаборатории спроектированы таким образом, чтобы соответствовать требованиям к проводимым в них работам. Во избежание перепутывания и перекрестной контаминации они имеют достаточную площадь. Выделяют соответствующие и подходящие площади для хранения образцов и записей.</w:t>
      </w:r>
    </w:p>
    <w:bookmarkEnd w:id="2412"/>
    <w:bookmarkStart w:name="z2515" w:id="2413"/>
    <w:p>
      <w:pPr>
        <w:spacing w:after="0"/>
        <w:ind w:left="0"/>
        <w:jc w:val="both"/>
      </w:pPr>
      <w:r>
        <w:rPr>
          <w:rFonts w:ascii="Times New Roman"/>
          <w:b w:val="false"/>
          <w:i w:val="false"/>
          <w:color w:val="000000"/>
          <w:sz w:val="28"/>
        </w:rPr>
        <w:t>
      68. Для чувствительных приборов, нуждающихся в защите от вибрации, электромагнитных полей, влажности воздуха и т. д., предусмотрены отдельные комнаты.</w:t>
      </w:r>
    </w:p>
    <w:bookmarkEnd w:id="2413"/>
    <w:bookmarkStart w:name="z2516" w:id="2414"/>
    <w:p>
      <w:pPr>
        <w:spacing w:after="0"/>
        <w:ind w:left="0"/>
        <w:jc w:val="both"/>
      </w:pPr>
      <w:r>
        <w:rPr>
          <w:rFonts w:ascii="Times New Roman"/>
          <w:b w:val="false"/>
          <w:i w:val="false"/>
          <w:color w:val="000000"/>
          <w:sz w:val="28"/>
        </w:rPr>
        <w:t>
      69. Особые требования предъявляются к лабораториям, которых проводятся работы со специфическими веществам (например, биологическими или радиоактивными материалами).</w:t>
      </w:r>
    </w:p>
    <w:bookmarkEnd w:id="2414"/>
    <w:bookmarkStart w:name="z2517" w:id="2415"/>
    <w:p>
      <w:pPr>
        <w:spacing w:after="0"/>
        <w:ind w:left="0"/>
        <w:jc w:val="left"/>
      </w:pPr>
      <w:r>
        <w:rPr>
          <w:rFonts w:ascii="Times New Roman"/>
          <w:b/>
          <w:i w:val="false"/>
          <w:color w:val="000000"/>
        </w:rPr>
        <w:t xml:space="preserve"> Параграф 6. Вспомогательные зоны</w:t>
      </w:r>
    </w:p>
    <w:bookmarkEnd w:id="2415"/>
    <w:bookmarkStart w:name="z2518" w:id="2416"/>
    <w:p>
      <w:pPr>
        <w:spacing w:after="0"/>
        <w:ind w:left="0"/>
        <w:jc w:val="both"/>
      </w:pPr>
      <w:r>
        <w:rPr>
          <w:rFonts w:ascii="Times New Roman"/>
          <w:b w:val="false"/>
          <w:i w:val="false"/>
          <w:color w:val="000000"/>
          <w:sz w:val="28"/>
        </w:rPr>
        <w:t>
      70. Комнаты отдыха и приема пищи отделены от других зон.</w:t>
      </w:r>
    </w:p>
    <w:bookmarkEnd w:id="2416"/>
    <w:bookmarkStart w:name="z2519" w:id="2417"/>
    <w:p>
      <w:pPr>
        <w:spacing w:after="0"/>
        <w:ind w:left="0"/>
        <w:jc w:val="both"/>
      </w:pPr>
      <w:r>
        <w:rPr>
          <w:rFonts w:ascii="Times New Roman"/>
          <w:b w:val="false"/>
          <w:i w:val="false"/>
          <w:color w:val="000000"/>
          <w:sz w:val="28"/>
        </w:rPr>
        <w:t>
      71. Помещения для переодевания, туалеты и душевые кабины имеют удобный доступ, их планировка и размеры соответствуют численности персонала. Не допускается, чтобы туалеты непосредственно сообщались с производственными или складскими зонами.</w:t>
      </w:r>
    </w:p>
    <w:bookmarkEnd w:id="2417"/>
    <w:bookmarkStart w:name="z2520" w:id="2418"/>
    <w:p>
      <w:pPr>
        <w:spacing w:after="0"/>
        <w:ind w:left="0"/>
        <w:jc w:val="both"/>
      </w:pPr>
      <w:r>
        <w:rPr>
          <w:rFonts w:ascii="Times New Roman"/>
          <w:b w:val="false"/>
          <w:i w:val="false"/>
          <w:color w:val="000000"/>
          <w:sz w:val="28"/>
        </w:rPr>
        <w:t>
      72. Мастерские по возможности отделены от производственных зон. В том случае, если хранение запасных частей и инструментов осуществляется в производственной зоне, их содержат в предусмотренных для этого комнатах или запирающихся ящиках.</w:t>
      </w:r>
    </w:p>
    <w:bookmarkEnd w:id="2418"/>
    <w:bookmarkStart w:name="z2521" w:id="2419"/>
    <w:p>
      <w:pPr>
        <w:spacing w:after="0"/>
        <w:ind w:left="0"/>
        <w:jc w:val="both"/>
      </w:pPr>
      <w:r>
        <w:rPr>
          <w:rFonts w:ascii="Times New Roman"/>
          <w:b w:val="false"/>
          <w:i w:val="false"/>
          <w:color w:val="000000"/>
          <w:sz w:val="28"/>
        </w:rPr>
        <w:t>
      73. Виварии изолированы от других зон, иметь отдельный вход (доступ к животным) и отдельные системы воздухоподготовки.</w:t>
      </w:r>
    </w:p>
    <w:bookmarkEnd w:id="2419"/>
    <w:bookmarkStart w:name="z2522" w:id="2420"/>
    <w:p>
      <w:pPr>
        <w:spacing w:after="0"/>
        <w:ind w:left="0"/>
        <w:jc w:val="left"/>
      </w:pPr>
      <w:r>
        <w:rPr>
          <w:rFonts w:ascii="Times New Roman"/>
          <w:b/>
          <w:i w:val="false"/>
          <w:color w:val="000000"/>
        </w:rPr>
        <w:t xml:space="preserve"> Параграф 7. Оборудование</w:t>
      </w:r>
    </w:p>
    <w:bookmarkEnd w:id="2420"/>
    <w:bookmarkStart w:name="z2523" w:id="2421"/>
    <w:p>
      <w:pPr>
        <w:spacing w:after="0"/>
        <w:ind w:left="0"/>
        <w:jc w:val="both"/>
      </w:pPr>
      <w:r>
        <w:rPr>
          <w:rFonts w:ascii="Times New Roman"/>
          <w:b w:val="false"/>
          <w:i w:val="false"/>
          <w:color w:val="000000"/>
          <w:sz w:val="28"/>
        </w:rPr>
        <w:t>
      74. Конструкция, монтаж и порядок технического обслуживания производственного оборудования соответствуют его назначению.</w:t>
      </w:r>
    </w:p>
    <w:bookmarkEnd w:id="2421"/>
    <w:bookmarkStart w:name="z2524" w:id="2422"/>
    <w:p>
      <w:pPr>
        <w:spacing w:after="0"/>
        <w:ind w:left="0"/>
        <w:jc w:val="both"/>
      </w:pPr>
      <w:r>
        <w:rPr>
          <w:rFonts w:ascii="Times New Roman"/>
          <w:b w:val="false"/>
          <w:i w:val="false"/>
          <w:color w:val="000000"/>
          <w:sz w:val="28"/>
        </w:rPr>
        <w:t>
      75. Работы по ремонту и техническому обслуживанию оборудования не представляют никакой опасности для качества продукции.</w:t>
      </w:r>
    </w:p>
    <w:bookmarkEnd w:id="2422"/>
    <w:bookmarkStart w:name="z2525" w:id="2423"/>
    <w:p>
      <w:pPr>
        <w:spacing w:after="0"/>
        <w:ind w:left="0"/>
        <w:jc w:val="both"/>
      </w:pPr>
      <w:r>
        <w:rPr>
          <w:rFonts w:ascii="Times New Roman"/>
          <w:b w:val="false"/>
          <w:i w:val="false"/>
          <w:color w:val="000000"/>
          <w:sz w:val="28"/>
        </w:rPr>
        <w:t>
      76. Конструкция производственного оборудования такая, чтобы его было легко и тщательно очищать. Очистку проводят в соответствии с подробными письменными инструкциями. Оборудование хранят только в чистом и сухом состоянии.</w:t>
      </w:r>
    </w:p>
    <w:bookmarkEnd w:id="2423"/>
    <w:bookmarkStart w:name="z2526" w:id="2424"/>
    <w:p>
      <w:pPr>
        <w:spacing w:after="0"/>
        <w:ind w:left="0"/>
        <w:jc w:val="both"/>
      </w:pPr>
      <w:r>
        <w:rPr>
          <w:rFonts w:ascii="Times New Roman"/>
          <w:b w:val="false"/>
          <w:i w:val="false"/>
          <w:color w:val="000000"/>
          <w:sz w:val="28"/>
        </w:rPr>
        <w:t>
      77. Инвентарь для мытья и очистки выбирают и используют так, чтобы он не стал источником контаминации.</w:t>
      </w:r>
    </w:p>
    <w:bookmarkEnd w:id="2424"/>
    <w:bookmarkStart w:name="z2527" w:id="2425"/>
    <w:p>
      <w:pPr>
        <w:spacing w:after="0"/>
        <w:ind w:left="0"/>
        <w:jc w:val="both"/>
      </w:pPr>
      <w:r>
        <w:rPr>
          <w:rFonts w:ascii="Times New Roman"/>
          <w:b w:val="false"/>
          <w:i w:val="false"/>
          <w:color w:val="000000"/>
          <w:sz w:val="28"/>
        </w:rPr>
        <w:t>
      78. Оборудование установлено таким образом, чтобы не допускать возникновения какого-либо риска ошибок или контаминации.</w:t>
      </w:r>
    </w:p>
    <w:bookmarkEnd w:id="2425"/>
    <w:bookmarkStart w:name="z2528" w:id="2426"/>
    <w:p>
      <w:pPr>
        <w:spacing w:after="0"/>
        <w:ind w:left="0"/>
        <w:jc w:val="both"/>
      </w:pPr>
      <w:r>
        <w:rPr>
          <w:rFonts w:ascii="Times New Roman"/>
          <w:b w:val="false"/>
          <w:i w:val="false"/>
          <w:color w:val="000000"/>
          <w:sz w:val="28"/>
        </w:rPr>
        <w:t>
      79. Производственное оборудование не представляет никакой опасности для продукции. Части производственного оборудования, контактирующие с продукцией, не вступает с ней реакцию, выделять или абсорбировать вещества в такой степени, чтобы это могло повлиять на качество продукции и создать таким образом какую-либо опасность.</w:t>
      </w:r>
    </w:p>
    <w:bookmarkEnd w:id="2426"/>
    <w:bookmarkStart w:name="z2529" w:id="2427"/>
    <w:p>
      <w:pPr>
        <w:spacing w:after="0"/>
        <w:ind w:left="0"/>
        <w:jc w:val="both"/>
      </w:pPr>
      <w:r>
        <w:rPr>
          <w:rFonts w:ascii="Times New Roman"/>
          <w:b w:val="false"/>
          <w:i w:val="false"/>
          <w:color w:val="000000"/>
          <w:sz w:val="28"/>
        </w:rPr>
        <w:t>
      80. Точность и рабочий диапазон весов и других средств измерений соответствует производственным и контрольным операциям, в которых они используются.</w:t>
      </w:r>
    </w:p>
    <w:bookmarkEnd w:id="2427"/>
    <w:bookmarkStart w:name="z2530" w:id="2428"/>
    <w:p>
      <w:pPr>
        <w:spacing w:after="0"/>
        <w:ind w:left="0"/>
        <w:jc w:val="both"/>
      </w:pPr>
      <w:r>
        <w:rPr>
          <w:rFonts w:ascii="Times New Roman"/>
          <w:b w:val="false"/>
          <w:i w:val="false"/>
          <w:color w:val="000000"/>
          <w:sz w:val="28"/>
        </w:rPr>
        <w:t>
      81. Калибровка и поверка весов и других средств измерений, регистрирующих и контрольных приборов проводится с определенной периодичностью соответствующими методами. Оформляются и сохраняются записи таких испытаний.</w:t>
      </w:r>
    </w:p>
    <w:bookmarkEnd w:id="2428"/>
    <w:bookmarkStart w:name="z2531" w:id="2429"/>
    <w:p>
      <w:pPr>
        <w:spacing w:after="0"/>
        <w:ind w:left="0"/>
        <w:jc w:val="both"/>
      </w:pPr>
      <w:r>
        <w:rPr>
          <w:rFonts w:ascii="Times New Roman"/>
          <w:b w:val="false"/>
          <w:i w:val="false"/>
          <w:color w:val="000000"/>
          <w:sz w:val="28"/>
        </w:rPr>
        <w:t>
      82. Стационарные трубопроводы имеют четкую маркировку с указанием проходящих по ним веществ и, если требуется, направлений потока.</w:t>
      </w:r>
    </w:p>
    <w:bookmarkEnd w:id="2429"/>
    <w:bookmarkStart w:name="z2532" w:id="2430"/>
    <w:p>
      <w:pPr>
        <w:spacing w:after="0"/>
        <w:ind w:left="0"/>
        <w:jc w:val="both"/>
      </w:pPr>
      <w:r>
        <w:rPr>
          <w:rFonts w:ascii="Times New Roman"/>
          <w:b w:val="false"/>
          <w:i w:val="false"/>
          <w:color w:val="000000"/>
          <w:sz w:val="28"/>
        </w:rPr>
        <w:t>
      83. Трубопроводы для воды очищенной, воды для инъекций (дистиллированной, деионизированной) и, другой воды подвергают санитарной обработке в соответствии с письменными инструкциями, в которых указаны пределы микробной контаминации и принимаемые меры в случае их превышения.</w:t>
      </w:r>
    </w:p>
    <w:bookmarkEnd w:id="2430"/>
    <w:bookmarkStart w:name="z2533" w:id="2431"/>
    <w:p>
      <w:pPr>
        <w:spacing w:after="0"/>
        <w:ind w:left="0"/>
        <w:jc w:val="both"/>
      </w:pPr>
      <w:r>
        <w:rPr>
          <w:rFonts w:ascii="Times New Roman"/>
          <w:b w:val="false"/>
          <w:i w:val="false"/>
          <w:color w:val="000000"/>
          <w:sz w:val="28"/>
        </w:rPr>
        <w:t>
      84. Неисправное оборудование удаляется из производственных зон и зон контроля качества или промаркировывается как неисправное.</w:t>
      </w:r>
    </w:p>
    <w:bookmarkEnd w:id="2431"/>
    <w:bookmarkStart w:name="z2534" w:id="2432"/>
    <w:p>
      <w:pPr>
        <w:spacing w:after="0"/>
        <w:ind w:left="0"/>
        <w:jc w:val="left"/>
      </w:pPr>
      <w:r>
        <w:rPr>
          <w:rFonts w:ascii="Times New Roman"/>
          <w:b/>
          <w:i w:val="false"/>
          <w:color w:val="000000"/>
        </w:rPr>
        <w:t xml:space="preserve"> Глава 5. Документация</w:t>
      </w:r>
    </w:p>
    <w:bookmarkEnd w:id="2432"/>
    <w:bookmarkStart w:name="z2535" w:id="2433"/>
    <w:p>
      <w:pPr>
        <w:spacing w:after="0"/>
        <w:ind w:left="0"/>
        <w:jc w:val="left"/>
      </w:pPr>
      <w:r>
        <w:rPr>
          <w:rFonts w:ascii="Times New Roman"/>
          <w:b/>
          <w:i w:val="false"/>
          <w:color w:val="000000"/>
        </w:rPr>
        <w:t xml:space="preserve"> Параграф 1. Принцип</w:t>
      </w:r>
    </w:p>
    <w:bookmarkEnd w:id="2433"/>
    <w:bookmarkStart w:name="z2536" w:id="2434"/>
    <w:p>
      <w:pPr>
        <w:spacing w:after="0"/>
        <w:ind w:left="0"/>
        <w:jc w:val="both"/>
      </w:pPr>
      <w:r>
        <w:rPr>
          <w:rFonts w:ascii="Times New Roman"/>
          <w:b w:val="false"/>
          <w:i w:val="false"/>
          <w:color w:val="000000"/>
          <w:sz w:val="28"/>
        </w:rPr>
        <w:t>
      85. Надлежащая документация составляет неотъемлемую часть системы обеспечения качества и является ключевым элементом работы в соответствии с настоящим Стандартом. В системе управления качеством производителя четко установлены различные виды используемой документации и носителей информации. Документация существует в различных формах, в том числе на бумажном, электронном или фотографическом носителе. Главной целью применяемой системы документации создание, управление, контроль и регистрация всей деятельности, которая непосредственно или опосредовано влиять на все аспекты качества лекарственных препаратов. В дополнение к надлежащему документальному оформлению различных процессов и оценки каких-либо наблюдений система управления качеством содержит достаточно подробные указания. Эти указания способствуют общему пониманию требований таким образом, чтобы продемонстрировать их постоянное соблюдение.</w:t>
      </w:r>
    </w:p>
    <w:bookmarkEnd w:id="2434"/>
    <w:bookmarkStart w:name="z2537" w:id="2435"/>
    <w:p>
      <w:pPr>
        <w:spacing w:after="0"/>
        <w:ind w:left="0"/>
        <w:jc w:val="both"/>
      </w:pPr>
      <w:r>
        <w:rPr>
          <w:rFonts w:ascii="Times New Roman"/>
          <w:b w:val="false"/>
          <w:i w:val="false"/>
          <w:color w:val="000000"/>
          <w:sz w:val="28"/>
        </w:rPr>
        <w:t>
      Существует 2 основных вида документации для выполнения требований настоящего Стандарта и регистрации их соблюдения: регламентирующий - инструкции (указания, требования) и регистрирующий - записи (отчеты). Применяют соответствующую надлежащую практику документального оформления в зависимости от вида документа.</w:t>
      </w:r>
    </w:p>
    <w:bookmarkEnd w:id="2435"/>
    <w:bookmarkStart w:name="z2538" w:id="2436"/>
    <w:p>
      <w:pPr>
        <w:spacing w:after="0"/>
        <w:ind w:left="0"/>
        <w:jc w:val="both"/>
      </w:pPr>
      <w:r>
        <w:rPr>
          <w:rFonts w:ascii="Times New Roman"/>
          <w:b w:val="false"/>
          <w:i w:val="false"/>
          <w:color w:val="000000"/>
          <w:sz w:val="28"/>
        </w:rPr>
        <w:t>
      Внедрен соответствующий контроль для обеспечения точности, целостности, доступности и четкости документов. Регламентирующие документы доступны в письменном виде и не содержат ошибок. Понятие "в письменном виде" используется в значении "записанный или задокументированный на носителях информации, с которых данные могут быть получены в читаемой форме".</w:t>
      </w:r>
    </w:p>
    <w:bookmarkEnd w:id="2436"/>
    <w:bookmarkStart w:name="z2539" w:id="2437"/>
    <w:p>
      <w:pPr>
        <w:spacing w:after="0"/>
        <w:ind w:left="0"/>
        <w:jc w:val="left"/>
      </w:pPr>
      <w:r>
        <w:rPr>
          <w:rFonts w:ascii="Times New Roman"/>
          <w:b/>
          <w:i w:val="false"/>
          <w:color w:val="000000"/>
        </w:rPr>
        <w:t xml:space="preserve"> Параграф 2. Документация, требуемая надлежащей производственной практикой</w:t>
      </w:r>
    </w:p>
    <w:bookmarkEnd w:id="2437"/>
    <w:bookmarkStart w:name="z2540" w:id="2438"/>
    <w:p>
      <w:pPr>
        <w:spacing w:after="0"/>
        <w:ind w:left="0"/>
        <w:jc w:val="both"/>
      </w:pPr>
      <w:r>
        <w:rPr>
          <w:rFonts w:ascii="Times New Roman"/>
          <w:b w:val="false"/>
          <w:i w:val="false"/>
          <w:color w:val="000000"/>
          <w:sz w:val="28"/>
        </w:rPr>
        <w:t>
      86. Досье производственной площадки: документ, в котором описана деятельность производителя, имеющая отношение к настоящему Стандарту.</w:t>
      </w:r>
    </w:p>
    <w:bookmarkEnd w:id="2438"/>
    <w:bookmarkStart w:name="z2541" w:id="2439"/>
    <w:p>
      <w:pPr>
        <w:spacing w:after="0"/>
        <w:ind w:left="0"/>
        <w:jc w:val="both"/>
      </w:pPr>
      <w:r>
        <w:rPr>
          <w:rFonts w:ascii="Times New Roman"/>
          <w:b w:val="false"/>
          <w:i w:val="false"/>
          <w:color w:val="000000"/>
          <w:sz w:val="28"/>
        </w:rPr>
        <w:t>
      Типы регламентирующих документов (руководства и требования): спецификации - документы, содержащие подробные требования, которым соответствуют исходные и упаковочные материалы продукция, использующиеся или получаемые при производстве. Они являются основой для оценки качества лекарственных препаратов;</w:t>
      </w:r>
    </w:p>
    <w:bookmarkEnd w:id="2439"/>
    <w:bookmarkStart w:name="z2542" w:id="2440"/>
    <w:p>
      <w:pPr>
        <w:spacing w:after="0"/>
        <w:ind w:left="0"/>
        <w:jc w:val="both"/>
      </w:pPr>
      <w:r>
        <w:rPr>
          <w:rFonts w:ascii="Times New Roman"/>
          <w:b w:val="false"/>
          <w:i w:val="false"/>
          <w:color w:val="000000"/>
          <w:sz w:val="28"/>
        </w:rPr>
        <w:t>
      производственные рецептуры, технологические инструкции, инструкции по упаковке, методики испытаний - документы, содержащие подробную информацию обо всем используемом исходном сырье, оборудовании и компьютеризированных системах (при их наличии). В этих документах содержатся все инструкции по осуществлению технологических процессов, упаковке, отбору проб и проведению испытаний. Где применимо, указывают все точки контроля в процессе производства, а также используемые процессно-аналитические технологии вместе с критериями приемлемости;</w:t>
      </w:r>
    </w:p>
    <w:bookmarkEnd w:id="2440"/>
    <w:bookmarkStart w:name="z2543" w:id="2441"/>
    <w:p>
      <w:pPr>
        <w:spacing w:after="0"/>
        <w:ind w:left="0"/>
        <w:jc w:val="both"/>
      </w:pPr>
      <w:r>
        <w:rPr>
          <w:rFonts w:ascii="Times New Roman"/>
          <w:b w:val="false"/>
          <w:i w:val="false"/>
          <w:color w:val="000000"/>
          <w:sz w:val="28"/>
        </w:rPr>
        <w:t>
      процедуры (стандартные операционные процедуры (далее - СОП)) - документы, содержащие требования к выполнению определенных операций;</w:t>
      </w:r>
    </w:p>
    <w:bookmarkEnd w:id="2441"/>
    <w:bookmarkStart w:name="z2544" w:id="2442"/>
    <w:p>
      <w:pPr>
        <w:spacing w:after="0"/>
        <w:ind w:left="0"/>
        <w:jc w:val="both"/>
      </w:pPr>
      <w:r>
        <w:rPr>
          <w:rFonts w:ascii="Times New Roman"/>
          <w:b w:val="false"/>
          <w:i w:val="false"/>
          <w:color w:val="000000"/>
          <w:sz w:val="28"/>
        </w:rPr>
        <w:t>
      протоколы - документы, содержащие требования к проведению и регистрации отдельных операций;</w:t>
      </w:r>
    </w:p>
    <w:bookmarkEnd w:id="2442"/>
    <w:bookmarkStart w:name="z2545" w:id="2443"/>
    <w:p>
      <w:pPr>
        <w:spacing w:after="0"/>
        <w:ind w:left="0"/>
        <w:jc w:val="both"/>
      </w:pPr>
      <w:r>
        <w:rPr>
          <w:rFonts w:ascii="Times New Roman"/>
          <w:b w:val="false"/>
          <w:i w:val="false"/>
          <w:color w:val="000000"/>
          <w:sz w:val="28"/>
        </w:rPr>
        <w:t>
      технические соглашения - соглашения, заключенные между заказчиками и исполнителями относительно работ, которые выполняются сторонними организациями (аутсорсинг).</w:t>
      </w:r>
    </w:p>
    <w:bookmarkEnd w:id="2443"/>
    <w:bookmarkStart w:name="z2546" w:id="2444"/>
    <w:p>
      <w:pPr>
        <w:spacing w:after="0"/>
        <w:ind w:left="0"/>
        <w:jc w:val="both"/>
      </w:pPr>
      <w:r>
        <w:rPr>
          <w:rFonts w:ascii="Times New Roman"/>
          <w:b w:val="false"/>
          <w:i w:val="false"/>
          <w:color w:val="000000"/>
          <w:sz w:val="28"/>
        </w:rPr>
        <w:t>
      Типы регистрирующих документов (записи (отчеты)):</w:t>
      </w:r>
    </w:p>
    <w:bookmarkEnd w:id="2444"/>
    <w:bookmarkStart w:name="z2547" w:id="2445"/>
    <w:p>
      <w:pPr>
        <w:spacing w:after="0"/>
        <w:ind w:left="0"/>
        <w:jc w:val="both"/>
      </w:pPr>
      <w:r>
        <w:rPr>
          <w:rFonts w:ascii="Times New Roman"/>
          <w:b w:val="false"/>
          <w:i w:val="false"/>
          <w:color w:val="000000"/>
          <w:sz w:val="28"/>
        </w:rPr>
        <w:t>
      записи - свидетельства, подтверждающие выполнение различных действий для доказательства соответствия инструкциям (например, мероприятий, происшествий, расследований) для произведенных серий также содержат историю каждой серии продукции, включая информацию о ее реализацию. Записи содержат исходные данные, используемые для формирования других записей. В случае использования электронных записей определять, какие данные используют в качестве исходных, установленные пользователи. Все данные, на которых основываются решения по качеству, определяются в качестве исходных данных. Записи, относящиеся к конкретной серии, собраны в досье на серию; сертификаты анализа - документы (паспорта, аналитические листки, другие документы), содержащие резюме результатов испытаний образцов продукции или материалов вместе с оценкой соответствия установленной спецификации. Оценка соответствия серии утвержденному регистрационному досье также основана (целиком или частично) на анализе данных, параметров и результатов, полученных в реальном времени (резюме и отчеты об отклонениях). Такой подход применим, если при производстве серии используется процессно-аналитическая технология (PAT);</w:t>
      </w:r>
    </w:p>
    <w:bookmarkEnd w:id="2445"/>
    <w:bookmarkStart w:name="z2548" w:id="2446"/>
    <w:p>
      <w:pPr>
        <w:spacing w:after="0"/>
        <w:ind w:left="0"/>
        <w:jc w:val="both"/>
      </w:pPr>
      <w:r>
        <w:rPr>
          <w:rFonts w:ascii="Times New Roman"/>
          <w:b w:val="false"/>
          <w:i w:val="false"/>
          <w:color w:val="000000"/>
          <w:sz w:val="28"/>
        </w:rPr>
        <w:t>
      отчеты - документы, отражающие выполнение конкретных заданий, проектов или расследований вместе с результатами, выводами и рекомендациями.</w:t>
      </w:r>
    </w:p>
    <w:bookmarkEnd w:id="2446"/>
    <w:bookmarkStart w:name="z2549" w:id="2447"/>
    <w:p>
      <w:pPr>
        <w:spacing w:after="0"/>
        <w:ind w:left="0"/>
        <w:jc w:val="left"/>
      </w:pPr>
      <w:r>
        <w:rPr>
          <w:rFonts w:ascii="Times New Roman"/>
          <w:b/>
          <w:i w:val="false"/>
          <w:color w:val="000000"/>
        </w:rPr>
        <w:t xml:space="preserve"> Параграф 3. Управление документацией</w:t>
      </w:r>
    </w:p>
    <w:bookmarkEnd w:id="2447"/>
    <w:bookmarkStart w:name="z2550" w:id="2448"/>
    <w:p>
      <w:pPr>
        <w:spacing w:after="0"/>
        <w:ind w:left="0"/>
        <w:jc w:val="both"/>
      </w:pPr>
      <w:r>
        <w:rPr>
          <w:rFonts w:ascii="Times New Roman"/>
          <w:b w:val="false"/>
          <w:i w:val="false"/>
          <w:color w:val="000000"/>
          <w:sz w:val="28"/>
        </w:rPr>
        <w:t>
      87. Установлены требования ко всем видам документов, и их соблюдают. Требования применяются в равной мере ко всем формам документов на различных видах носителей информации. Для сложных систем требуется хорошо задокументированное пояснение, валидация и адекватный контроль. Документы могут быть смешанными по форме, например, некоторые элементы в электронном виде, а другие - на бумажном носителе. Устанавливают взаимосвязи и средства управления в отношении оригиналов документов, официальных копий, обработки данных и записей, как для смешанных, так и для однотипных систем документации. Внедряют соответствующие средства управления в отношении таких электронных документов, как шаблоны, формы и первичные документы. Соответствующие меры контроля для обеспечения целостности записей в течение срока хранения.</w:t>
      </w:r>
    </w:p>
    <w:bookmarkEnd w:id="2448"/>
    <w:bookmarkStart w:name="z2551" w:id="2449"/>
    <w:p>
      <w:pPr>
        <w:spacing w:after="0"/>
        <w:ind w:left="0"/>
        <w:jc w:val="both"/>
      </w:pPr>
      <w:r>
        <w:rPr>
          <w:rFonts w:ascii="Times New Roman"/>
          <w:b w:val="false"/>
          <w:i w:val="false"/>
          <w:color w:val="000000"/>
          <w:sz w:val="28"/>
        </w:rPr>
        <w:t>
      88. Документы тщательно разрабатываются, подготавливаются, согласовываются и распределяются. В зависимости от вида они отвечают требованиям соответствующих частей спецификаций исследуемого препарата, регистрационного досье, а также документов, подаваемых для получения лицензии на производство. Копирование оригинальных документов с целью получения рабочих документов не допускает возникновение каких-либо ошибок при копировании.</w:t>
      </w:r>
    </w:p>
    <w:bookmarkEnd w:id="2449"/>
    <w:bookmarkStart w:name="z2552" w:id="2450"/>
    <w:p>
      <w:pPr>
        <w:spacing w:after="0"/>
        <w:ind w:left="0"/>
        <w:jc w:val="both"/>
      </w:pPr>
      <w:r>
        <w:rPr>
          <w:rFonts w:ascii="Times New Roman"/>
          <w:b w:val="false"/>
          <w:i w:val="false"/>
          <w:color w:val="000000"/>
          <w:sz w:val="28"/>
        </w:rPr>
        <w:t>
      89. Регламентирующие документы утверждены и подписаны лицами, имеющими право подписи, с указанием даты. Содержание документов однозначные, документы имеют уникальную идентификацию. Определена дата введения в действие.</w:t>
      </w:r>
    </w:p>
    <w:bookmarkEnd w:id="2450"/>
    <w:bookmarkStart w:name="z2553" w:id="2451"/>
    <w:p>
      <w:pPr>
        <w:spacing w:after="0"/>
        <w:ind w:left="0"/>
        <w:jc w:val="both"/>
      </w:pPr>
      <w:r>
        <w:rPr>
          <w:rFonts w:ascii="Times New Roman"/>
          <w:b w:val="false"/>
          <w:i w:val="false"/>
          <w:color w:val="000000"/>
          <w:sz w:val="28"/>
        </w:rPr>
        <w:t>
      90. Регламентирующие документы имеют логичную структуру, обеспечивающую простоту их проверки. Стиль изложения документов соответствует их предполагаемому использованию. СОП, рабочие инструкции и методики написаны в форме, предполагающей обязательность их выполнения.</w:t>
      </w:r>
    </w:p>
    <w:bookmarkEnd w:id="2451"/>
    <w:bookmarkStart w:name="z2554" w:id="2452"/>
    <w:p>
      <w:pPr>
        <w:spacing w:after="0"/>
        <w:ind w:left="0"/>
        <w:jc w:val="both"/>
      </w:pPr>
      <w:r>
        <w:rPr>
          <w:rFonts w:ascii="Times New Roman"/>
          <w:b w:val="false"/>
          <w:i w:val="false"/>
          <w:color w:val="000000"/>
          <w:sz w:val="28"/>
        </w:rPr>
        <w:t>
      91. Документы в рамках системы управления качеством регулярно пересматривают и актуализируют, исключают использование устаревших версий.</w:t>
      </w:r>
    </w:p>
    <w:bookmarkEnd w:id="2452"/>
    <w:bookmarkStart w:name="z2555" w:id="2453"/>
    <w:p>
      <w:pPr>
        <w:spacing w:after="0"/>
        <w:ind w:left="0"/>
        <w:jc w:val="both"/>
      </w:pPr>
      <w:r>
        <w:rPr>
          <w:rFonts w:ascii="Times New Roman"/>
          <w:b w:val="false"/>
          <w:i w:val="false"/>
          <w:color w:val="000000"/>
          <w:sz w:val="28"/>
        </w:rPr>
        <w:t>
      92. Документы не оформляются в рукописном виде, однако если предусмотрено рукописное внесение в документы данных, то достаточно места для таких записей.</w:t>
      </w:r>
    </w:p>
    <w:bookmarkEnd w:id="2453"/>
    <w:bookmarkStart w:name="z2556" w:id="2454"/>
    <w:p>
      <w:pPr>
        <w:spacing w:after="0"/>
        <w:ind w:left="0"/>
        <w:jc w:val="left"/>
      </w:pPr>
      <w:r>
        <w:rPr>
          <w:rFonts w:ascii="Times New Roman"/>
          <w:b/>
          <w:i w:val="false"/>
          <w:color w:val="000000"/>
        </w:rPr>
        <w:t xml:space="preserve"> Параграф 4. Правила надлежащего документального оформления</w:t>
      </w:r>
    </w:p>
    <w:bookmarkEnd w:id="2454"/>
    <w:bookmarkStart w:name="z2557" w:id="2455"/>
    <w:p>
      <w:pPr>
        <w:spacing w:after="0"/>
        <w:ind w:left="0"/>
        <w:jc w:val="both"/>
      </w:pPr>
      <w:r>
        <w:rPr>
          <w:rFonts w:ascii="Times New Roman"/>
          <w:b w:val="false"/>
          <w:i w:val="false"/>
          <w:color w:val="000000"/>
          <w:sz w:val="28"/>
        </w:rPr>
        <w:t>
      93. Рукописные записи сделаны четко, разборчиво и так, чтобы внесенные данные нельзя было удалить.</w:t>
      </w:r>
    </w:p>
    <w:bookmarkEnd w:id="2455"/>
    <w:bookmarkStart w:name="z2558" w:id="2456"/>
    <w:p>
      <w:pPr>
        <w:spacing w:after="0"/>
        <w:ind w:left="0"/>
        <w:jc w:val="both"/>
      </w:pPr>
      <w:r>
        <w:rPr>
          <w:rFonts w:ascii="Times New Roman"/>
          <w:b w:val="false"/>
          <w:i w:val="false"/>
          <w:color w:val="000000"/>
          <w:sz w:val="28"/>
        </w:rPr>
        <w:t>
      94. Записи ведут при выполнении каждого действия и таким образом, чтобы проследить всю значимую деятельность, касающуюся производства лекарственных препаратов.</w:t>
      </w:r>
    </w:p>
    <w:bookmarkEnd w:id="2456"/>
    <w:bookmarkStart w:name="z2559" w:id="2457"/>
    <w:p>
      <w:pPr>
        <w:spacing w:after="0"/>
        <w:ind w:left="0"/>
        <w:jc w:val="both"/>
      </w:pPr>
      <w:r>
        <w:rPr>
          <w:rFonts w:ascii="Times New Roman"/>
          <w:b w:val="false"/>
          <w:i w:val="false"/>
          <w:color w:val="000000"/>
          <w:sz w:val="28"/>
        </w:rPr>
        <w:t>
      95. Любое изменение, вносимое в документ, подписаны и датированы. Изменение дает возможность прочтения первоначальной информации. Где применимо, указана причина изменения.</w:t>
      </w:r>
    </w:p>
    <w:bookmarkEnd w:id="2457"/>
    <w:bookmarkStart w:name="z2560" w:id="2458"/>
    <w:p>
      <w:pPr>
        <w:spacing w:after="0"/>
        <w:ind w:left="0"/>
        <w:jc w:val="left"/>
      </w:pPr>
      <w:r>
        <w:rPr>
          <w:rFonts w:ascii="Times New Roman"/>
          <w:b/>
          <w:i w:val="false"/>
          <w:color w:val="000000"/>
        </w:rPr>
        <w:t xml:space="preserve"> Параграф 5. Хранение документов</w:t>
      </w:r>
    </w:p>
    <w:bookmarkEnd w:id="2458"/>
    <w:bookmarkStart w:name="z2561" w:id="2459"/>
    <w:p>
      <w:pPr>
        <w:spacing w:after="0"/>
        <w:ind w:left="0"/>
        <w:jc w:val="both"/>
      </w:pPr>
      <w:r>
        <w:rPr>
          <w:rFonts w:ascii="Times New Roman"/>
          <w:b w:val="false"/>
          <w:i w:val="false"/>
          <w:color w:val="000000"/>
          <w:sz w:val="28"/>
        </w:rPr>
        <w:t>
      96. Четко определено, какая запись относится к каждому виду производственной деятельности, и где она находится. Обеспечены надежные меры контроля, валидированные в соответствующих случаях, для обеспечения целостности записи на протяжении срока хранения.</w:t>
      </w:r>
    </w:p>
    <w:bookmarkEnd w:id="2459"/>
    <w:bookmarkStart w:name="z2562" w:id="2460"/>
    <w:p>
      <w:pPr>
        <w:spacing w:after="0"/>
        <w:ind w:left="0"/>
        <w:jc w:val="both"/>
      </w:pPr>
      <w:r>
        <w:rPr>
          <w:rFonts w:ascii="Times New Roman"/>
          <w:b w:val="false"/>
          <w:i w:val="false"/>
          <w:color w:val="000000"/>
          <w:sz w:val="28"/>
        </w:rPr>
        <w:t>
      97. Особые требования предъявляются к документации серии, которую хранят в течение 1 года после окончания срока годности этой серии или не менее 5 лет после выдачи разрешения на реализацию серии уполномоченным лицом в зависимости от того, какой срок дольше. Для лекарственных препаратов, предназначенных для клинических исследований, документацию серии хранят как минимум 5 лет после окончания или официального прекращения последних клинических исследований, в которых использовали эту серию. В требованиях законодательства к специфическим видам лекарственных препаратов (например, высокотехнологичные лекарственные препараты для наиболее современных видов лечения) установлены более длительные периоды хранения определенных документов.</w:t>
      </w:r>
    </w:p>
    <w:bookmarkEnd w:id="2460"/>
    <w:bookmarkStart w:name="z2563" w:id="2461"/>
    <w:p>
      <w:pPr>
        <w:spacing w:after="0"/>
        <w:ind w:left="0"/>
        <w:jc w:val="both"/>
      </w:pPr>
      <w:r>
        <w:rPr>
          <w:rFonts w:ascii="Times New Roman"/>
          <w:b w:val="false"/>
          <w:i w:val="false"/>
          <w:color w:val="000000"/>
          <w:sz w:val="28"/>
        </w:rPr>
        <w:t>
      98. Для других видов документации срок хранения зависит от видов деятельности, которые эта документация сопровождает. Критическую документацию, включая исходные данные (например, касающиеся валидации или стабильности), подтверждающие информацию регистрационного досье, хранятся на протяжении срока действия регистрационного удостоверения. Допустимо удалять определенную документацию (например, исходные данные, сопровождающие отчеты по валидации или стабильности), если данные были заменены полным комплектом новых данных. Обоснование таких действий оформлено документально. При этом учитывают требования к хранению документации серии (например, в случае данных по валидации процесса сопровождающие исходные данные хранят по крайней мере такое же время, как и документацию на все серии, для которых разрешение на выпуск подтверждено данными этих валидационных исследований).</w:t>
      </w:r>
    </w:p>
    <w:bookmarkEnd w:id="2461"/>
    <w:bookmarkStart w:name="z2564" w:id="2462"/>
    <w:p>
      <w:pPr>
        <w:spacing w:after="0"/>
        <w:ind w:left="0"/>
        <w:jc w:val="both"/>
      </w:pPr>
      <w:r>
        <w:rPr>
          <w:rFonts w:ascii="Times New Roman"/>
          <w:b w:val="false"/>
          <w:i w:val="false"/>
          <w:color w:val="000000"/>
          <w:sz w:val="28"/>
        </w:rPr>
        <w:t>
      Следующих разделах приведены примеры необходимых документов. В системе управления качеством описаны все документы, необходимые для гарантии качества продукции и безопасности пациентов.</w:t>
      </w:r>
    </w:p>
    <w:bookmarkEnd w:id="2462"/>
    <w:bookmarkStart w:name="z2565" w:id="2463"/>
    <w:p>
      <w:pPr>
        <w:spacing w:after="0"/>
        <w:ind w:left="0"/>
        <w:jc w:val="left"/>
      </w:pPr>
      <w:r>
        <w:rPr>
          <w:rFonts w:ascii="Times New Roman"/>
          <w:b/>
          <w:i w:val="false"/>
          <w:color w:val="000000"/>
        </w:rPr>
        <w:t xml:space="preserve"> Параграф 6. Спецификации</w:t>
      </w:r>
    </w:p>
    <w:bookmarkEnd w:id="2463"/>
    <w:bookmarkStart w:name="z2566" w:id="2464"/>
    <w:p>
      <w:pPr>
        <w:spacing w:after="0"/>
        <w:ind w:left="0"/>
        <w:jc w:val="both"/>
      </w:pPr>
      <w:r>
        <w:rPr>
          <w:rFonts w:ascii="Times New Roman"/>
          <w:b w:val="false"/>
          <w:i w:val="false"/>
          <w:color w:val="000000"/>
          <w:sz w:val="28"/>
        </w:rPr>
        <w:t>
      99. Имеются в наличии соответствующим образом утвержденные спецификации на исходные и упаковочные материалы и готовую продукцию с указанием даты утверждения.</w:t>
      </w:r>
    </w:p>
    <w:bookmarkEnd w:id="2464"/>
    <w:bookmarkStart w:name="z2567" w:id="2465"/>
    <w:p>
      <w:pPr>
        <w:spacing w:after="0"/>
        <w:ind w:left="0"/>
        <w:jc w:val="both"/>
      </w:pPr>
      <w:r>
        <w:rPr>
          <w:rFonts w:ascii="Times New Roman"/>
          <w:b w:val="false"/>
          <w:i w:val="false"/>
          <w:color w:val="000000"/>
          <w:sz w:val="28"/>
        </w:rPr>
        <w:t>
      Спецификации на исходные и упаковочные материалы</w:t>
      </w:r>
    </w:p>
    <w:bookmarkEnd w:id="2465"/>
    <w:bookmarkStart w:name="z2568" w:id="2466"/>
    <w:p>
      <w:pPr>
        <w:spacing w:after="0"/>
        <w:ind w:left="0"/>
        <w:jc w:val="both"/>
      </w:pPr>
      <w:r>
        <w:rPr>
          <w:rFonts w:ascii="Times New Roman"/>
          <w:b w:val="false"/>
          <w:i w:val="false"/>
          <w:color w:val="000000"/>
          <w:sz w:val="28"/>
        </w:rPr>
        <w:t>
      100. Спецификации на исходные материалы, первичные или печатные упаковочные материалы содержат следующую информацию (соответствующие ссылки на информацию, где применимо):</w:t>
      </w:r>
    </w:p>
    <w:bookmarkEnd w:id="2466"/>
    <w:bookmarkStart w:name="z2569" w:id="2467"/>
    <w:p>
      <w:pPr>
        <w:spacing w:after="0"/>
        <w:ind w:left="0"/>
        <w:jc w:val="both"/>
      </w:pPr>
      <w:r>
        <w:rPr>
          <w:rFonts w:ascii="Times New Roman"/>
          <w:b w:val="false"/>
          <w:i w:val="false"/>
          <w:color w:val="000000"/>
          <w:sz w:val="28"/>
        </w:rPr>
        <w:t>
      1) описание материалов, включающее в себя: наименование и внутренний код; ссылку на фармакопейную статью или на другую нормативную документацию или нормативный документ (при их наличии); наименование утвержденных поставщиков и, если это возможно, производителя исходных и упаковочных материалов; образец печатных материалов;</w:t>
      </w:r>
    </w:p>
    <w:bookmarkEnd w:id="2467"/>
    <w:bookmarkStart w:name="z2570" w:id="2468"/>
    <w:p>
      <w:pPr>
        <w:spacing w:after="0"/>
        <w:ind w:left="0"/>
        <w:jc w:val="both"/>
      </w:pPr>
      <w:r>
        <w:rPr>
          <w:rFonts w:ascii="Times New Roman"/>
          <w:b w:val="false"/>
          <w:i w:val="false"/>
          <w:color w:val="000000"/>
          <w:sz w:val="28"/>
        </w:rPr>
        <w:t>
      2) инструкции по отбору проб и проведению испытаний;</w:t>
      </w:r>
    </w:p>
    <w:bookmarkEnd w:id="2468"/>
    <w:bookmarkStart w:name="z2571" w:id="2469"/>
    <w:p>
      <w:pPr>
        <w:spacing w:after="0"/>
        <w:ind w:left="0"/>
        <w:jc w:val="both"/>
      </w:pPr>
      <w:r>
        <w:rPr>
          <w:rFonts w:ascii="Times New Roman"/>
          <w:b w:val="false"/>
          <w:i w:val="false"/>
          <w:color w:val="000000"/>
          <w:sz w:val="28"/>
        </w:rPr>
        <w:t>
      3) качественные и количественные показатели с указанием допустимых пределов;</w:t>
      </w:r>
    </w:p>
    <w:bookmarkEnd w:id="2469"/>
    <w:bookmarkStart w:name="z2572" w:id="2470"/>
    <w:p>
      <w:pPr>
        <w:spacing w:after="0"/>
        <w:ind w:left="0"/>
        <w:jc w:val="both"/>
      </w:pPr>
      <w:r>
        <w:rPr>
          <w:rFonts w:ascii="Times New Roman"/>
          <w:b w:val="false"/>
          <w:i w:val="false"/>
          <w:color w:val="000000"/>
          <w:sz w:val="28"/>
        </w:rPr>
        <w:t>
      4) условия хранения и меры предосторожности;</w:t>
      </w:r>
    </w:p>
    <w:bookmarkEnd w:id="2470"/>
    <w:bookmarkStart w:name="z2573" w:id="2471"/>
    <w:p>
      <w:pPr>
        <w:spacing w:after="0"/>
        <w:ind w:left="0"/>
        <w:jc w:val="both"/>
      </w:pPr>
      <w:r>
        <w:rPr>
          <w:rFonts w:ascii="Times New Roman"/>
          <w:b w:val="false"/>
          <w:i w:val="false"/>
          <w:color w:val="000000"/>
          <w:sz w:val="28"/>
        </w:rPr>
        <w:t>
      5) срок годности или максимальный срок хранения до повторного контроля.</w:t>
      </w:r>
    </w:p>
    <w:bookmarkEnd w:id="2471"/>
    <w:bookmarkStart w:name="z2574" w:id="2472"/>
    <w:p>
      <w:pPr>
        <w:spacing w:after="0"/>
        <w:ind w:left="0"/>
        <w:jc w:val="both"/>
      </w:pPr>
      <w:r>
        <w:rPr>
          <w:rFonts w:ascii="Times New Roman"/>
          <w:b w:val="false"/>
          <w:i w:val="false"/>
          <w:color w:val="000000"/>
          <w:sz w:val="28"/>
        </w:rPr>
        <w:t>
      Спецификации на промежуточную и нерасфасованную продукцию</w:t>
      </w:r>
    </w:p>
    <w:bookmarkEnd w:id="2472"/>
    <w:bookmarkStart w:name="z2575" w:id="2473"/>
    <w:p>
      <w:pPr>
        <w:spacing w:after="0"/>
        <w:ind w:left="0"/>
        <w:jc w:val="both"/>
      </w:pPr>
      <w:r>
        <w:rPr>
          <w:rFonts w:ascii="Times New Roman"/>
          <w:b w:val="false"/>
          <w:i w:val="false"/>
          <w:color w:val="000000"/>
          <w:sz w:val="28"/>
        </w:rPr>
        <w:t>
      101. Спецификации на промежуточную и нерасфасованную продукцию в наличии для критических стадий или при ее приобретении и отгрузке. Эти спецификации аналогичны спецификациям соответственно на исходное сырье либо готовую продукцию.</w:t>
      </w:r>
    </w:p>
    <w:bookmarkEnd w:id="2473"/>
    <w:bookmarkStart w:name="z2576" w:id="2474"/>
    <w:p>
      <w:pPr>
        <w:spacing w:after="0"/>
        <w:ind w:left="0"/>
        <w:jc w:val="both"/>
      </w:pPr>
      <w:r>
        <w:rPr>
          <w:rFonts w:ascii="Times New Roman"/>
          <w:b w:val="false"/>
          <w:i w:val="false"/>
          <w:color w:val="000000"/>
          <w:sz w:val="28"/>
        </w:rPr>
        <w:t>
      Спецификации на готовую продукцию</w:t>
      </w:r>
    </w:p>
    <w:bookmarkEnd w:id="2474"/>
    <w:bookmarkStart w:name="z2577" w:id="2475"/>
    <w:p>
      <w:pPr>
        <w:spacing w:after="0"/>
        <w:ind w:left="0"/>
        <w:jc w:val="both"/>
      </w:pPr>
      <w:r>
        <w:rPr>
          <w:rFonts w:ascii="Times New Roman"/>
          <w:b w:val="false"/>
          <w:i w:val="false"/>
          <w:color w:val="000000"/>
          <w:sz w:val="28"/>
        </w:rPr>
        <w:t>
      102. Спецификации на готовую продукцию содержать следующие данные:</w:t>
      </w:r>
    </w:p>
    <w:bookmarkEnd w:id="2475"/>
    <w:bookmarkStart w:name="z2578" w:id="2476"/>
    <w:p>
      <w:pPr>
        <w:spacing w:after="0"/>
        <w:ind w:left="0"/>
        <w:jc w:val="both"/>
      </w:pPr>
      <w:r>
        <w:rPr>
          <w:rFonts w:ascii="Times New Roman"/>
          <w:b w:val="false"/>
          <w:i w:val="false"/>
          <w:color w:val="000000"/>
          <w:sz w:val="28"/>
        </w:rPr>
        <w:t>
      1) наименование лекарственного препарата и код (при необходимости);</w:t>
      </w:r>
    </w:p>
    <w:bookmarkEnd w:id="2476"/>
    <w:bookmarkStart w:name="z2579" w:id="2477"/>
    <w:p>
      <w:pPr>
        <w:spacing w:after="0"/>
        <w:ind w:left="0"/>
        <w:jc w:val="both"/>
      </w:pPr>
      <w:r>
        <w:rPr>
          <w:rFonts w:ascii="Times New Roman"/>
          <w:b w:val="false"/>
          <w:i w:val="false"/>
          <w:color w:val="000000"/>
          <w:sz w:val="28"/>
        </w:rPr>
        <w:t>
      2) состав или ссылка на соответствующий документ;</w:t>
      </w:r>
    </w:p>
    <w:bookmarkEnd w:id="2477"/>
    <w:bookmarkStart w:name="z2580" w:id="2478"/>
    <w:p>
      <w:pPr>
        <w:spacing w:after="0"/>
        <w:ind w:left="0"/>
        <w:jc w:val="both"/>
      </w:pPr>
      <w:r>
        <w:rPr>
          <w:rFonts w:ascii="Times New Roman"/>
          <w:b w:val="false"/>
          <w:i w:val="false"/>
          <w:color w:val="000000"/>
          <w:sz w:val="28"/>
        </w:rPr>
        <w:t>
      3) описание лекарственной формы и подробные сведения об упаковке;</w:t>
      </w:r>
    </w:p>
    <w:bookmarkEnd w:id="2478"/>
    <w:bookmarkStart w:name="z2581" w:id="2479"/>
    <w:p>
      <w:pPr>
        <w:spacing w:after="0"/>
        <w:ind w:left="0"/>
        <w:jc w:val="both"/>
      </w:pPr>
      <w:r>
        <w:rPr>
          <w:rFonts w:ascii="Times New Roman"/>
          <w:b w:val="false"/>
          <w:i w:val="false"/>
          <w:color w:val="000000"/>
          <w:sz w:val="28"/>
        </w:rPr>
        <w:t>
      4) инструкции по отбору проб и проведению испытаний или ссылка на соответствующий документ;</w:t>
      </w:r>
    </w:p>
    <w:bookmarkEnd w:id="2479"/>
    <w:bookmarkStart w:name="z2582" w:id="2480"/>
    <w:p>
      <w:pPr>
        <w:spacing w:after="0"/>
        <w:ind w:left="0"/>
        <w:jc w:val="both"/>
      </w:pPr>
      <w:r>
        <w:rPr>
          <w:rFonts w:ascii="Times New Roman"/>
          <w:b w:val="false"/>
          <w:i w:val="false"/>
          <w:color w:val="000000"/>
          <w:sz w:val="28"/>
        </w:rPr>
        <w:t>
      5) качественные и количественные показатели с указанием допустимых пределов;</w:t>
      </w:r>
    </w:p>
    <w:bookmarkEnd w:id="2480"/>
    <w:bookmarkStart w:name="z2583" w:id="2481"/>
    <w:p>
      <w:pPr>
        <w:spacing w:after="0"/>
        <w:ind w:left="0"/>
        <w:jc w:val="both"/>
      </w:pPr>
      <w:r>
        <w:rPr>
          <w:rFonts w:ascii="Times New Roman"/>
          <w:b w:val="false"/>
          <w:i w:val="false"/>
          <w:color w:val="000000"/>
          <w:sz w:val="28"/>
        </w:rPr>
        <w:t>
      6) условия хранения и особые меры предосторожности при использовании (при необходимости);</w:t>
      </w:r>
    </w:p>
    <w:bookmarkEnd w:id="2481"/>
    <w:bookmarkStart w:name="z2584" w:id="2482"/>
    <w:p>
      <w:pPr>
        <w:spacing w:after="0"/>
        <w:ind w:left="0"/>
        <w:jc w:val="both"/>
      </w:pPr>
      <w:r>
        <w:rPr>
          <w:rFonts w:ascii="Times New Roman"/>
          <w:b w:val="false"/>
          <w:i w:val="false"/>
          <w:color w:val="000000"/>
          <w:sz w:val="28"/>
        </w:rPr>
        <w:t>
      7) срок годности.</w:t>
      </w:r>
    </w:p>
    <w:bookmarkEnd w:id="2482"/>
    <w:bookmarkStart w:name="z2585" w:id="2483"/>
    <w:p>
      <w:pPr>
        <w:spacing w:after="0"/>
        <w:ind w:left="0"/>
        <w:jc w:val="left"/>
      </w:pPr>
      <w:r>
        <w:rPr>
          <w:rFonts w:ascii="Times New Roman"/>
          <w:b/>
          <w:i w:val="false"/>
          <w:color w:val="000000"/>
        </w:rPr>
        <w:t xml:space="preserve"> Параграф 7. Производственная рецептура и технологические инструкции</w:t>
      </w:r>
    </w:p>
    <w:bookmarkEnd w:id="2483"/>
    <w:bookmarkStart w:name="z2586" w:id="2484"/>
    <w:p>
      <w:pPr>
        <w:spacing w:after="0"/>
        <w:ind w:left="0"/>
        <w:jc w:val="both"/>
      </w:pPr>
      <w:r>
        <w:rPr>
          <w:rFonts w:ascii="Times New Roman"/>
          <w:b w:val="false"/>
          <w:i w:val="false"/>
          <w:color w:val="000000"/>
          <w:sz w:val="28"/>
        </w:rPr>
        <w:t>
      103. На каждый производимый лекарственный препарат и каждый размер серии имеются утвержденные письменные производственную рецептуру и технологические инструкции.</w:t>
      </w:r>
    </w:p>
    <w:bookmarkEnd w:id="2484"/>
    <w:bookmarkStart w:name="z2587" w:id="2485"/>
    <w:p>
      <w:pPr>
        <w:spacing w:after="0"/>
        <w:ind w:left="0"/>
        <w:jc w:val="both"/>
      </w:pPr>
      <w:r>
        <w:rPr>
          <w:rFonts w:ascii="Times New Roman"/>
          <w:b w:val="false"/>
          <w:i w:val="false"/>
          <w:color w:val="000000"/>
          <w:sz w:val="28"/>
        </w:rPr>
        <w:t>
      104. Производственная рецептура включает в себя:</w:t>
      </w:r>
    </w:p>
    <w:bookmarkEnd w:id="2485"/>
    <w:bookmarkStart w:name="z2588" w:id="2486"/>
    <w:p>
      <w:pPr>
        <w:spacing w:after="0"/>
        <w:ind w:left="0"/>
        <w:jc w:val="both"/>
      </w:pPr>
      <w:r>
        <w:rPr>
          <w:rFonts w:ascii="Times New Roman"/>
          <w:b w:val="false"/>
          <w:i w:val="false"/>
          <w:color w:val="000000"/>
          <w:sz w:val="28"/>
        </w:rPr>
        <w:t>
      1) наименование лекарственного препарата со ссылкой на код соответствии со спецификацией;</w:t>
      </w:r>
    </w:p>
    <w:bookmarkEnd w:id="2486"/>
    <w:bookmarkStart w:name="z2589" w:id="2487"/>
    <w:p>
      <w:pPr>
        <w:spacing w:after="0"/>
        <w:ind w:left="0"/>
        <w:jc w:val="both"/>
      </w:pPr>
      <w:r>
        <w:rPr>
          <w:rFonts w:ascii="Times New Roman"/>
          <w:b w:val="false"/>
          <w:i w:val="false"/>
          <w:color w:val="000000"/>
          <w:sz w:val="28"/>
        </w:rPr>
        <w:t>
      2) описание лекарственной формы, дозировки препарата и размера серии;</w:t>
      </w:r>
    </w:p>
    <w:bookmarkEnd w:id="2487"/>
    <w:bookmarkStart w:name="z2590" w:id="2488"/>
    <w:p>
      <w:pPr>
        <w:spacing w:after="0"/>
        <w:ind w:left="0"/>
        <w:jc w:val="both"/>
      </w:pPr>
      <w:r>
        <w:rPr>
          <w:rFonts w:ascii="Times New Roman"/>
          <w:b w:val="false"/>
          <w:i w:val="false"/>
          <w:color w:val="000000"/>
          <w:sz w:val="28"/>
        </w:rPr>
        <w:t>
      3) перечень всех исходных материалов, которые будут использоваться, с указанием количества каждого. Также указаны все вещества, которые могут исчезнуть в ходе технологического процесса;</w:t>
      </w:r>
    </w:p>
    <w:bookmarkEnd w:id="2488"/>
    <w:bookmarkStart w:name="z2591" w:id="2489"/>
    <w:p>
      <w:pPr>
        <w:spacing w:after="0"/>
        <w:ind w:left="0"/>
        <w:jc w:val="both"/>
      </w:pPr>
      <w:r>
        <w:rPr>
          <w:rFonts w:ascii="Times New Roman"/>
          <w:b w:val="false"/>
          <w:i w:val="false"/>
          <w:color w:val="000000"/>
          <w:sz w:val="28"/>
        </w:rPr>
        <w:t>
      4) ожидаемый выход готовой продукции с указанием допустимых пределов и выходы соответствующих промежуточных продуктов, где это возможно.</w:t>
      </w:r>
    </w:p>
    <w:bookmarkEnd w:id="2489"/>
    <w:bookmarkStart w:name="z2592" w:id="2490"/>
    <w:p>
      <w:pPr>
        <w:spacing w:after="0"/>
        <w:ind w:left="0"/>
        <w:jc w:val="both"/>
      </w:pPr>
      <w:r>
        <w:rPr>
          <w:rFonts w:ascii="Times New Roman"/>
          <w:b w:val="false"/>
          <w:i w:val="false"/>
          <w:color w:val="000000"/>
          <w:sz w:val="28"/>
        </w:rPr>
        <w:t>
      105. Технологические инструкции содержат:</w:t>
      </w:r>
    </w:p>
    <w:bookmarkEnd w:id="2490"/>
    <w:bookmarkStart w:name="z2593" w:id="2491"/>
    <w:p>
      <w:pPr>
        <w:spacing w:after="0"/>
        <w:ind w:left="0"/>
        <w:jc w:val="both"/>
      </w:pPr>
      <w:r>
        <w:rPr>
          <w:rFonts w:ascii="Times New Roman"/>
          <w:b w:val="false"/>
          <w:i w:val="false"/>
          <w:color w:val="000000"/>
          <w:sz w:val="28"/>
        </w:rPr>
        <w:t>
      1) данные о месте осуществления процесса и об основном оборудовании, которое при этом используется;</w:t>
      </w:r>
    </w:p>
    <w:bookmarkEnd w:id="2491"/>
    <w:bookmarkStart w:name="z2594" w:id="2492"/>
    <w:p>
      <w:pPr>
        <w:spacing w:after="0"/>
        <w:ind w:left="0"/>
        <w:jc w:val="both"/>
      </w:pPr>
      <w:r>
        <w:rPr>
          <w:rFonts w:ascii="Times New Roman"/>
          <w:b w:val="false"/>
          <w:i w:val="false"/>
          <w:color w:val="000000"/>
          <w:sz w:val="28"/>
        </w:rPr>
        <w:t>
      2) методы или ссылки на методы, которые используется для подготовки критического оборудования (например, очистка, монтаж, калибровка, стерилизация);</w:t>
      </w:r>
    </w:p>
    <w:bookmarkEnd w:id="2492"/>
    <w:bookmarkStart w:name="z2595" w:id="2493"/>
    <w:p>
      <w:pPr>
        <w:spacing w:after="0"/>
        <w:ind w:left="0"/>
        <w:jc w:val="both"/>
      </w:pPr>
      <w:r>
        <w:rPr>
          <w:rFonts w:ascii="Times New Roman"/>
          <w:b w:val="false"/>
          <w:i w:val="false"/>
          <w:color w:val="000000"/>
          <w:sz w:val="28"/>
        </w:rPr>
        <w:t>
      3) инструкции по проверке того, что оборудование и рабочее место свободны от предыдущей продукции, ненужных для запланированного процесса документов и материалов, а также по проверке чистоты оборудования и его готовности к следующему процессу;</w:t>
      </w:r>
    </w:p>
    <w:bookmarkEnd w:id="2493"/>
    <w:bookmarkStart w:name="z2596" w:id="2494"/>
    <w:p>
      <w:pPr>
        <w:spacing w:after="0"/>
        <w:ind w:left="0"/>
        <w:jc w:val="both"/>
      </w:pPr>
      <w:r>
        <w:rPr>
          <w:rFonts w:ascii="Times New Roman"/>
          <w:b w:val="false"/>
          <w:i w:val="false"/>
          <w:color w:val="000000"/>
          <w:sz w:val="28"/>
        </w:rPr>
        <w:t>
      4) подробные постадийные технологические инструкции (например, проверка материалов, предварительная обработка, порядок загрузки сырья, критические параметры процесса (время, температура и т. п.));</w:t>
      </w:r>
    </w:p>
    <w:bookmarkEnd w:id="2494"/>
    <w:bookmarkStart w:name="z2597" w:id="2495"/>
    <w:p>
      <w:pPr>
        <w:spacing w:after="0"/>
        <w:ind w:left="0"/>
        <w:jc w:val="both"/>
      </w:pPr>
      <w:r>
        <w:rPr>
          <w:rFonts w:ascii="Times New Roman"/>
          <w:b w:val="false"/>
          <w:i w:val="false"/>
          <w:color w:val="000000"/>
          <w:sz w:val="28"/>
        </w:rPr>
        <w:t>
      5) инструкции по всем видам контроля в процессе производства с указанием допустимых пределов;</w:t>
      </w:r>
    </w:p>
    <w:bookmarkEnd w:id="2495"/>
    <w:bookmarkStart w:name="z2598" w:id="2496"/>
    <w:p>
      <w:pPr>
        <w:spacing w:after="0"/>
        <w:ind w:left="0"/>
        <w:jc w:val="both"/>
      </w:pPr>
      <w:r>
        <w:rPr>
          <w:rFonts w:ascii="Times New Roman"/>
          <w:b w:val="false"/>
          <w:i w:val="false"/>
          <w:color w:val="000000"/>
          <w:sz w:val="28"/>
        </w:rPr>
        <w:t>
      6) требования к хранению нерасфасованной продукции при необходимости, включая требования к таре, маркировке и специальным условиям хранения, где это требуется;</w:t>
      </w:r>
    </w:p>
    <w:bookmarkEnd w:id="2496"/>
    <w:bookmarkStart w:name="z2599" w:id="2497"/>
    <w:p>
      <w:pPr>
        <w:spacing w:after="0"/>
        <w:ind w:left="0"/>
        <w:jc w:val="both"/>
      </w:pPr>
      <w:r>
        <w:rPr>
          <w:rFonts w:ascii="Times New Roman"/>
          <w:b w:val="false"/>
          <w:i w:val="false"/>
          <w:color w:val="000000"/>
          <w:sz w:val="28"/>
        </w:rPr>
        <w:t>
      7) все подлежащие соблюдению особые меры предосторожности.</w:t>
      </w:r>
    </w:p>
    <w:bookmarkEnd w:id="2497"/>
    <w:bookmarkStart w:name="z2600" w:id="2498"/>
    <w:p>
      <w:pPr>
        <w:spacing w:after="0"/>
        <w:ind w:left="0"/>
        <w:jc w:val="left"/>
      </w:pPr>
      <w:r>
        <w:rPr>
          <w:rFonts w:ascii="Times New Roman"/>
          <w:b/>
          <w:i w:val="false"/>
          <w:color w:val="000000"/>
        </w:rPr>
        <w:t xml:space="preserve"> Параграф 8. Инструкции по упаковке</w:t>
      </w:r>
    </w:p>
    <w:bookmarkEnd w:id="2498"/>
    <w:bookmarkStart w:name="z2601" w:id="2499"/>
    <w:p>
      <w:pPr>
        <w:spacing w:after="0"/>
        <w:ind w:left="0"/>
        <w:jc w:val="both"/>
      </w:pPr>
      <w:r>
        <w:rPr>
          <w:rFonts w:ascii="Times New Roman"/>
          <w:b w:val="false"/>
          <w:i w:val="false"/>
          <w:color w:val="000000"/>
          <w:sz w:val="28"/>
        </w:rPr>
        <w:t>
      106. Для каждого лекарственного препарата, размера и типа упаковки в наличии инструкции по упаковке. Как правило, они включают в себя следующие сведения (ссылки на них):</w:t>
      </w:r>
    </w:p>
    <w:bookmarkEnd w:id="2499"/>
    <w:bookmarkStart w:name="z2602" w:id="2500"/>
    <w:p>
      <w:pPr>
        <w:spacing w:after="0"/>
        <w:ind w:left="0"/>
        <w:jc w:val="both"/>
      </w:pPr>
      <w:r>
        <w:rPr>
          <w:rFonts w:ascii="Times New Roman"/>
          <w:b w:val="false"/>
          <w:i w:val="false"/>
          <w:color w:val="000000"/>
          <w:sz w:val="28"/>
        </w:rPr>
        <w:t>
      1) наименование лекарственного препарата, включая номер серии нерасфасованной продукции и готового продукта;</w:t>
      </w:r>
    </w:p>
    <w:bookmarkEnd w:id="2500"/>
    <w:bookmarkStart w:name="z2603" w:id="2501"/>
    <w:p>
      <w:pPr>
        <w:spacing w:after="0"/>
        <w:ind w:left="0"/>
        <w:jc w:val="both"/>
      </w:pPr>
      <w:r>
        <w:rPr>
          <w:rFonts w:ascii="Times New Roman"/>
          <w:b w:val="false"/>
          <w:i w:val="false"/>
          <w:color w:val="000000"/>
          <w:sz w:val="28"/>
        </w:rPr>
        <w:t>
      2) описание его лекарственной формы и дозировки (где применимо);</w:t>
      </w:r>
    </w:p>
    <w:bookmarkEnd w:id="2501"/>
    <w:bookmarkStart w:name="z2604" w:id="2502"/>
    <w:p>
      <w:pPr>
        <w:spacing w:after="0"/>
        <w:ind w:left="0"/>
        <w:jc w:val="both"/>
      </w:pPr>
      <w:r>
        <w:rPr>
          <w:rFonts w:ascii="Times New Roman"/>
          <w:b w:val="false"/>
          <w:i w:val="false"/>
          <w:color w:val="000000"/>
          <w:sz w:val="28"/>
        </w:rPr>
        <w:t>
      3) количество лекарственного препарата в окончательной упаковке, выраженное в штуках, единицах массы или объема;</w:t>
      </w:r>
    </w:p>
    <w:bookmarkEnd w:id="2502"/>
    <w:bookmarkStart w:name="z2605" w:id="2503"/>
    <w:p>
      <w:pPr>
        <w:spacing w:after="0"/>
        <w:ind w:left="0"/>
        <w:jc w:val="both"/>
      </w:pPr>
      <w:r>
        <w:rPr>
          <w:rFonts w:ascii="Times New Roman"/>
          <w:b w:val="false"/>
          <w:i w:val="false"/>
          <w:color w:val="000000"/>
          <w:sz w:val="28"/>
        </w:rPr>
        <w:t>
      4) полный перечень всех необходимых упаковочных материалов, включая их количества, размеры и типы с указанием кода или номера, относящихся к спецификациям на каждый упаковочный материал;</w:t>
      </w:r>
    </w:p>
    <w:bookmarkEnd w:id="2503"/>
    <w:bookmarkStart w:name="z2606" w:id="2504"/>
    <w:p>
      <w:pPr>
        <w:spacing w:after="0"/>
        <w:ind w:left="0"/>
        <w:jc w:val="both"/>
      </w:pPr>
      <w:r>
        <w:rPr>
          <w:rFonts w:ascii="Times New Roman"/>
          <w:b w:val="false"/>
          <w:i w:val="false"/>
          <w:color w:val="000000"/>
          <w:sz w:val="28"/>
        </w:rPr>
        <w:t>
      5) где применимо, образец или копия соответствующих печатных упаковочных материалов и образцы, указывающие на место нанесения номера серии и срока годности продукции;</w:t>
      </w:r>
    </w:p>
    <w:bookmarkEnd w:id="2504"/>
    <w:bookmarkStart w:name="z2607" w:id="2505"/>
    <w:p>
      <w:pPr>
        <w:spacing w:after="0"/>
        <w:ind w:left="0"/>
        <w:jc w:val="both"/>
      </w:pPr>
      <w:r>
        <w:rPr>
          <w:rFonts w:ascii="Times New Roman"/>
          <w:b w:val="false"/>
          <w:i w:val="false"/>
          <w:color w:val="000000"/>
          <w:sz w:val="28"/>
        </w:rPr>
        <w:t>
      6) требования по проверке того, что оборудование и рабочее место свободны от предыдущей продукции, документов или материалов, ненужных для запланированных операций по упаковке (очистка линии), также по проверке чистоты оборудования и его готовности к следующему процессу;</w:t>
      </w:r>
    </w:p>
    <w:bookmarkEnd w:id="2505"/>
    <w:bookmarkStart w:name="z2608" w:id="2506"/>
    <w:p>
      <w:pPr>
        <w:spacing w:after="0"/>
        <w:ind w:left="0"/>
        <w:jc w:val="both"/>
      </w:pPr>
      <w:r>
        <w:rPr>
          <w:rFonts w:ascii="Times New Roman"/>
          <w:b w:val="false"/>
          <w:i w:val="false"/>
          <w:color w:val="000000"/>
          <w:sz w:val="28"/>
        </w:rPr>
        <w:t>
      7) сведения о подлежащих соблюдению специальных мерах предосторожности (включая тщательную проверку зоны упаковки и оборудования), гарантирующих очистку упаковочной линии перед началом работы;</w:t>
      </w:r>
    </w:p>
    <w:bookmarkEnd w:id="2506"/>
    <w:bookmarkStart w:name="z2609" w:id="2507"/>
    <w:p>
      <w:pPr>
        <w:spacing w:after="0"/>
        <w:ind w:left="0"/>
        <w:jc w:val="both"/>
      </w:pPr>
      <w:r>
        <w:rPr>
          <w:rFonts w:ascii="Times New Roman"/>
          <w:b w:val="false"/>
          <w:i w:val="false"/>
          <w:color w:val="000000"/>
          <w:sz w:val="28"/>
        </w:rPr>
        <w:t>
      8) описание процесса упаковки со всеми основными вспомогательными операциями и используемым оборудованием;</w:t>
      </w:r>
    </w:p>
    <w:bookmarkEnd w:id="2507"/>
    <w:bookmarkStart w:name="z2610" w:id="2508"/>
    <w:p>
      <w:pPr>
        <w:spacing w:after="0"/>
        <w:ind w:left="0"/>
        <w:jc w:val="both"/>
      </w:pPr>
      <w:r>
        <w:rPr>
          <w:rFonts w:ascii="Times New Roman"/>
          <w:b w:val="false"/>
          <w:i w:val="false"/>
          <w:color w:val="000000"/>
          <w:sz w:val="28"/>
        </w:rPr>
        <w:t>
      9) описание контроля в процессе производства с указаниями по отбору проб и допустимых пределов.</w:t>
      </w:r>
    </w:p>
    <w:bookmarkEnd w:id="2508"/>
    <w:bookmarkStart w:name="z2611" w:id="2509"/>
    <w:p>
      <w:pPr>
        <w:spacing w:after="0"/>
        <w:ind w:left="0"/>
        <w:jc w:val="both"/>
      </w:pPr>
      <w:r>
        <w:rPr>
          <w:rFonts w:ascii="Times New Roman"/>
          <w:b w:val="false"/>
          <w:i w:val="false"/>
          <w:color w:val="000000"/>
          <w:sz w:val="28"/>
        </w:rPr>
        <w:t>
      Дополнительно разрабатываются иные документы, конкретизирующие положения производственной рецептуры и технологических инструкций.</w:t>
      </w:r>
    </w:p>
    <w:bookmarkEnd w:id="2509"/>
    <w:bookmarkStart w:name="z2612" w:id="2510"/>
    <w:p>
      <w:pPr>
        <w:spacing w:after="0"/>
        <w:ind w:left="0"/>
        <w:jc w:val="left"/>
      </w:pPr>
      <w:r>
        <w:rPr>
          <w:rFonts w:ascii="Times New Roman"/>
          <w:b/>
          <w:i w:val="false"/>
          <w:color w:val="000000"/>
        </w:rPr>
        <w:t xml:space="preserve"> Параграф 9. Записи по производству серии</w:t>
      </w:r>
    </w:p>
    <w:bookmarkEnd w:id="2510"/>
    <w:bookmarkStart w:name="z2613" w:id="2511"/>
    <w:p>
      <w:pPr>
        <w:spacing w:after="0"/>
        <w:ind w:left="0"/>
        <w:jc w:val="both"/>
      </w:pPr>
      <w:r>
        <w:rPr>
          <w:rFonts w:ascii="Times New Roman"/>
          <w:b w:val="false"/>
          <w:i w:val="false"/>
          <w:color w:val="000000"/>
          <w:sz w:val="28"/>
        </w:rPr>
        <w:t>
      107. На каждую произведенную серию сохраняют записи по производству серии.</w:t>
      </w:r>
    </w:p>
    <w:bookmarkEnd w:id="2511"/>
    <w:bookmarkStart w:name="z2614" w:id="2512"/>
    <w:p>
      <w:pPr>
        <w:spacing w:after="0"/>
        <w:ind w:left="0"/>
        <w:jc w:val="both"/>
      </w:pPr>
      <w:r>
        <w:rPr>
          <w:rFonts w:ascii="Times New Roman"/>
          <w:b w:val="false"/>
          <w:i w:val="false"/>
          <w:color w:val="000000"/>
          <w:sz w:val="28"/>
        </w:rPr>
        <w:t>
      Они основываются на соответствующих частях утвержденных документов (производственной рецептуры и технологических инструкций) и содержат следующую информацию:</w:t>
      </w:r>
    </w:p>
    <w:bookmarkEnd w:id="2512"/>
    <w:bookmarkStart w:name="z2615" w:id="2513"/>
    <w:p>
      <w:pPr>
        <w:spacing w:after="0"/>
        <w:ind w:left="0"/>
        <w:jc w:val="both"/>
      </w:pPr>
      <w:r>
        <w:rPr>
          <w:rFonts w:ascii="Times New Roman"/>
          <w:b w:val="false"/>
          <w:i w:val="false"/>
          <w:color w:val="000000"/>
          <w:sz w:val="28"/>
        </w:rPr>
        <w:t>
      1) наименование и номер серии продукции;</w:t>
      </w:r>
    </w:p>
    <w:bookmarkEnd w:id="2513"/>
    <w:bookmarkStart w:name="z2616" w:id="2514"/>
    <w:p>
      <w:pPr>
        <w:spacing w:after="0"/>
        <w:ind w:left="0"/>
        <w:jc w:val="both"/>
      </w:pPr>
      <w:r>
        <w:rPr>
          <w:rFonts w:ascii="Times New Roman"/>
          <w:b w:val="false"/>
          <w:i w:val="false"/>
          <w:color w:val="000000"/>
          <w:sz w:val="28"/>
        </w:rPr>
        <w:t>
      2) даты и время начала и завершения технологического процесса,</w:t>
      </w:r>
    </w:p>
    <w:bookmarkEnd w:id="2514"/>
    <w:bookmarkStart w:name="z2617" w:id="2515"/>
    <w:p>
      <w:pPr>
        <w:spacing w:after="0"/>
        <w:ind w:left="0"/>
        <w:jc w:val="both"/>
      </w:pPr>
      <w:r>
        <w:rPr>
          <w:rFonts w:ascii="Times New Roman"/>
          <w:b w:val="false"/>
          <w:i w:val="false"/>
          <w:color w:val="000000"/>
          <w:sz w:val="28"/>
        </w:rPr>
        <w:t>
      3) также основных промежуточных стадий;</w:t>
      </w:r>
    </w:p>
    <w:bookmarkEnd w:id="2515"/>
    <w:bookmarkStart w:name="z2618" w:id="2516"/>
    <w:p>
      <w:pPr>
        <w:spacing w:after="0"/>
        <w:ind w:left="0"/>
        <w:jc w:val="both"/>
      </w:pPr>
      <w:r>
        <w:rPr>
          <w:rFonts w:ascii="Times New Roman"/>
          <w:b w:val="false"/>
          <w:i w:val="false"/>
          <w:color w:val="000000"/>
          <w:sz w:val="28"/>
        </w:rPr>
        <w:t>
      4)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bookmarkEnd w:id="2516"/>
    <w:bookmarkStart w:name="z2619" w:id="2517"/>
    <w:p>
      <w:pPr>
        <w:spacing w:after="0"/>
        <w:ind w:left="0"/>
        <w:jc w:val="both"/>
      </w:pPr>
      <w:r>
        <w:rPr>
          <w:rFonts w:ascii="Times New Roman"/>
          <w:b w:val="false"/>
          <w:i w:val="false"/>
          <w:color w:val="000000"/>
          <w:sz w:val="28"/>
        </w:rPr>
        <w:t>
      5) номер серии и (или) номер аналитического контроля, а также фактически отвешенное количество исходных материалов каждого вида</w:t>
      </w:r>
    </w:p>
    <w:bookmarkEnd w:id="2517"/>
    <w:bookmarkStart w:name="z2620" w:id="2518"/>
    <w:p>
      <w:pPr>
        <w:spacing w:after="0"/>
        <w:ind w:left="0"/>
        <w:jc w:val="both"/>
      </w:pPr>
      <w:r>
        <w:rPr>
          <w:rFonts w:ascii="Times New Roman"/>
          <w:b w:val="false"/>
          <w:i w:val="false"/>
          <w:color w:val="000000"/>
          <w:sz w:val="28"/>
        </w:rPr>
        <w:t>
      (включая номер серии и количество любого добавленного регенерированного или переработанного материала);</w:t>
      </w:r>
    </w:p>
    <w:bookmarkEnd w:id="2518"/>
    <w:bookmarkStart w:name="z2621" w:id="2519"/>
    <w:p>
      <w:pPr>
        <w:spacing w:after="0"/>
        <w:ind w:left="0"/>
        <w:jc w:val="both"/>
      </w:pPr>
      <w:r>
        <w:rPr>
          <w:rFonts w:ascii="Times New Roman"/>
          <w:b w:val="false"/>
          <w:i w:val="false"/>
          <w:color w:val="000000"/>
          <w:sz w:val="28"/>
        </w:rPr>
        <w:t>
      6) сведения о любой относящейся к делу технологической операции или любом действии, а также об основном использованном оборудовании;</w:t>
      </w:r>
    </w:p>
    <w:bookmarkEnd w:id="2519"/>
    <w:bookmarkStart w:name="z2622" w:id="2520"/>
    <w:p>
      <w:pPr>
        <w:spacing w:after="0"/>
        <w:ind w:left="0"/>
        <w:jc w:val="both"/>
      </w:pPr>
      <w:r>
        <w:rPr>
          <w:rFonts w:ascii="Times New Roman"/>
          <w:b w:val="false"/>
          <w:i w:val="false"/>
          <w:color w:val="000000"/>
          <w:sz w:val="28"/>
        </w:rPr>
        <w:t>
      7) записи по контролю в процессе производства с указанием исполнителей и полученных результатов;</w:t>
      </w:r>
    </w:p>
    <w:bookmarkEnd w:id="2520"/>
    <w:bookmarkStart w:name="z2623" w:id="2521"/>
    <w:p>
      <w:pPr>
        <w:spacing w:after="0"/>
        <w:ind w:left="0"/>
        <w:jc w:val="both"/>
      </w:pPr>
      <w:r>
        <w:rPr>
          <w:rFonts w:ascii="Times New Roman"/>
          <w:b w:val="false"/>
          <w:i w:val="false"/>
          <w:color w:val="000000"/>
          <w:sz w:val="28"/>
        </w:rPr>
        <w:t>
      8) выход продукции на различных стадиях производства;</w:t>
      </w:r>
    </w:p>
    <w:bookmarkEnd w:id="2521"/>
    <w:bookmarkStart w:name="z2624" w:id="2522"/>
    <w:p>
      <w:pPr>
        <w:spacing w:after="0"/>
        <w:ind w:left="0"/>
        <w:jc w:val="both"/>
      </w:pPr>
      <w:r>
        <w:rPr>
          <w:rFonts w:ascii="Times New Roman"/>
          <w:b w:val="false"/>
          <w:i w:val="false"/>
          <w:color w:val="000000"/>
          <w:sz w:val="28"/>
        </w:rPr>
        <w:t>
      9) сведения об особых проблемах с подписанным разрешением на любое отклонение от технологических инструкций;</w:t>
      </w:r>
    </w:p>
    <w:bookmarkEnd w:id="2522"/>
    <w:bookmarkStart w:name="z2625" w:id="2523"/>
    <w:p>
      <w:pPr>
        <w:spacing w:after="0"/>
        <w:ind w:left="0"/>
        <w:jc w:val="both"/>
      </w:pPr>
      <w:r>
        <w:rPr>
          <w:rFonts w:ascii="Times New Roman"/>
          <w:b w:val="false"/>
          <w:i w:val="false"/>
          <w:color w:val="000000"/>
          <w:sz w:val="28"/>
        </w:rPr>
        <w:t xml:space="preserve">
      10) подпись лица, ответственного за технологический процесс, указанием даты. </w:t>
      </w:r>
    </w:p>
    <w:bookmarkEnd w:id="2523"/>
    <w:bookmarkStart w:name="z2626" w:id="2524"/>
    <w:p>
      <w:pPr>
        <w:spacing w:after="0"/>
        <w:ind w:left="0"/>
        <w:jc w:val="both"/>
      </w:pPr>
      <w:r>
        <w:rPr>
          <w:rFonts w:ascii="Times New Roman"/>
          <w:b w:val="false"/>
          <w:i w:val="false"/>
          <w:color w:val="000000"/>
          <w:sz w:val="28"/>
        </w:rPr>
        <w:t>
      В случае если валидированный процесс подвергается постоянному мониторингу и контролю, автоматически создаваемые отчеты могут ограничиваться кратким резюме о соответствии и отчетами об отклонениях (отступлениях) от спецификации.</w:t>
      </w:r>
    </w:p>
    <w:bookmarkEnd w:id="2524"/>
    <w:bookmarkStart w:name="z2627" w:id="2525"/>
    <w:p>
      <w:pPr>
        <w:spacing w:after="0"/>
        <w:ind w:left="0"/>
        <w:jc w:val="left"/>
      </w:pPr>
      <w:r>
        <w:rPr>
          <w:rFonts w:ascii="Times New Roman"/>
          <w:b/>
          <w:i w:val="false"/>
          <w:color w:val="000000"/>
        </w:rPr>
        <w:t xml:space="preserve"> Параграф 10. Записи по упаковке серии</w:t>
      </w:r>
    </w:p>
    <w:bookmarkEnd w:id="2525"/>
    <w:bookmarkStart w:name="z2628" w:id="2526"/>
    <w:p>
      <w:pPr>
        <w:spacing w:after="0"/>
        <w:ind w:left="0"/>
        <w:jc w:val="both"/>
      </w:pPr>
      <w:r>
        <w:rPr>
          <w:rFonts w:ascii="Times New Roman"/>
          <w:b w:val="false"/>
          <w:i w:val="false"/>
          <w:color w:val="000000"/>
          <w:sz w:val="28"/>
        </w:rPr>
        <w:t>
      108. На каждую произведенную серию или часть серии сохраняют записи по упаковке серии. Они основываются на соответствующих частях инструкций по упаковке.</w:t>
      </w:r>
    </w:p>
    <w:bookmarkEnd w:id="2526"/>
    <w:bookmarkStart w:name="z2629" w:id="2527"/>
    <w:p>
      <w:pPr>
        <w:spacing w:after="0"/>
        <w:ind w:left="0"/>
        <w:jc w:val="both"/>
      </w:pPr>
      <w:r>
        <w:rPr>
          <w:rFonts w:ascii="Times New Roman"/>
          <w:b w:val="false"/>
          <w:i w:val="false"/>
          <w:color w:val="000000"/>
          <w:sz w:val="28"/>
        </w:rPr>
        <w:t>
      Записи по упаковке серии включают в себя следующие данные:</w:t>
      </w:r>
    </w:p>
    <w:bookmarkEnd w:id="2527"/>
    <w:bookmarkStart w:name="z2630" w:id="2528"/>
    <w:p>
      <w:pPr>
        <w:spacing w:after="0"/>
        <w:ind w:left="0"/>
        <w:jc w:val="both"/>
      </w:pPr>
      <w:r>
        <w:rPr>
          <w:rFonts w:ascii="Times New Roman"/>
          <w:b w:val="false"/>
          <w:i w:val="false"/>
          <w:color w:val="000000"/>
          <w:sz w:val="28"/>
        </w:rPr>
        <w:t>
      1) наименование и номер серии лекарственного препарата;</w:t>
      </w:r>
    </w:p>
    <w:bookmarkEnd w:id="2528"/>
    <w:bookmarkStart w:name="z2631" w:id="2529"/>
    <w:p>
      <w:pPr>
        <w:spacing w:after="0"/>
        <w:ind w:left="0"/>
        <w:jc w:val="both"/>
      </w:pPr>
      <w:r>
        <w:rPr>
          <w:rFonts w:ascii="Times New Roman"/>
          <w:b w:val="false"/>
          <w:i w:val="false"/>
          <w:color w:val="000000"/>
          <w:sz w:val="28"/>
        </w:rPr>
        <w:t>
      2) дата (даты) и время проведения операций по упаковке;</w:t>
      </w:r>
    </w:p>
    <w:bookmarkEnd w:id="2529"/>
    <w:bookmarkStart w:name="z2632" w:id="2530"/>
    <w:p>
      <w:pPr>
        <w:spacing w:after="0"/>
        <w:ind w:left="0"/>
        <w:jc w:val="both"/>
      </w:pPr>
      <w:r>
        <w:rPr>
          <w:rFonts w:ascii="Times New Roman"/>
          <w:b w:val="false"/>
          <w:i w:val="false"/>
          <w:color w:val="000000"/>
          <w:sz w:val="28"/>
        </w:rPr>
        <w:t>
      3) фамилия и инициалы оператора (операторов) каждой основной технологической операции, а также лица, проверившего каждую из этих операций, при необходимости;</w:t>
      </w:r>
    </w:p>
    <w:bookmarkEnd w:id="2530"/>
    <w:bookmarkStart w:name="z2633" w:id="2531"/>
    <w:p>
      <w:pPr>
        <w:spacing w:after="0"/>
        <w:ind w:left="0"/>
        <w:jc w:val="both"/>
      </w:pPr>
      <w:r>
        <w:rPr>
          <w:rFonts w:ascii="Times New Roman"/>
          <w:b w:val="false"/>
          <w:i w:val="false"/>
          <w:color w:val="000000"/>
          <w:sz w:val="28"/>
        </w:rPr>
        <w:t>
      4) записи проверок идентичности и соответствия инструкциям по упаковке, включая результаты контроля в процессе производства;</w:t>
      </w:r>
    </w:p>
    <w:bookmarkEnd w:id="2531"/>
    <w:bookmarkStart w:name="z2634" w:id="2532"/>
    <w:p>
      <w:pPr>
        <w:spacing w:after="0"/>
        <w:ind w:left="0"/>
        <w:jc w:val="both"/>
      </w:pPr>
      <w:r>
        <w:rPr>
          <w:rFonts w:ascii="Times New Roman"/>
          <w:b w:val="false"/>
          <w:i w:val="false"/>
          <w:color w:val="000000"/>
          <w:sz w:val="28"/>
        </w:rPr>
        <w:t>
      5) подробные сведения об осуществленных операциях по упаковке, включая ссылки на использованное оборудование и упаковочные линии;</w:t>
      </w:r>
    </w:p>
    <w:bookmarkEnd w:id="2532"/>
    <w:bookmarkStart w:name="z2635" w:id="2533"/>
    <w:p>
      <w:pPr>
        <w:spacing w:after="0"/>
        <w:ind w:left="0"/>
        <w:jc w:val="both"/>
      </w:pPr>
      <w:r>
        <w:rPr>
          <w:rFonts w:ascii="Times New Roman"/>
          <w:b w:val="false"/>
          <w:i w:val="false"/>
          <w:color w:val="000000"/>
          <w:sz w:val="28"/>
        </w:rPr>
        <w:t>
      6) образцы использованного печатного упаковочного материала, включая образцы с нанесенными номером серии, сроком годности и прочими дополнительными маркировочными данными, где применимо;</w:t>
      </w:r>
    </w:p>
    <w:bookmarkEnd w:id="2533"/>
    <w:bookmarkStart w:name="z2636" w:id="2534"/>
    <w:p>
      <w:pPr>
        <w:spacing w:after="0"/>
        <w:ind w:left="0"/>
        <w:jc w:val="both"/>
      </w:pPr>
      <w:r>
        <w:rPr>
          <w:rFonts w:ascii="Times New Roman"/>
          <w:b w:val="false"/>
          <w:i w:val="false"/>
          <w:color w:val="000000"/>
          <w:sz w:val="28"/>
        </w:rPr>
        <w:t>
      7) сведения об особых проблемах или необычных происшествиях</w:t>
      </w:r>
    </w:p>
    <w:bookmarkEnd w:id="2534"/>
    <w:bookmarkStart w:name="z2637" w:id="2535"/>
    <w:p>
      <w:pPr>
        <w:spacing w:after="0"/>
        <w:ind w:left="0"/>
        <w:jc w:val="both"/>
      </w:pPr>
      <w:r>
        <w:rPr>
          <w:rFonts w:ascii="Times New Roman"/>
          <w:b w:val="false"/>
          <w:i w:val="false"/>
          <w:color w:val="000000"/>
          <w:sz w:val="28"/>
        </w:rPr>
        <w:t>
      8) подписанным разрешением на любое отклонение от инструкций по упаковке;</w:t>
      </w:r>
    </w:p>
    <w:bookmarkEnd w:id="2535"/>
    <w:bookmarkStart w:name="z2638" w:id="2536"/>
    <w:p>
      <w:pPr>
        <w:spacing w:after="0"/>
        <w:ind w:left="0"/>
        <w:jc w:val="both"/>
      </w:pPr>
      <w:r>
        <w:rPr>
          <w:rFonts w:ascii="Times New Roman"/>
          <w:b w:val="false"/>
          <w:i w:val="false"/>
          <w:color w:val="000000"/>
          <w:sz w:val="28"/>
        </w:rPr>
        <w:t>
      9) количество и ссылка на номер или наименование всех печатных упаковочных материалов и нерасфасованной продукции, выданных, использованных, уничтоженных или возвращенных на склад, а также количество готового продукта для составления соответствующего баланса. Электронный контроль в процессе упаковки является основанием для невключения такой информации;</w:t>
      </w:r>
    </w:p>
    <w:bookmarkEnd w:id="2536"/>
    <w:bookmarkStart w:name="z2639" w:id="2537"/>
    <w:p>
      <w:pPr>
        <w:spacing w:after="0"/>
        <w:ind w:left="0"/>
        <w:jc w:val="both"/>
      </w:pPr>
      <w:r>
        <w:rPr>
          <w:rFonts w:ascii="Times New Roman"/>
          <w:b w:val="false"/>
          <w:i w:val="false"/>
          <w:color w:val="000000"/>
          <w:sz w:val="28"/>
        </w:rPr>
        <w:t>
      10) подпись лица, ответственного за процесс упаковки, с указанием даты.</w:t>
      </w:r>
    </w:p>
    <w:bookmarkEnd w:id="2537"/>
    <w:bookmarkStart w:name="z2640" w:id="2538"/>
    <w:p>
      <w:pPr>
        <w:spacing w:after="0"/>
        <w:ind w:left="0"/>
        <w:jc w:val="left"/>
      </w:pPr>
      <w:r>
        <w:rPr>
          <w:rFonts w:ascii="Times New Roman"/>
          <w:b/>
          <w:i w:val="false"/>
          <w:color w:val="000000"/>
        </w:rPr>
        <w:t xml:space="preserve"> Параграф 11. Процедуры и записи</w:t>
      </w:r>
    </w:p>
    <w:bookmarkEnd w:id="2538"/>
    <w:bookmarkStart w:name="z2641" w:id="2539"/>
    <w:p>
      <w:pPr>
        <w:spacing w:after="0"/>
        <w:ind w:left="0"/>
        <w:jc w:val="both"/>
      </w:pPr>
      <w:r>
        <w:rPr>
          <w:rFonts w:ascii="Times New Roman"/>
          <w:b w:val="false"/>
          <w:i w:val="false"/>
          <w:color w:val="000000"/>
          <w:sz w:val="28"/>
        </w:rPr>
        <w:t>
      109. На приемку каждой поставки каждого вида исходных материалов (в том числе нерасфасованной, промежуточной или готовой продукции), а также первичных, вторичных и печатных упаковочных материалов в наличии письменные процедуры и подтверждающие записи.</w:t>
      </w:r>
    </w:p>
    <w:bookmarkEnd w:id="2539"/>
    <w:bookmarkStart w:name="z2642" w:id="2540"/>
    <w:p>
      <w:pPr>
        <w:spacing w:after="0"/>
        <w:ind w:left="0"/>
        <w:jc w:val="both"/>
      </w:pPr>
      <w:r>
        <w:rPr>
          <w:rFonts w:ascii="Times New Roman"/>
          <w:b w:val="false"/>
          <w:i w:val="false"/>
          <w:color w:val="000000"/>
          <w:sz w:val="28"/>
        </w:rPr>
        <w:t>
      110. Записи по приемке содержат:</w:t>
      </w:r>
    </w:p>
    <w:bookmarkEnd w:id="2540"/>
    <w:bookmarkStart w:name="z2643" w:id="2541"/>
    <w:p>
      <w:pPr>
        <w:spacing w:after="0"/>
        <w:ind w:left="0"/>
        <w:jc w:val="both"/>
      </w:pPr>
      <w:r>
        <w:rPr>
          <w:rFonts w:ascii="Times New Roman"/>
          <w:b w:val="false"/>
          <w:i w:val="false"/>
          <w:color w:val="000000"/>
          <w:sz w:val="28"/>
        </w:rPr>
        <w:t>
      1) наименование материала в накладной и на таре;</w:t>
      </w:r>
    </w:p>
    <w:bookmarkEnd w:id="2541"/>
    <w:bookmarkStart w:name="z2644" w:id="2542"/>
    <w:p>
      <w:pPr>
        <w:spacing w:after="0"/>
        <w:ind w:left="0"/>
        <w:jc w:val="both"/>
      </w:pPr>
      <w:r>
        <w:rPr>
          <w:rFonts w:ascii="Times New Roman"/>
          <w:b w:val="false"/>
          <w:i w:val="false"/>
          <w:color w:val="000000"/>
          <w:sz w:val="28"/>
        </w:rPr>
        <w:t>
      2) внутризаводское наименование (если оно отличается от наименования, указанного в подпункте 1) настоящего пункта) и (или) код материала (при необходимости);</w:t>
      </w:r>
    </w:p>
    <w:bookmarkEnd w:id="2542"/>
    <w:bookmarkStart w:name="z2645" w:id="2543"/>
    <w:p>
      <w:pPr>
        <w:spacing w:after="0"/>
        <w:ind w:left="0"/>
        <w:jc w:val="both"/>
      </w:pPr>
      <w:r>
        <w:rPr>
          <w:rFonts w:ascii="Times New Roman"/>
          <w:b w:val="false"/>
          <w:i w:val="false"/>
          <w:color w:val="000000"/>
          <w:sz w:val="28"/>
        </w:rPr>
        <w:t>
      3) дату приемки;</w:t>
      </w:r>
    </w:p>
    <w:bookmarkEnd w:id="2543"/>
    <w:bookmarkStart w:name="z2646" w:id="2544"/>
    <w:p>
      <w:pPr>
        <w:spacing w:after="0"/>
        <w:ind w:left="0"/>
        <w:jc w:val="both"/>
      </w:pPr>
      <w:r>
        <w:rPr>
          <w:rFonts w:ascii="Times New Roman"/>
          <w:b w:val="false"/>
          <w:i w:val="false"/>
          <w:color w:val="000000"/>
          <w:sz w:val="28"/>
        </w:rPr>
        <w:t>
      4) наименование поставщика и наименование производителя;</w:t>
      </w:r>
    </w:p>
    <w:bookmarkEnd w:id="2544"/>
    <w:bookmarkStart w:name="z2647" w:id="2545"/>
    <w:p>
      <w:pPr>
        <w:spacing w:after="0"/>
        <w:ind w:left="0"/>
        <w:jc w:val="both"/>
      </w:pPr>
      <w:r>
        <w:rPr>
          <w:rFonts w:ascii="Times New Roman"/>
          <w:b w:val="false"/>
          <w:i w:val="false"/>
          <w:color w:val="000000"/>
          <w:sz w:val="28"/>
        </w:rPr>
        <w:t>
      5) номер серии производителя или кодовый номер;</w:t>
      </w:r>
    </w:p>
    <w:bookmarkEnd w:id="2545"/>
    <w:bookmarkStart w:name="z2648" w:id="2546"/>
    <w:p>
      <w:pPr>
        <w:spacing w:after="0"/>
        <w:ind w:left="0"/>
        <w:jc w:val="both"/>
      </w:pPr>
      <w:r>
        <w:rPr>
          <w:rFonts w:ascii="Times New Roman"/>
          <w:b w:val="false"/>
          <w:i w:val="false"/>
          <w:color w:val="000000"/>
          <w:sz w:val="28"/>
        </w:rPr>
        <w:t>
      6) общее количество полученных материалов и число единиц упаковок;</w:t>
      </w:r>
    </w:p>
    <w:bookmarkEnd w:id="2546"/>
    <w:bookmarkStart w:name="z2649" w:id="2547"/>
    <w:p>
      <w:pPr>
        <w:spacing w:after="0"/>
        <w:ind w:left="0"/>
        <w:jc w:val="both"/>
      </w:pPr>
      <w:r>
        <w:rPr>
          <w:rFonts w:ascii="Times New Roman"/>
          <w:b w:val="false"/>
          <w:i w:val="false"/>
          <w:color w:val="000000"/>
          <w:sz w:val="28"/>
        </w:rPr>
        <w:t>
      7) номер серии, присвоенный после приемки;</w:t>
      </w:r>
    </w:p>
    <w:bookmarkEnd w:id="2547"/>
    <w:bookmarkStart w:name="z2650" w:id="2548"/>
    <w:p>
      <w:pPr>
        <w:spacing w:after="0"/>
        <w:ind w:left="0"/>
        <w:jc w:val="both"/>
      </w:pPr>
      <w:r>
        <w:rPr>
          <w:rFonts w:ascii="Times New Roman"/>
          <w:b w:val="false"/>
          <w:i w:val="false"/>
          <w:color w:val="000000"/>
          <w:sz w:val="28"/>
        </w:rPr>
        <w:t>
      8) любые существенные замечания.</w:t>
      </w:r>
    </w:p>
    <w:bookmarkEnd w:id="2548"/>
    <w:bookmarkStart w:name="z2651" w:id="2549"/>
    <w:p>
      <w:pPr>
        <w:spacing w:after="0"/>
        <w:ind w:left="0"/>
        <w:jc w:val="both"/>
      </w:pPr>
      <w:r>
        <w:rPr>
          <w:rFonts w:ascii="Times New Roman"/>
          <w:b w:val="false"/>
          <w:i w:val="false"/>
          <w:color w:val="000000"/>
          <w:sz w:val="28"/>
        </w:rPr>
        <w:t>
      111. В наличии письменные процедуры по внутризаводской маркировке, карантину и хранению исходных, упаковочных и других материалов.</w:t>
      </w:r>
    </w:p>
    <w:bookmarkEnd w:id="2549"/>
    <w:bookmarkStart w:name="z2652" w:id="2550"/>
    <w:p>
      <w:pPr>
        <w:spacing w:after="0"/>
        <w:ind w:left="0"/>
        <w:jc w:val="left"/>
      </w:pPr>
      <w:r>
        <w:rPr>
          <w:rFonts w:ascii="Times New Roman"/>
          <w:b/>
          <w:i w:val="false"/>
          <w:color w:val="000000"/>
        </w:rPr>
        <w:t xml:space="preserve"> Параграф 12. Отбор проб</w:t>
      </w:r>
    </w:p>
    <w:bookmarkEnd w:id="2550"/>
    <w:bookmarkStart w:name="z2653" w:id="2551"/>
    <w:p>
      <w:pPr>
        <w:spacing w:after="0"/>
        <w:ind w:left="0"/>
        <w:jc w:val="both"/>
      </w:pPr>
      <w:r>
        <w:rPr>
          <w:rFonts w:ascii="Times New Roman"/>
          <w:b w:val="false"/>
          <w:i w:val="false"/>
          <w:color w:val="000000"/>
          <w:sz w:val="28"/>
        </w:rPr>
        <w:t>
      112. В наличии письменные процедуры по отбору проб, содержащие сведения об используемых методах и оборудовании, количествах, которые отбираются, и любых подлежащих соблюдению мерах предосторожности во избежание контаминации материала или любого ухудшения его качества.</w:t>
      </w:r>
    </w:p>
    <w:bookmarkEnd w:id="2551"/>
    <w:bookmarkStart w:name="z2654" w:id="2552"/>
    <w:p>
      <w:pPr>
        <w:spacing w:after="0"/>
        <w:ind w:left="0"/>
        <w:jc w:val="left"/>
      </w:pPr>
      <w:r>
        <w:rPr>
          <w:rFonts w:ascii="Times New Roman"/>
          <w:b/>
          <w:i w:val="false"/>
          <w:color w:val="000000"/>
        </w:rPr>
        <w:t xml:space="preserve"> Параграф 13. Проведение испытаний</w:t>
      </w:r>
    </w:p>
    <w:bookmarkEnd w:id="2552"/>
    <w:bookmarkStart w:name="z2655" w:id="2553"/>
    <w:p>
      <w:pPr>
        <w:spacing w:after="0"/>
        <w:ind w:left="0"/>
        <w:jc w:val="both"/>
      </w:pPr>
      <w:r>
        <w:rPr>
          <w:rFonts w:ascii="Times New Roman"/>
          <w:b w:val="false"/>
          <w:i w:val="false"/>
          <w:color w:val="000000"/>
          <w:sz w:val="28"/>
        </w:rPr>
        <w:t>
      113. В наличии письменные методики испытания образцов материалов и продукции на различных стадиях производства указанием используемых методов и оборудования. Проведенные испытания документально оформляются.</w:t>
      </w:r>
    </w:p>
    <w:bookmarkEnd w:id="2553"/>
    <w:bookmarkStart w:name="z2656" w:id="2554"/>
    <w:p>
      <w:pPr>
        <w:spacing w:after="0"/>
        <w:ind w:left="0"/>
        <w:jc w:val="left"/>
      </w:pPr>
      <w:r>
        <w:rPr>
          <w:rFonts w:ascii="Times New Roman"/>
          <w:b/>
          <w:i w:val="false"/>
          <w:color w:val="000000"/>
        </w:rPr>
        <w:t xml:space="preserve"> Параграф 14. Прочее</w:t>
      </w:r>
    </w:p>
    <w:bookmarkEnd w:id="2554"/>
    <w:bookmarkStart w:name="z2657" w:id="2555"/>
    <w:p>
      <w:pPr>
        <w:spacing w:after="0"/>
        <w:ind w:left="0"/>
        <w:jc w:val="both"/>
      </w:pPr>
      <w:r>
        <w:rPr>
          <w:rFonts w:ascii="Times New Roman"/>
          <w:b w:val="false"/>
          <w:i w:val="false"/>
          <w:color w:val="000000"/>
          <w:sz w:val="28"/>
        </w:rPr>
        <w:t>
      114. В наличии письменные процедуры, устанавливающие порядок выпуска и отклонения материалов и продукции, в частности выдачи уполномоченным лицом (лицами) разрешения на выпуск готовой продукции. Все записи доступны уполномоченному лицу. Внедрена система для обозначения специальных наблюдений и любых изменений в отношении критических данных.</w:t>
      </w:r>
    </w:p>
    <w:bookmarkEnd w:id="2555"/>
    <w:bookmarkStart w:name="z2658" w:id="2556"/>
    <w:p>
      <w:pPr>
        <w:spacing w:after="0"/>
        <w:ind w:left="0"/>
        <w:jc w:val="both"/>
      </w:pPr>
      <w:r>
        <w:rPr>
          <w:rFonts w:ascii="Times New Roman"/>
          <w:b w:val="false"/>
          <w:i w:val="false"/>
          <w:color w:val="000000"/>
          <w:sz w:val="28"/>
        </w:rPr>
        <w:t>
      115. Ведутся и сохраняются записи по реализации каждой серии продукции в целях облегчения отзыва этой серии в случае необходимости.</w:t>
      </w:r>
    </w:p>
    <w:bookmarkEnd w:id="2556"/>
    <w:bookmarkStart w:name="z2659" w:id="2557"/>
    <w:p>
      <w:pPr>
        <w:spacing w:after="0"/>
        <w:ind w:left="0"/>
        <w:jc w:val="both"/>
      </w:pPr>
      <w:r>
        <w:rPr>
          <w:rFonts w:ascii="Times New Roman"/>
          <w:b w:val="false"/>
          <w:i w:val="false"/>
          <w:color w:val="000000"/>
          <w:sz w:val="28"/>
        </w:rPr>
        <w:t>
      116. В наличии письменно изложенные политики, принципы, процедуры, планы, протоколы, отчеты и относящиеся к ним записи предпринятых действий или сделанных заключений, где применимо, в отношении:</w:t>
      </w:r>
    </w:p>
    <w:bookmarkEnd w:id="2557"/>
    <w:bookmarkStart w:name="z2660" w:id="2558"/>
    <w:p>
      <w:pPr>
        <w:spacing w:after="0"/>
        <w:ind w:left="0"/>
        <w:jc w:val="both"/>
      </w:pPr>
      <w:r>
        <w:rPr>
          <w:rFonts w:ascii="Times New Roman"/>
          <w:b w:val="false"/>
          <w:i w:val="false"/>
          <w:color w:val="000000"/>
          <w:sz w:val="28"/>
        </w:rPr>
        <w:t>
      1) валидации и квалификации процессов, оборудования и систем;</w:t>
      </w:r>
    </w:p>
    <w:bookmarkEnd w:id="2558"/>
    <w:bookmarkStart w:name="z2661" w:id="2559"/>
    <w:p>
      <w:pPr>
        <w:spacing w:after="0"/>
        <w:ind w:left="0"/>
        <w:jc w:val="both"/>
      </w:pPr>
      <w:r>
        <w:rPr>
          <w:rFonts w:ascii="Times New Roman"/>
          <w:b w:val="false"/>
          <w:i w:val="false"/>
          <w:color w:val="000000"/>
          <w:sz w:val="28"/>
        </w:rPr>
        <w:t>
      2) монтажа и калибровки оборудования;</w:t>
      </w:r>
    </w:p>
    <w:bookmarkEnd w:id="2559"/>
    <w:bookmarkStart w:name="z2662" w:id="2560"/>
    <w:p>
      <w:pPr>
        <w:spacing w:after="0"/>
        <w:ind w:left="0"/>
        <w:jc w:val="both"/>
      </w:pPr>
      <w:r>
        <w:rPr>
          <w:rFonts w:ascii="Times New Roman"/>
          <w:b w:val="false"/>
          <w:i w:val="false"/>
          <w:color w:val="000000"/>
          <w:sz w:val="28"/>
        </w:rPr>
        <w:t>
      3) переноса технологий;</w:t>
      </w:r>
    </w:p>
    <w:bookmarkEnd w:id="2560"/>
    <w:bookmarkStart w:name="z2663" w:id="2561"/>
    <w:p>
      <w:pPr>
        <w:spacing w:after="0"/>
        <w:ind w:left="0"/>
        <w:jc w:val="both"/>
      </w:pPr>
      <w:r>
        <w:rPr>
          <w:rFonts w:ascii="Times New Roman"/>
          <w:b w:val="false"/>
          <w:i w:val="false"/>
          <w:color w:val="000000"/>
          <w:sz w:val="28"/>
        </w:rPr>
        <w:t>
      4) технического обслуживания, очистки и дезинфекции;</w:t>
      </w:r>
    </w:p>
    <w:bookmarkEnd w:id="2561"/>
    <w:bookmarkStart w:name="z2664" w:id="2562"/>
    <w:p>
      <w:pPr>
        <w:spacing w:after="0"/>
        <w:ind w:left="0"/>
        <w:jc w:val="both"/>
      </w:pPr>
      <w:r>
        <w:rPr>
          <w:rFonts w:ascii="Times New Roman"/>
          <w:b w:val="false"/>
          <w:i w:val="false"/>
          <w:color w:val="000000"/>
          <w:sz w:val="28"/>
        </w:rPr>
        <w:t>
      5) персонала, включая списки лиц с образцами подписей, обучение настоящего Стандарта и техническим вопросам, переодеванию и гигиеническим требованиям, а также проверку</w:t>
      </w:r>
    </w:p>
    <w:bookmarkEnd w:id="2562"/>
    <w:bookmarkStart w:name="z2665" w:id="2563"/>
    <w:p>
      <w:pPr>
        <w:spacing w:after="0"/>
        <w:ind w:left="0"/>
        <w:jc w:val="both"/>
      </w:pPr>
      <w:r>
        <w:rPr>
          <w:rFonts w:ascii="Times New Roman"/>
          <w:b w:val="false"/>
          <w:i w:val="false"/>
          <w:color w:val="000000"/>
          <w:sz w:val="28"/>
        </w:rPr>
        <w:t>
      6) эффективности обучения;</w:t>
      </w:r>
    </w:p>
    <w:bookmarkEnd w:id="2563"/>
    <w:bookmarkStart w:name="z2666" w:id="2564"/>
    <w:p>
      <w:pPr>
        <w:spacing w:after="0"/>
        <w:ind w:left="0"/>
        <w:jc w:val="both"/>
      </w:pPr>
      <w:r>
        <w:rPr>
          <w:rFonts w:ascii="Times New Roman"/>
          <w:b w:val="false"/>
          <w:i w:val="false"/>
          <w:color w:val="000000"/>
          <w:sz w:val="28"/>
        </w:rPr>
        <w:t>
      7) мониторинга производственной среды;</w:t>
      </w:r>
    </w:p>
    <w:bookmarkEnd w:id="2564"/>
    <w:bookmarkStart w:name="z2667" w:id="2565"/>
    <w:p>
      <w:pPr>
        <w:spacing w:after="0"/>
        <w:ind w:left="0"/>
        <w:jc w:val="both"/>
      </w:pPr>
      <w:r>
        <w:rPr>
          <w:rFonts w:ascii="Times New Roman"/>
          <w:b w:val="false"/>
          <w:i w:val="false"/>
          <w:color w:val="000000"/>
          <w:sz w:val="28"/>
        </w:rPr>
        <w:t>
      8) мероприятий, направленных на осуществление контроля</w:t>
      </w:r>
    </w:p>
    <w:bookmarkEnd w:id="2565"/>
    <w:bookmarkStart w:name="z2668" w:id="2566"/>
    <w:p>
      <w:pPr>
        <w:spacing w:after="0"/>
        <w:ind w:left="0"/>
        <w:jc w:val="both"/>
      </w:pPr>
      <w:r>
        <w:rPr>
          <w:rFonts w:ascii="Times New Roman"/>
          <w:b w:val="false"/>
          <w:i w:val="false"/>
          <w:color w:val="000000"/>
          <w:sz w:val="28"/>
        </w:rPr>
        <w:t>
      появления и распространения вредителей;</w:t>
      </w:r>
    </w:p>
    <w:bookmarkEnd w:id="2566"/>
    <w:bookmarkStart w:name="z2669" w:id="2567"/>
    <w:p>
      <w:pPr>
        <w:spacing w:after="0"/>
        <w:ind w:left="0"/>
        <w:jc w:val="both"/>
      </w:pPr>
      <w:r>
        <w:rPr>
          <w:rFonts w:ascii="Times New Roman"/>
          <w:b w:val="false"/>
          <w:i w:val="false"/>
          <w:color w:val="000000"/>
          <w:sz w:val="28"/>
        </w:rPr>
        <w:t>
      9) претензий;</w:t>
      </w:r>
    </w:p>
    <w:bookmarkEnd w:id="2567"/>
    <w:bookmarkStart w:name="z2670" w:id="2568"/>
    <w:p>
      <w:pPr>
        <w:spacing w:after="0"/>
        <w:ind w:left="0"/>
        <w:jc w:val="both"/>
      </w:pPr>
      <w:r>
        <w:rPr>
          <w:rFonts w:ascii="Times New Roman"/>
          <w:b w:val="false"/>
          <w:i w:val="false"/>
          <w:color w:val="000000"/>
          <w:sz w:val="28"/>
        </w:rPr>
        <w:t>
      10) отзывов продукции;</w:t>
      </w:r>
    </w:p>
    <w:bookmarkEnd w:id="2568"/>
    <w:bookmarkStart w:name="z2671" w:id="2569"/>
    <w:p>
      <w:pPr>
        <w:spacing w:after="0"/>
        <w:ind w:left="0"/>
        <w:jc w:val="both"/>
      </w:pPr>
      <w:r>
        <w:rPr>
          <w:rFonts w:ascii="Times New Roman"/>
          <w:b w:val="false"/>
          <w:i w:val="false"/>
          <w:color w:val="000000"/>
          <w:sz w:val="28"/>
        </w:rPr>
        <w:t>
      11) возвратов продукции;</w:t>
      </w:r>
    </w:p>
    <w:bookmarkEnd w:id="2569"/>
    <w:bookmarkStart w:name="z2672" w:id="2570"/>
    <w:p>
      <w:pPr>
        <w:spacing w:after="0"/>
        <w:ind w:left="0"/>
        <w:jc w:val="both"/>
      </w:pPr>
      <w:r>
        <w:rPr>
          <w:rFonts w:ascii="Times New Roman"/>
          <w:b w:val="false"/>
          <w:i w:val="false"/>
          <w:color w:val="000000"/>
          <w:sz w:val="28"/>
        </w:rPr>
        <w:t>
      12) контроля изменений;</w:t>
      </w:r>
    </w:p>
    <w:bookmarkEnd w:id="2570"/>
    <w:bookmarkStart w:name="z2673" w:id="2571"/>
    <w:p>
      <w:pPr>
        <w:spacing w:after="0"/>
        <w:ind w:left="0"/>
        <w:jc w:val="both"/>
      </w:pPr>
      <w:r>
        <w:rPr>
          <w:rFonts w:ascii="Times New Roman"/>
          <w:b w:val="false"/>
          <w:i w:val="false"/>
          <w:color w:val="000000"/>
          <w:sz w:val="28"/>
        </w:rPr>
        <w:t>
      13) расследования отклонений и несоответствий;</w:t>
      </w:r>
    </w:p>
    <w:bookmarkEnd w:id="2571"/>
    <w:bookmarkStart w:name="z2674" w:id="2572"/>
    <w:p>
      <w:pPr>
        <w:spacing w:after="0"/>
        <w:ind w:left="0"/>
        <w:jc w:val="both"/>
      </w:pPr>
      <w:r>
        <w:rPr>
          <w:rFonts w:ascii="Times New Roman"/>
          <w:b w:val="false"/>
          <w:i w:val="false"/>
          <w:color w:val="000000"/>
          <w:sz w:val="28"/>
        </w:rPr>
        <w:t>
      14) внутреннего аудита качества (соответствия требованиям настоящего Стандарта);</w:t>
      </w:r>
    </w:p>
    <w:bookmarkEnd w:id="2572"/>
    <w:bookmarkStart w:name="z2675" w:id="2573"/>
    <w:p>
      <w:pPr>
        <w:spacing w:after="0"/>
        <w:ind w:left="0"/>
        <w:jc w:val="both"/>
      </w:pPr>
      <w:r>
        <w:rPr>
          <w:rFonts w:ascii="Times New Roman"/>
          <w:b w:val="false"/>
          <w:i w:val="false"/>
          <w:color w:val="000000"/>
          <w:sz w:val="28"/>
        </w:rPr>
        <w:t>
      15) обобщения записей (например, обзор качества продукции) при необходимости;</w:t>
      </w:r>
    </w:p>
    <w:bookmarkEnd w:id="2573"/>
    <w:bookmarkStart w:name="z2676" w:id="2574"/>
    <w:p>
      <w:pPr>
        <w:spacing w:after="0"/>
        <w:ind w:left="0"/>
        <w:jc w:val="both"/>
      </w:pPr>
      <w:r>
        <w:rPr>
          <w:rFonts w:ascii="Times New Roman"/>
          <w:b w:val="false"/>
          <w:i w:val="false"/>
          <w:color w:val="000000"/>
          <w:sz w:val="28"/>
        </w:rPr>
        <w:t>
      аудита поставщиков.</w:t>
      </w:r>
    </w:p>
    <w:bookmarkEnd w:id="2574"/>
    <w:bookmarkStart w:name="z2677" w:id="2575"/>
    <w:p>
      <w:pPr>
        <w:spacing w:after="0"/>
        <w:ind w:left="0"/>
        <w:jc w:val="both"/>
      </w:pPr>
      <w:r>
        <w:rPr>
          <w:rFonts w:ascii="Times New Roman"/>
          <w:b w:val="false"/>
          <w:i w:val="false"/>
          <w:color w:val="000000"/>
          <w:sz w:val="28"/>
        </w:rPr>
        <w:t>
      117. В наличии четкие инструкции по эксплуатации основных единиц производственного и контрольно-аналитического оборудования.</w:t>
      </w:r>
    </w:p>
    <w:bookmarkEnd w:id="2575"/>
    <w:bookmarkStart w:name="z2678" w:id="2576"/>
    <w:p>
      <w:pPr>
        <w:spacing w:after="0"/>
        <w:ind w:left="0"/>
        <w:jc w:val="both"/>
      </w:pPr>
      <w:r>
        <w:rPr>
          <w:rFonts w:ascii="Times New Roman"/>
          <w:b w:val="false"/>
          <w:i w:val="false"/>
          <w:color w:val="000000"/>
          <w:sz w:val="28"/>
        </w:rPr>
        <w:t>
      118. Ведутся регистрационные журналы для наиболее важного или критического технологического и контрольно-аналитического оборудования, а также для помещений, где производилась продукция. В этих журналах регистрируется в хронологическом порядке любое использование этих помещений, оборудования и методов, проведение калибровки, технического обслуживания, очистки или ремонта с указанием дат и лиц, выполнивших эти работы.</w:t>
      </w:r>
    </w:p>
    <w:bookmarkEnd w:id="2576"/>
    <w:bookmarkStart w:name="z2679" w:id="2577"/>
    <w:p>
      <w:pPr>
        <w:spacing w:after="0"/>
        <w:ind w:left="0"/>
        <w:jc w:val="both"/>
      </w:pPr>
      <w:r>
        <w:rPr>
          <w:rFonts w:ascii="Times New Roman"/>
          <w:b w:val="false"/>
          <w:i w:val="false"/>
          <w:color w:val="000000"/>
          <w:sz w:val="28"/>
        </w:rPr>
        <w:t>
      119. Ведутся учет документов в рамках системы управления качеством.</w:t>
      </w:r>
    </w:p>
    <w:bookmarkEnd w:id="2577"/>
    <w:bookmarkStart w:name="z2680" w:id="2578"/>
    <w:p>
      <w:pPr>
        <w:spacing w:after="0"/>
        <w:ind w:left="0"/>
        <w:jc w:val="left"/>
      </w:pPr>
      <w:r>
        <w:rPr>
          <w:rFonts w:ascii="Times New Roman"/>
          <w:b/>
          <w:i w:val="false"/>
          <w:color w:val="000000"/>
        </w:rPr>
        <w:t xml:space="preserve"> Глава 6. Производство</w:t>
      </w:r>
    </w:p>
    <w:bookmarkEnd w:id="2578"/>
    <w:bookmarkStart w:name="z2681" w:id="2579"/>
    <w:p>
      <w:pPr>
        <w:spacing w:after="0"/>
        <w:ind w:left="0"/>
        <w:jc w:val="left"/>
      </w:pPr>
      <w:r>
        <w:rPr>
          <w:rFonts w:ascii="Times New Roman"/>
          <w:b/>
          <w:i w:val="false"/>
          <w:color w:val="000000"/>
        </w:rPr>
        <w:t xml:space="preserve"> Параграф 1. Принцип</w:t>
      </w:r>
    </w:p>
    <w:bookmarkEnd w:id="2579"/>
    <w:bookmarkStart w:name="z2682" w:id="2580"/>
    <w:p>
      <w:pPr>
        <w:spacing w:after="0"/>
        <w:ind w:left="0"/>
        <w:jc w:val="both"/>
      </w:pPr>
      <w:r>
        <w:rPr>
          <w:rFonts w:ascii="Times New Roman"/>
          <w:b w:val="false"/>
          <w:i w:val="false"/>
          <w:color w:val="000000"/>
          <w:sz w:val="28"/>
        </w:rPr>
        <w:t>
      120. Технологические операции осуществляются по четко установленным процедурам, они отвечают настоящему Стандарту для получения продукции требуемого качества и соответствовать разрешению (лицензии) на производство и регистрационному досье.</w:t>
      </w:r>
    </w:p>
    <w:bookmarkEnd w:id="2580"/>
    <w:bookmarkStart w:name="z2683" w:id="2581"/>
    <w:p>
      <w:pPr>
        <w:spacing w:after="0"/>
        <w:ind w:left="0"/>
        <w:jc w:val="both"/>
      </w:pPr>
      <w:r>
        <w:rPr>
          <w:rFonts w:ascii="Times New Roman"/>
          <w:b w:val="false"/>
          <w:i w:val="false"/>
          <w:color w:val="000000"/>
          <w:sz w:val="28"/>
        </w:rPr>
        <w:t>
      121. Производственный процесс осуществляется и контролируется квалифицированным персоналом.</w:t>
      </w:r>
    </w:p>
    <w:bookmarkEnd w:id="2581"/>
    <w:bookmarkStart w:name="z2684" w:id="2582"/>
    <w:p>
      <w:pPr>
        <w:spacing w:after="0"/>
        <w:ind w:left="0"/>
        <w:jc w:val="both"/>
      </w:pPr>
      <w:r>
        <w:rPr>
          <w:rFonts w:ascii="Times New Roman"/>
          <w:b w:val="false"/>
          <w:i w:val="false"/>
          <w:color w:val="000000"/>
          <w:sz w:val="28"/>
        </w:rPr>
        <w:t>
      122. Все действия, проводимые с материалами и продукцией, такие как приемка и карантин, отбор проб, хранение, маркировка, выдача в производство, технологический процесс, упаковка и реализация, осуществляют согласно письменным процедурам или инструкциям и оформляют документально.</w:t>
      </w:r>
    </w:p>
    <w:bookmarkEnd w:id="2582"/>
    <w:bookmarkStart w:name="z2685" w:id="2583"/>
    <w:p>
      <w:pPr>
        <w:spacing w:after="0"/>
        <w:ind w:left="0"/>
        <w:jc w:val="both"/>
      </w:pPr>
      <w:r>
        <w:rPr>
          <w:rFonts w:ascii="Times New Roman"/>
          <w:b w:val="false"/>
          <w:i w:val="false"/>
          <w:color w:val="000000"/>
          <w:sz w:val="28"/>
        </w:rPr>
        <w:t>
      123. Все поступающие материалы проверены, и гарантируют, что поставка соответствует заказу. Тара очищается (при необходимости) и маркируется с указанием требуемой информации.</w:t>
      </w:r>
    </w:p>
    <w:bookmarkEnd w:id="2583"/>
    <w:bookmarkStart w:name="z2686" w:id="2584"/>
    <w:p>
      <w:pPr>
        <w:spacing w:after="0"/>
        <w:ind w:left="0"/>
        <w:jc w:val="both"/>
      </w:pPr>
      <w:r>
        <w:rPr>
          <w:rFonts w:ascii="Times New Roman"/>
          <w:b w:val="false"/>
          <w:i w:val="false"/>
          <w:color w:val="000000"/>
          <w:sz w:val="28"/>
        </w:rPr>
        <w:t>
      124. Факты повреждения тары и упаковки и любые другие проблемы, которые неблагоприятно влияют на качество материалов, расследуются, оформляются документально, информация о них доложена в подразделения контроля качества.</w:t>
      </w:r>
    </w:p>
    <w:bookmarkEnd w:id="2584"/>
    <w:bookmarkStart w:name="z2687" w:id="2585"/>
    <w:p>
      <w:pPr>
        <w:spacing w:after="0"/>
        <w:ind w:left="0"/>
        <w:jc w:val="both"/>
      </w:pPr>
      <w:r>
        <w:rPr>
          <w:rFonts w:ascii="Times New Roman"/>
          <w:b w:val="false"/>
          <w:i w:val="false"/>
          <w:color w:val="000000"/>
          <w:sz w:val="28"/>
        </w:rPr>
        <w:t>
      125. Поступающие материалы и произведенная готовая продукция немедленно помещается в карантин, организованный по принципу раздельного хранения или за счет организационных мер, и содержится в нем до получения разрешения на их использование или реализацию.</w:t>
      </w:r>
    </w:p>
    <w:bookmarkEnd w:id="2585"/>
    <w:bookmarkStart w:name="z2688" w:id="2586"/>
    <w:p>
      <w:pPr>
        <w:spacing w:after="0"/>
        <w:ind w:left="0"/>
        <w:jc w:val="both"/>
      </w:pPr>
      <w:r>
        <w:rPr>
          <w:rFonts w:ascii="Times New Roman"/>
          <w:b w:val="false"/>
          <w:i w:val="false"/>
          <w:color w:val="000000"/>
          <w:sz w:val="28"/>
        </w:rPr>
        <w:t>
      126. Приемку закупаемых промежуточной и нерасфасованной продукции проводят в соответствии со Стандартом, действующими для исходных материалов.</w:t>
      </w:r>
    </w:p>
    <w:bookmarkEnd w:id="2586"/>
    <w:bookmarkStart w:name="z2689" w:id="2587"/>
    <w:p>
      <w:pPr>
        <w:spacing w:after="0"/>
        <w:ind w:left="0"/>
        <w:jc w:val="both"/>
      </w:pPr>
      <w:r>
        <w:rPr>
          <w:rFonts w:ascii="Times New Roman"/>
          <w:b w:val="false"/>
          <w:i w:val="false"/>
          <w:color w:val="000000"/>
          <w:sz w:val="28"/>
        </w:rPr>
        <w:t>
      127. Все материалы и продукцию хранят в соответствующих условиях, установленных их производителем, в определенном порядке, обеспечивающем разделение по сериям и установленную очередность использования складских запасов.</w:t>
      </w:r>
    </w:p>
    <w:bookmarkEnd w:id="2587"/>
    <w:bookmarkStart w:name="z2690" w:id="2588"/>
    <w:p>
      <w:pPr>
        <w:spacing w:after="0"/>
        <w:ind w:left="0"/>
        <w:jc w:val="both"/>
      </w:pPr>
      <w:r>
        <w:rPr>
          <w:rFonts w:ascii="Times New Roman"/>
          <w:b w:val="false"/>
          <w:i w:val="false"/>
          <w:color w:val="000000"/>
          <w:sz w:val="28"/>
        </w:rPr>
        <w:t>
      128. Проводятся проверки выходов и материального баланса, чтобы убедиться в отсутствии расхождений с допустимыми предельными значениями.</w:t>
      </w:r>
    </w:p>
    <w:bookmarkEnd w:id="2588"/>
    <w:bookmarkStart w:name="z2691" w:id="2589"/>
    <w:p>
      <w:pPr>
        <w:spacing w:after="0"/>
        <w:ind w:left="0"/>
        <w:jc w:val="both"/>
      </w:pPr>
      <w:r>
        <w:rPr>
          <w:rFonts w:ascii="Times New Roman"/>
          <w:b w:val="false"/>
          <w:i w:val="false"/>
          <w:color w:val="000000"/>
          <w:sz w:val="28"/>
        </w:rPr>
        <w:t>
      129. Не допускается одновременное или последовательное проведение операций с различными продуктами в одном и том же помещении, за исключением случаев, если не существует риска перепутывания или перекрестной контаминации.</w:t>
      </w:r>
    </w:p>
    <w:bookmarkEnd w:id="2589"/>
    <w:bookmarkStart w:name="z2692" w:id="2590"/>
    <w:p>
      <w:pPr>
        <w:spacing w:after="0"/>
        <w:ind w:left="0"/>
        <w:jc w:val="both"/>
      </w:pPr>
      <w:r>
        <w:rPr>
          <w:rFonts w:ascii="Times New Roman"/>
          <w:b w:val="false"/>
          <w:i w:val="false"/>
          <w:color w:val="000000"/>
          <w:sz w:val="28"/>
        </w:rPr>
        <w:t>
      130. Продукция и материалы защищены от микробной и другой контаминации на всех стадиях производства.</w:t>
      </w:r>
    </w:p>
    <w:bookmarkEnd w:id="2590"/>
    <w:bookmarkStart w:name="z2693" w:id="2591"/>
    <w:p>
      <w:pPr>
        <w:spacing w:after="0"/>
        <w:ind w:left="0"/>
        <w:jc w:val="both"/>
      </w:pPr>
      <w:r>
        <w:rPr>
          <w:rFonts w:ascii="Times New Roman"/>
          <w:b w:val="false"/>
          <w:i w:val="false"/>
          <w:color w:val="000000"/>
          <w:sz w:val="28"/>
        </w:rPr>
        <w:t>
      131. При работе с сухими материалами и продукцией принимаются особые меры предосторожности по предотвращению образования и распространения пыли. Это особенно важно при работе с высокоактивными и сенсибилизирующими веществами.</w:t>
      </w:r>
    </w:p>
    <w:bookmarkEnd w:id="2591"/>
    <w:bookmarkStart w:name="z2694" w:id="2592"/>
    <w:p>
      <w:pPr>
        <w:spacing w:after="0"/>
        <w:ind w:left="0"/>
        <w:jc w:val="both"/>
      </w:pPr>
      <w:r>
        <w:rPr>
          <w:rFonts w:ascii="Times New Roman"/>
          <w:b w:val="false"/>
          <w:i w:val="false"/>
          <w:color w:val="000000"/>
          <w:sz w:val="28"/>
        </w:rPr>
        <w:t>
      132. В течение всего процесса производства все используемые материалы, тара для нерасфасованной продукции, основные единицы оборудования и при необходимости помещения маркируются этикетками или иным способом с указанием производимой продукции или обрабатываемых материалов, а также их дозировки (где применимо) и номера серии. Там, где это приемлемо, такая маркировка также указывают стадию технологического процесса.</w:t>
      </w:r>
    </w:p>
    <w:bookmarkEnd w:id="2592"/>
    <w:bookmarkStart w:name="z2695" w:id="2593"/>
    <w:p>
      <w:pPr>
        <w:spacing w:after="0"/>
        <w:ind w:left="0"/>
        <w:jc w:val="both"/>
      </w:pPr>
      <w:r>
        <w:rPr>
          <w:rFonts w:ascii="Times New Roman"/>
          <w:b w:val="false"/>
          <w:i w:val="false"/>
          <w:color w:val="000000"/>
          <w:sz w:val="28"/>
        </w:rPr>
        <w:t>
      133. Этикетки, прикрепленные к контейнерам, оборудованию или помещениям, четкие, однозначные, а также соответствуют установленной на предприятии форме. Рекомендуется в дополнение к информации на этикетках для указания статуса (например, "в карантине", "принято", "отклонено", "чистое" и др.) использовать цветовую маркировку.</w:t>
      </w:r>
    </w:p>
    <w:bookmarkEnd w:id="2593"/>
    <w:bookmarkStart w:name="z2696" w:id="2594"/>
    <w:p>
      <w:pPr>
        <w:spacing w:after="0"/>
        <w:ind w:left="0"/>
        <w:jc w:val="both"/>
      </w:pPr>
      <w:r>
        <w:rPr>
          <w:rFonts w:ascii="Times New Roman"/>
          <w:b w:val="false"/>
          <w:i w:val="false"/>
          <w:color w:val="000000"/>
          <w:sz w:val="28"/>
        </w:rPr>
        <w:t>
      134. Контролируется правильность соединения трубопроводов и других частей оборудования, применяемых для транспортировки продукции из одной зоны в другую.</w:t>
      </w:r>
    </w:p>
    <w:bookmarkEnd w:id="2594"/>
    <w:bookmarkStart w:name="z2697" w:id="2595"/>
    <w:p>
      <w:pPr>
        <w:spacing w:after="0"/>
        <w:ind w:left="0"/>
        <w:jc w:val="both"/>
      </w:pPr>
      <w:r>
        <w:rPr>
          <w:rFonts w:ascii="Times New Roman"/>
          <w:b w:val="false"/>
          <w:i w:val="false"/>
          <w:color w:val="000000"/>
          <w:sz w:val="28"/>
        </w:rPr>
        <w:t>
      135. Не допускаются любые отклонения от инструкций или процедур. Если происходит отклонение, оно предварительно письменно санкционировано лицом, имеющим соответствующие полномочия, с привлечением (при необходимости) подразделения контроля качества.</w:t>
      </w:r>
    </w:p>
    <w:bookmarkEnd w:id="2595"/>
    <w:bookmarkStart w:name="z2698" w:id="2596"/>
    <w:p>
      <w:pPr>
        <w:spacing w:after="0"/>
        <w:ind w:left="0"/>
        <w:jc w:val="both"/>
      </w:pPr>
      <w:r>
        <w:rPr>
          <w:rFonts w:ascii="Times New Roman"/>
          <w:b w:val="false"/>
          <w:i w:val="false"/>
          <w:color w:val="000000"/>
          <w:sz w:val="28"/>
        </w:rPr>
        <w:t>
      136. В производственные помещения входит только персонал, имеющий право доступа в них.</w:t>
      </w:r>
    </w:p>
    <w:bookmarkEnd w:id="2596"/>
    <w:bookmarkStart w:name="z2699" w:id="2597"/>
    <w:p>
      <w:pPr>
        <w:spacing w:after="0"/>
        <w:ind w:left="0"/>
        <w:jc w:val="left"/>
      </w:pPr>
      <w:r>
        <w:rPr>
          <w:rFonts w:ascii="Times New Roman"/>
          <w:b/>
          <w:i w:val="false"/>
          <w:color w:val="000000"/>
        </w:rPr>
        <w:t xml:space="preserve"> Параграф 2. Предотвращение перекрестной контаминации при производстве</w:t>
      </w:r>
    </w:p>
    <w:bookmarkEnd w:id="2597"/>
    <w:bookmarkStart w:name="z2700" w:id="2598"/>
    <w:p>
      <w:pPr>
        <w:spacing w:after="0"/>
        <w:ind w:left="0"/>
        <w:jc w:val="both"/>
      </w:pPr>
      <w:r>
        <w:rPr>
          <w:rFonts w:ascii="Times New Roman"/>
          <w:b w:val="false"/>
          <w:i w:val="false"/>
          <w:color w:val="000000"/>
          <w:sz w:val="28"/>
        </w:rPr>
        <w:t>
      137. Производство продукции нелекарственного назначения не осуществляется в помещениях и на оборудовании, предназначенных для производства лекарственных средств, но, если это обосновано, может быть разрешено, в случае, если приняты меры по предотвращению перекрестной контаминации лекарственных средств в соответствии с мерами, указанными ниже и в главе 3 настоящего Стандарта.</w:t>
      </w:r>
    </w:p>
    <w:bookmarkEnd w:id="2598"/>
    <w:bookmarkStart w:name="z2701" w:id="2599"/>
    <w:p>
      <w:pPr>
        <w:spacing w:after="0"/>
        <w:ind w:left="0"/>
        <w:jc w:val="both"/>
      </w:pPr>
      <w:r>
        <w:rPr>
          <w:rFonts w:ascii="Times New Roman"/>
          <w:b w:val="false"/>
          <w:i w:val="false"/>
          <w:color w:val="000000"/>
          <w:sz w:val="28"/>
        </w:rPr>
        <w:t>
      Производство и (или) хранение таких технических ядов, как пестициды (кроме случаев, когда они используются для производства лекарственных средств) и гербициды, недопустимо в помещениях, используемых для производства и (или) хранения лекарственных средств.</w:t>
      </w:r>
    </w:p>
    <w:bookmarkEnd w:id="2599"/>
    <w:bookmarkStart w:name="z2702" w:id="2600"/>
    <w:p>
      <w:pPr>
        <w:spacing w:after="0"/>
        <w:ind w:left="0"/>
        <w:jc w:val="both"/>
      </w:pPr>
      <w:r>
        <w:rPr>
          <w:rFonts w:ascii="Times New Roman"/>
          <w:b w:val="false"/>
          <w:i w:val="false"/>
          <w:color w:val="000000"/>
          <w:sz w:val="28"/>
        </w:rPr>
        <w:t>
      138. Предотвращается контаминация исходных материалов или продукции другими исходными материалами или продукцией. Такой риск случайной перекрестной контаминации, возникающий в результате неконтролируемого распространения пыли, газов, паров, аэрозолей, генетического материала или организмов от активных веществ, других исходных материалов и продуктов в процессе обработки, от остатков на оборудовании и с одежды операторов, оценен. Степень риска зависит от природы контаминирующего материала и контаминируемой продукции.</w:t>
      </w:r>
    </w:p>
    <w:bookmarkEnd w:id="2600"/>
    <w:bookmarkStart w:name="z2703" w:id="2601"/>
    <w:p>
      <w:pPr>
        <w:spacing w:after="0"/>
        <w:ind w:left="0"/>
        <w:jc w:val="both"/>
      </w:pPr>
      <w:r>
        <w:rPr>
          <w:rFonts w:ascii="Times New Roman"/>
          <w:b w:val="false"/>
          <w:i w:val="false"/>
          <w:color w:val="000000"/>
          <w:sz w:val="28"/>
        </w:rPr>
        <w:t>
      Наиболее опасной является контаминация лекарственных средств, предназначенных для инъекций, а также принимаемых в течение длительного времени.</w:t>
      </w:r>
    </w:p>
    <w:bookmarkEnd w:id="2601"/>
    <w:bookmarkStart w:name="z2704" w:id="2602"/>
    <w:p>
      <w:pPr>
        <w:spacing w:after="0"/>
        <w:ind w:left="0"/>
        <w:jc w:val="both"/>
      </w:pPr>
      <w:r>
        <w:rPr>
          <w:rFonts w:ascii="Times New Roman"/>
          <w:b w:val="false"/>
          <w:i w:val="false"/>
          <w:color w:val="000000"/>
          <w:sz w:val="28"/>
        </w:rPr>
        <w:t>
      Тем не менее контаминация любой продукции представляет риск для безопасности пациентов в зависимости от характера и степени контаминации.</w:t>
      </w:r>
    </w:p>
    <w:bookmarkEnd w:id="2602"/>
    <w:bookmarkStart w:name="z2705" w:id="2603"/>
    <w:p>
      <w:pPr>
        <w:spacing w:after="0"/>
        <w:ind w:left="0"/>
        <w:jc w:val="both"/>
      </w:pPr>
      <w:r>
        <w:rPr>
          <w:rFonts w:ascii="Times New Roman"/>
          <w:b w:val="false"/>
          <w:i w:val="false"/>
          <w:color w:val="000000"/>
          <w:sz w:val="28"/>
        </w:rPr>
        <w:t>
      139. Перекрестную контаминацию предотвращают, прежде всего за счет надлежащего проектирования помещений и оборудования, как указано в главе 3 настоящего Стандарта. Это подкрепляется соответствующим дизайном процесса и внедрением любых соответствующих технических или организационных мер, в том числе эффективных и воспроизводимых процессов очистки для контроля риска перекрестной контаминации.</w:t>
      </w:r>
    </w:p>
    <w:bookmarkEnd w:id="2603"/>
    <w:bookmarkStart w:name="z2706" w:id="2604"/>
    <w:p>
      <w:pPr>
        <w:spacing w:after="0"/>
        <w:ind w:left="0"/>
        <w:jc w:val="both"/>
      </w:pPr>
      <w:r>
        <w:rPr>
          <w:rFonts w:ascii="Times New Roman"/>
          <w:b w:val="false"/>
          <w:i w:val="false"/>
          <w:color w:val="000000"/>
          <w:sz w:val="28"/>
        </w:rPr>
        <w:t>
      140. Для оценки и контроля риска перекрестной контаминации производимой продукции используется процесс управления рисками для качества, включая оценку активности и токсикологическую оценку. Также принимают во внимание такие факторы, как дизайн (проект) и использование помещений и оборудования, потоки персонала материалов, микробиологический контроль, физико-химические характеристики активных веществ, параметры процесса, возможности процессов очистки и аналитические возможности в отношении соответствующих пределов, установленных исходя из оценки производимой продукции. Результат процесса управления рисками для качества является основанием для определения необходимости и уровня, до которого помещения и оборудование выделяется для конкретного лекарственного средства или группы лекарственных средств. Уровень выделения варьируется от специально выделенных частей, контактирующих с продуктом, до выделения всего производства. Может быть приемлема локализация производственной деятельности в выделенных автономных производственных зонах на многоцелевом участке, где это оправданно.</w:t>
      </w:r>
    </w:p>
    <w:bookmarkEnd w:id="2604"/>
    <w:bookmarkStart w:name="z2707" w:id="2605"/>
    <w:p>
      <w:pPr>
        <w:spacing w:after="0"/>
        <w:ind w:left="0"/>
        <w:jc w:val="both"/>
      </w:pPr>
      <w:r>
        <w:rPr>
          <w:rFonts w:ascii="Times New Roman"/>
          <w:b w:val="false"/>
          <w:i w:val="false"/>
          <w:color w:val="000000"/>
          <w:sz w:val="28"/>
        </w:rPr>
        <w:t>
      141. Результаты процесса управления рисками для качества стать основой для определения уровня технических и организационных мер, необходимых для контроля рисков перекрестной контаминации. Эти меры могут включать, не ограничиваясь этим, следующее.</w:t>
      </w:r>
    </w:p>
    <w:bookmarkEnd w:id="2605"/>
    <w:bookmarkStart w:name="z2708" w:id="2606"/>
    <w:p>
      <w:pPr>
        <w:spacing w:after="0"/>
        <w:ind w:left="0"/>
        <w:jc w:val="both"/>
      </w:pPr>
      <w:r>
        <w:rPr>
          <w:rFonts w:ascii="Times New Roman"/>
          <w:b w:val="false"/>
          <w:i w:val="false"/>
          <w:color w:val="000000"/>
          <w:sz w:val="28"/>
        </w:rPr>
        <w:t>
      Технические меры:</w:t>
      </w:r>
    </w:p>
    <w:bookmarkEnd w:id="2606"/>
    <w:bookmarkStart w:name="z2709" w:id="2607"/>
    <w:p>
      <w:pPr>
        <w:spacing w:after="0"/>
        <w:ind w:left="0"/>
        <w:jc w:val="both"/>
      </w:pPr>
      <w:r>
        <w:rPr>
          <w:rFonts w:ascii="Times New Roman"/>
          <w:b w:val="false"/>
          <w:i w:val="false"/>
          <w:color w:val="000000"/>
          <w:sz w:val="28"/>
        </w:rPr>
        <w:t>
      1) выделенные производства (помещения и оборудование);</w:t>
      </w:r>
    </w:p>
    <w:bookmarkEnd w:id="2607"/>
    <w:bookmarkStart w:name="z2710" w:id="2608"/>
    <w:p>
      <w:pPr>
        <w:spacing w:after="0"/>
        <w:ind w:left="0"/>
        <w:jc w:val="both"/>
      </w:pPr>
      <w:r>
        <w:rPr>
          <w:rFonts w:ascii="Times New Roman"/>
          <w:b w:val="false"/>
          <w:i w:val="false"/>
          <w:color w:val="000000"/>
          <w:sz w:val="28"/>
        </w:rPr>
        <w:t>
      2) автономные производственные площади, имеющие отдельное технологическое оборудование и отдельные системы вентиляции и кондиционирования воздуха (HVAC). Также может быть желательным изолировать определенные вспомогательные системы от тех, которые используются в других зонах;</w:t>
      </w:r>
    </w:p>
    <w:bookmarkEnd w:id="2608"/>
    <w:bookmarkStart w:name="z2711" w:id="2609"/>
    <w:p>
      <w:pPr>
        <w:spacing w:after="0"/>
        <w:ind w:left="0"/>
        <w:jc w:val="both"/>
      </w:pPr>
      <w:r>
        <w:rPr>
          <w:rFonts w:ascii="Times New Roman"/>
          <w:b w:val="false"/>
          <w:i w:val="false"/>
          <w:color w:val="000000"/>
          <w:sz w:val="28"/>
        </w:rPr>
        <w:t>
      3) дизайн производственного процесса, помещений и оборудования, позволяющий свести к минимуму возможность перекрестной контаминации в процессе обработки, эксплуатации, технического обслуживания и очистки;</w:t>
      </w:r>
    </w:p>
    <w:bookmarkEnd w:id="2609"/>
    <w:bookmarkStart w:name="z2712" w:id="2610"/>
    <w:p>
      <w:pPr>
        <w:spacing w:after="0"/>
        <w:ind w:left="0"/>
        <w:jc w:val="both"/>
      </w:pPr>
      <w:r>
        <w:rPr>
          <w:rFonts w:ascii="Times New Roman"/>
          <w:b w:val="false"/>
          <w:i w:val="false"/>
          <w:color w:val="000000"/>
          <w:sz w:val="28"/>
        </w:rPr>
        <w:t>
      4) использование "закрытых систем" для обработки и передачи материала (продукта) между оборудованием;</w:t>
      </w:r>
    </w:p>
    <w:bookmarkEnd w:id="2610"/>
    <w:bookmarkStart w:name="z2713" w:id="2611"/>
    <w:p>
      <w:pPr>
        <w:spacing w:after="0"/>
        <w:ind w:left="0"/>
        <w:jc w:val="both"/>
      </w:pPr>
      <w:r>
        <w:rPr>
          <w:rFonts w:ascii="Times New Roman"/>
          <w:b w:val="false"/>
          <w:i w:val="false"/>
          <w:color w:val="000000"/>
          <w:sz w:val="28"/>
        </w:rPr>
        <w:t>
      5) использование систем с физическим барьером, в том числе изоляторов, как меры по локализации;</w:t>
      </w:r>
    </w:p>
    <w:bookmarkEnd w:id="2611"/>
    <w:bookmarkStart w:name="z2714" w:id="2612"/>
    <w:p>
      <w:pPr>
        <w:spacing w:after="0"/>
        <w:ind w:left="0"/>
        <w:jc w:val="both"/>
      </w:pPr>
      <w:r>
        <w:rPr>
          <w:rFonts w:ascii="Times New Roman"/>
          <w:b w:val="false"/>
          <w:i w:val="false"/>
          <w:color w:val="000000"/>
          <w:sz w:val="28"/>
        </w:rPr>
        <w:t>
      6) контролируемое удаление пыли вблизи источника загрязнения, например через локальные вытяжные устройства;</w:t>
      </w:r>
    </w:p>
    <w:bookmarkEnd w:id="2612"/>
    <w:bookmarkStart w:name="z2715" w:id="2613"/>
    <w:p>
      <w:pPr>
        <w:spacing w:after="0"/>
        <w:ind w:left="0"/>
        <w:jc w:val="both"/>
      </w:pPr>
      <w:r>
        <w:rPr>
          <w:rFonts w:ascii="Times New Roman"/>
          <w:b w:val="false"/>
          <w:i w:val="false"/>
          <w:color w:val="000000"/>
          <w:sz w:val="28"/>
        </w:rPr>
        <w:t>
      7) выделение технологического оборудования, частей, контактирующих с продуктом, или отдельных частей, которые труднее всего очищать (например, фильтры), инструментов для обслуживания;</w:t>
      </w:r>
    </w:p>
    <w:bookmarkEnd w:id="2613"/>
    <w:bookmarkStart w:name="z2716" w:id="2614"/>
    <w:p>
      <w:pPr>
        <w:spacing w:after="0"/>
        <w:ind w:left="0"/>
        <w:jc w:val="both"/>
      </w:pPr>
      <w:r>
        <w:rPr>
          <w:rFonts w:ascii="Times New Roman"/>
          <w:b w:val="false"/>
          <w:i w:val="false"/>
          <w:color w:val="000000"/>
          <w:sz w:val="28"/>
        </w:rPr>
        <w:t>
      8) использование одноразовых технологий;</w:t>
      </w:r>
    </w:p>
    <w:bookmarkEnd w:id="2614"/>
    <w:bookmarkStart w:name="z2717" w:id="2615"/>
    <w:p>
      <w:pPr>
        <w:spacing w:after="0"/>
        <w:ind w:left="0"/>
        <w:jc w:val="both"/>
      </w:pPr>
      <w:r>
        <w:rPr>
          <w:rFonts w:ascii="Times New Roman"/>
          <w:b w:val="false"/>
          <w:i w:val="false"/>
          <w:color w:val="000000"/>
          <w:sz w:val="28"/>
        </w:rPr>
        <w:t>
      9) использование оборудования, спроектированного с учетом облегчения очистки;</w:t>
      </w:r>
    </w:p>
    <w:bookmarkEnd w:id="2615"/>
    <w:bookmarkStart w:name="z2718" w:id="2616"/>
    <w:p>
      <w:pPr>
        <w:spacing w:after="0"/>
        <w:ind w:left="0"/>
        <w:jc w:val="both"/>
      </w:pPr>
      <w:r>
        <w:rPr>
          <w:rFonts w:ascii="Times New Roman"/>
          <w:b w:val="false"/>
          <w:i w:val="false"/>
          <w:color w:val="000000"/>
          <w:sz w:val="28"/>
        </w:rPr>
        <w:t>
      10) надлежащее использование воздушных шлюзов и каскада давлений для локализации потенциального содержащегося в воздухе контаминанта в пределах определенной зоны;</w:t>
      </w:r>
    </w:p>
    <w:bookmarkEnd w:id="2616"/>
    <w:bookmarkStart w:name="z2719" w:id="2617"/>
    <w:p>
      <w:pPr>
        <w:spacing w:after="0"/>
        <w:ind w:left="0"/>
        <w:jc w:val="both"/>
      </w:pPr>
      <w:r>
        <w:rPr>
          <w:rFonts w:ascii="Times New Roman"/>
          <w:b w:val="false"/>
          <w:i w:val="false"/>
          <w:color w:val="000000"/>
          <w:sz w:val="28"/>
        </w:rPr>
        <w:t>
      11) сведение к минимуму риска загрязнения, вызванного рециркуляцией или повторным использованием неочищенного или недостаточно очищенного воздуха;</w:t>
      </w:r>
    </w:p>
    <w:bookmarkEnd w:id="2617"/>
    <w:bookmarkStart w:name="z2720" w:id="2618"/>
    <w:p>
      <w:pPr>
        <w:spacing w:after="0"/>
        <w:ind w:left="0"/>
        <w:jc w:val="both"/>
      </w:pPr>
      <w:r>
        <w:rPr>
          <w:rFonts w:ascii="Times New Roman"/>
          <w:b w:val="false"/>
          <w:i w:val="false"/>
          <w:color w:val="000000"/>
          <w:sz w:val="28"/>
        </w:rPr>
        <w:t>
      12) использование систем автоматической очистки на месте с валидированной результативностью;</w:t>
      </w:r>
    </w:p>
    <w:bookmarkEnd w:id="2618"/>
    <w:bookmarkStart w:name="z2721" w:id="2619"/>
    <w:p>
      <w:pPr>
        <w:spacing w:after="0"/>
        <w:ind w:left="0"/>
        <w:jc w:val="both"/>
      </w:pPr>
      <w:r>
        <w:rPr>
          <w:rFonts w:ascii="Times New Roman"/>
          <w:b w:val="false"/>
          <w:i w:val="false"/>
          <w:color w:val="000000"/>
          <w:sz w:val="28"/>
        </w:rPr>
        <w:t>
      13) разделение зон мойки оборудования, сушки и хранения для общих зон очистки.</w:t>
      </w:r>
    </w:p>
    <w:bookmarkEnd w:id="2619"/>
    <w:bookmarkStart w:name="z2722" w:id="2620"/>
    <w:p>
      <w:pPr>
        <w:spacing w:after="0"/>
        <w:ind w:left="0"/>
        <w:jc w:val="both"/>
      </w:pPr>
      <w:r>
        <w:rPr>
          <w:rFonts w:ascii="Times New Roman"/>
          <w:b w:val="false"/>
          <w:i w:val="false"/>
          <w:color w:val="000000"/>
          <w:sz w:val="28"/>
        </w:rPr>
        <w:t>
      Организационные меры:</w:t>
      </w:r>
    </w:p>
    <w:bookmarkEnd w:id="2620"/>
    <w:bookmarkStart w:name="z2723" w:id="2621"/>
    <w:p>
      <w:pPr>
        <w:spacing w:after="0"/>
        <w:ind w:left="0"/>
        <w:jc w:val="both"/>
      </w:pPr>
      <w:r>
        <w:rPr>
          <w:rFonts w:ascii="Times New Roman"/>
          <w:b w:val="false"/>
          <w:i w:val="false"/>
          <w:color w:val="000000"/>
          <w:sz w:val="28"/>
        </w:rPr>
        <w:t>
      14) выделение всего производства или автономных производственных площадей на основе кампаний (выделение с разделением во времени) с последующей очисткой с валидированной результативностью;</w:t>
      </w:r>
    </w:p>
    <w:bookmarkEnd w:id="2621"/>
    <w:bookmarkStart w:name="z2724" w:id="2622"/>
    <w:p>
      <w:pPr>
        <w:spacing w:after="0"/>
        <w:ind w:left="0"/>
        <w:jc w:val="both"/>
      </w:pPr>
      <w:r>
        <w:rPr>
          <w:rFonts w:ascii="Times New Roman"/>
          <w:b w:val="false"/>
          <w:i w:val="false"/>
          <w:color w:val="000000"/>
          <w:sz w:val="28"/>
        </w:rPr>
        <w:t>
      15) хранение специальной защитной одежды внутри зон, где обрабатываются продукты с высоким риском перекрестной контаминации;</w:t>
      </w:r>
    </w:p>
    <w:bookmarkEnd w:id="2622"/>
    <w:bookmarkStart w:name="z2725" w:id="2623"/>
    <w:p>
      <w:pPr>
        <w:spacing w:after="0"/>
        <w:ind w:left="0"/>
        <w:jc w:val="both"/>
      </w:pPr>
      <w:r>
        <w:rPr>
          <w:rFonts w:ascii="Times New Roman"/>
          <w:b w:val="false"/>
          <w:i w:val="false"/>
          <w:color w:val="000000"/>
          <w:sz w:val="28"/>
        </w:rPr>
        <w:t>
      16) верификация очистки после выпуска каждого продукта в целях поддержания эффективности подхода управления риском для качества в отношении продукции высокого риска;</w:t>
      </w:r>
    </w:p>
    <w:bookmarkEnd w:id="2623"/>
    <w:bookmarkStart w:name="z2726" w:id="2624"/>
    <w:p>
      <w:pPr>
        <w:spacing w:after="0"/>
        <w:ind w:left="0"/>
        <w:jc w:val="both"/>
      </w:pPr>
      <w:r>
        <w:rPr>
          <w:rFonts w:ascii="Times New Roman"/>
          <w:b w:val="false"/>
          <w:i w:val="false"/>
          <w:color w:val="000000"/>
          <w:sz w:val="28"/>
        </w:rPr>
        <w:t>
      17) верификация очистки поверхностей, не контактирующих с продукцией, и мониторинг воздуха в производственной зоне и (или) прилегающих зонах в зависимости от риска контаминации для подтверждения эффективности мер против контаминации взвешенными частицами или путем механического переноса;</w:t>
      </w:r>
    </w:p>
    <w:bookmarkEnd w:id="2624"/>
    <w:bookmarkStart w:name="z2727" w:id="2625"/>
    <w:p>
      <w:pPr>
        <w:spacing w:after="0"/>
        <w:ind w:left="0"/>
        <w:jc w:val="both"/>
      </w:pPr>
      <w:r>
        <w:rPr>
          <w:rFonts w:ascii="Times New Roman"/>
          <w:b w:val="false"/>
          <w:i w:val="false"/>
          <w:color w:val="000000"/>
          <w:sz w:val="28"/>
        </w:rPr>
        <w:t>
      18) специальные меры по обращению с отходами, загрязненными промывными водами и загрязненной одеждой;</w:t>
      </w:r>
    </w:p>
    <w:bookmarkEnd w:id="2625"/>
    <w:bookmarkStart w:name="z2728" w:id="2626"/>
    <w:p>
      <w:pPr>
        <w:spacing w:after="0"/>
        <w:ind w:left="0"/>
        <w:jc w:val="both"/>
      </w:pPr>
      <w:r>
        <w:rPr>
          <w:rFonts w:ascii="Times New Roman"/>
          <w:b w:val="false"/>
          <w:i w:val="false"/>
          <w:color w:val="000000"/>
          <w:sz w:val="28"/>
        </w:rPr>
        <w:t>
      19) регистрация случаев проливания и рассыпания, инцидентов или отклонений от процедур;</w:t>
      </w:r>
    </w:p>
    <w:bookmarkEnd w:id="2626"/>
    <w:bookmarkStart w:name="z2729" w:id="2627"/>
    <w:p>
      <w:pPr>
        <w:spacing w:after="0"/>
        <w:ind w:left="0"/>
        <w:jc w:val="both"/>
      </w:pPr>
      <w:r>
        <w:rPr>
          <w:rFonts w:ascii="Times New Roman"/>
          <w:b w:val="false"/>
          <w:i w:val="false"/>
          <w:color w:val="000000"/>
          <w:sz w:val="28"/>
        </w:rPr>
        <w:t>
      20) разработка процессов очистки для помещений и оборудования таким образом, чтобы процессы очистки сами по себе не представляли риска перекрестной контаминации;</w:t>
      </w:r>
    </w:p>
    <w:bookmarkEnd w:id="2627"/>
    <w:bookmarkStart w:name="z2730" w:id="2628"/>
    <w:p>
      <w:pPr>
        <w:spacing w:after="0"/>
        <w:ind w:left="0"/>
        <w:jc w:val="both"/>
      </w:pPr>
      <w:r>
        <w:rPr>
          <w:rFonts w:ascii="Times New Roman"/>
          <w:b w:val="false"/>
          <w:i w:val="false"/>
          <w:color w:val="000000"/>
          <w:sz w:val="28"/>
        </w:rPr>
        <w:t>
      21) разработка подробных форм для записей в процессе очистки для обеспечения выполнения очистки в соответствии с утвержденными процедурами и использование этикеток статуса очистки оборудования и производственных зон;</w:t>
      </w:r>
    </w:p>
    <w:bookmarkEnd w:id="2628"/>
    <w:bookmarkStart w:name="z2731" w:id="2629"/>
    <w:p>
      <w:pPr>
        <w:spacing w:after="0"/>
        <w:ind w:left="0"/>
        <w:jc w:val="both"/>
      </w:pPr>
      <w:r>
        <w:rPr>
          <w:rFonts w:ascii="Times New Roman"/>
          <w:b w:val="false"/>
          <w:i w:val="false"/>
          <w:color w:val="000000"/>
          <w:sz w:val="28"/>
        </w:rPr>
        <w:t>
      22) использование общих зон очистки при совместимости процессов;</w:t>
      </w:r>
    </w:p>
    <w:bookmarkEnd w:id="2629"/>
    <w:bookmarkStart w:name="z2732" w:id="2630"/>
    <w:p>
      <w:pPr>
        <w:spacing w:after="0"/>
        <w:ind w:left="0"/>
        <w:jc w:val="both"/>
      </w:pPr>
      <w:r>
        <w:rPr>
          <w:rFonts w:ascii="Times New Roman"/>
          <w:b w:val="false"/>
          <w:i w:val="false"/>
          <w:color w:val="000000"/>
          <w:sz w:val="28"/>
        </w:rPr>
        <w:t>
      23) надзор за поведением персонала для обеспечения эффективности обучения и соответствия надлежащим мероприятиям процедурного контроля.</w:t>
      </w:r>
    </w:p>
    <w:bookmarkEnd w:id="2630"/>
    <w:bookmarkStart w:name="z2733" w:id="2631"/>
    <w:p>
      <w:pPr>
        <w:spacing w:after="0"/>
        <w:ind w:left="0"/>
        <w:jc w:val="both"/>
      </w:pPr>
      <w:r>
        <w:rPr>
          <w:rFonts w:ascii="Times New Roman"/>
          <w:b w:val="false"/>
          <w:i w:val="false"/>
          <w:color w:val="000000"/>
          <w:sz w:val="28"/>
        </w:rPr>
        <w:t>
      142. Мероприятия по предотвращению перекрестной контаминации и их эффективность периодически проверяют в соответствии с установленными процедурами.</w:t>
      </w:r>
    </w:p>
    <w:bookmarkEnd w:id="2631"/>
    <w:bookmarkStart w:name="z2734" w:id="2632"/>
    <w:p>
      <w:pPr>
        <w:spacing w:after="0"/>
        <w:ind w:left="0"/>
        <w:jc w:val="left"/>
      </w:pPr>
      <w:r>
        <w:rPr>
          <w:rFonts w:ascii="Times New Roman"/>
          <w:b/>
          <w:i w:val="false"/>
          <w:color w:val="000000"/>
        </w:rPr>
        <w:t xml:space="preserve"> Параграф 3. Валидация</w:t>
      </w:r>
    </w:p>
    <w:bookmarkEnd w:id="2632"/>
    <w:bookmarkStart w:name="z2735" w:id="2633"/>
    <w:p>
      <w:pPr>
        <w:spacing w:after="0"/>
        <w:ind w:left="0"/>
        <w:jc w:val="both"/>
      </w:pPr>
      <w:r>
        <w:rPr>
          <w:rFonts w:ascii="Times New Roman"/>
          <w:b w:val="false"/>
          <w:i w:val="false"/>
          <w:color w:val="000000"/>
          <w:sz w:val="28"/>
        </w:rPr>
        <w:t>
      143. Мероприятия по валидации способствуют выполнению настоящего Стандарта и проводятся в соответствии с установленными процедурами. Результаты проведенных мероприятий и заключения по ним оформляются документально.</w:t>
      </w:r>
    </w:p>
    <w:bookmarkEnd w:id="2633"/>
    <w:bookmarkStart w:name="z2736" w:id="2634"/>
    <w:p>
      <w:pPr>
        <w:spacing w:after="0"/>
        <w:ind w:left="0"/>
        <w:jc w:val="both"/>
      </w:pPr>
      <w:r>
        <w:rPr>
          <w:rFonts w:ascii="Times New Roman"/>
          <w:b w:val="false"/>
          <w:i w:val="false"/>
          <w:color w:val="000000"/>
          <w:sz w:val="28"/>
        </w:rPr>
        <w:t>
      144. При введении новой производственной рецептуры или нового метода производства доказывают их пригодность для серийного производства. Доказано, что данный процесс при использовании предусмотренных материалов и оборудования позволяет постоянно производить продукцию требуемого качества.</w:t>
      </w:r>
    </w:p>
    <w:bookmarkEnd w:id="2634"/>
    <w:bookmarkStart w:name="z2737" w:id="2635"/>
    <w:p>
      <w:pPr>
        <w:spacing w:after="0"/>
        <w:ind w:left="0"/>
        <w:jc w:val="both"/>
      </w:pPr>
      <w:r>
        <w:rPr>
          <w:rFonts w:ascii="Times New Roman"/>
          <w:b w:val="false"/>
          <w:i w:val="false"/>
          <w:color w:val="000000"/>
          <w:sz w:val="28"/>
        </w:rPr>
        <w:t>
      145. Существенные изменения производственного процесса, включая любое изменение оборудования или исходных и упаковочных материалов, которое повлияют на качество продукции и (или) воспроизводимость процесса, проходят валидацию.</w:t>
      </w:r>
    </w:p>
    <w:bookmarkEnd w:id="2635"/>
    <w:bookmarkStart w:name="z2738" w:id="2636"/>
    <w:p>
      <w:pPr>
        <w:spacing w:after="0"/>
        <w:ind w:left="0"/>
        <w:jc w:val="both"/>
      </w:pPr>
      <w:r>
        <w:rPr>
          <w:rFonts w:ascii="Times New Roman"/>
          <w:b w:val="false"/>
          <w:i w:val="false"/>
          <w:color w:val="000000"/>
          <w:sz w:val="28"/>
        </w:rPr>
        <w:t>
      146. Процессы и процедуры подвергают периодической ревалидации (повторной валидации) для гарантии того, что они остаются пригодными для достижения определенных результатов.</w:t>
      </w:r>
    </w:p>
    <w:bookmarkEnd w:id="2636"/>
    <w:bookmarkStart w:name="z2739" w:id="2637"/>
    <w:p>
      <w:pPr>
        <w:spacing w:after="0"/>
        <w:ind w:left="0"/>
        <w:jc w:val="left"/>
      </w:pPr>
      <w:r>
        <w:rPr>
          <w:rFonts w:ascii="Times New Roman"/>
          <w:b/>
          <w:i w:val="false"/>
          <w:color w:val="000000"/>
        </w:rPr>
        <w:t xml:space="preserve"> Параграф 4. Исходные материалы</w:t>
      </w:r>
    </w:p>
    <w:bookmarkEnd w:id="2637"/>
    <w:bookmarkStart w:name="z2740" w:id="2638"/>
    <w:p>
      <w:pPr>
        <w:spacing w:after="0"/>
        <w:ind w:left="0"/>
        <w:jc w:val="both"/>
      </w:pPr>
      <w:r>
        <w:rPr>
          <w:rFonts w:ascii="Times New Roman"/>
          <w:b w:val="false"/>
          <w:i w:val="false"/>
          <w:color w:val="000000"/>
          <w:sz w:val="28"/>
        </w:rPr>
        <w:t>
      147. В рамках фармацевтической системы качества задокументированы выбор, квалификация, утверждение и поддержание статуса поставщиков исходных материалов наряду с закупками и приемкой. Уровень контроля пропорционален рискам, связанным с конкретными материалами, с учетом источника их происхождения, производственного процесса, сложности цепи поставки конечного назначения материала в лекарственном средстве. Для каждого утвержденного поставщика или материала имеется подтверждающие свидетельства. Персоналу, вовлеченному в эту деятельность, имеют актуальные знания о поставщиках, цепях поставок и связанных с ними рисках. По возможности исходные материалы приобретают непосредственно у их производителя.</w:t>
      </w:r>
    </w:p>
    <w:bookmarkEnd w:id="2638"/>
    <w:bookmarkStart w:name="z2741" w:id="2639"/>
    <w:p>
      <w:pPr>
        <w:spacing w:after="0"/>
        <w:ind w:left="0"/>
        <w:jc w:val="both"/>
      </w:pPr>
      <w:r>
        <w:rPr>
          <w:rFonts w:ascii="Times New Roman"/>
          <w:b w:val="false"/>
          <w:i w:val="false"/>
          <w:color w:val="000000"/>
          <w:sz w:val="28"/>
        </w:rPr>
        <w:t>
      148. Требования к качеству исходных материалов, установленные производителем лекарственного препарата, согласованы с поставщиками. Соответствующие аспекты производства, испытаний и контроля, в том числе требования к обработке, маркировке, упаковыванию и реализации, процедуры по рассмотрению претензий, отзыву и изъятию, зафиксированы в официальных соглашениях по качеству или в спецификациях.</w:t>
      </w:r>
    </w:p>
    <w:bookmarkEnd w:id="2639"/>
    <w:bookmarkStart w:name="z2742" w:id="2640"/>
    <w:p>
      <w:pPr>
        <w:spacing w:after="0"/>
        <w:ind w:left="0"/>
        <w:jc w:val="both"/>
      </w:pPr>
      <w:r>
        <w:rPr>
          <w:rFonts w:ascii="Times New Roman"/>
          <w:b w:val="false"/>
          <w:i w:val="false"/>
          <w:color w:val="000000"/>
          <w:sz w:val="28"/>
        </w:rPr>
        <w:t>
      149. Для утверждения и поддержания статуса поставщиков активных фармацевтических субстанций и вспомогательных веществ требуется следующее.</w:t>
      </w:r>
    </w:p>
    <w:bookmarkEnd w:id="2640"/>
    <w:bookmarkStart w:name="z2743" w:id="2641"/>
    <w:p>
      <w:pPr>
        <w:spacing w:after="0"/>
        <w:ind w:left="0"/>
        <w:jc w:val="both"/>
      </w:pPr>
      <w:r>
        <w:rPr>
          <w:rFonts w:ascii="Times New Roman"/>
          <w:b w:val="false"/>
          <w:i w:val="false"/>
          <w:color w:val="000000"/>
          <w:sz w:val="28"/>
        </w:rPr>
        <w:t>
      Для активных фармацевтических субстанций:</w:t>
      </w:r>
    </w:p>
    <w:bookmarkEnd w:id="2641"/>
    <w:bookmarkStart w:name="z2744" w:id="2642"/>
    <w:p>
      <w:pPr>
        <w:spacing w:after="0"/>
        <w:ind w:left="0"/>
        <w:jc w:val="both"/>
      </w:pPr>
      <w:r>
        <w:rPr>
          <w:rFonts w:ascii="Times New Roman"/>
          <w:b w:val="false"/>
          <w:i w:val="false"/>
          <w:color w:val="000000"/>
          <w:sz w:val="28"/>
        </w:rPr>
        <w:t>
      1) устанавливается прослеживаемая цепь поставки. Связанные с цепью поставки риски (от исходных материалов для активной фармацевтической субстанции до готового лекарственного препарата) подвергается формальной оценке и периодической проверке. Существует соответствующие меры по снижению степени риска в отношении качества фармацевтической субстанции;</w:t>
      </w:r>
    </w:p>
    <w:bookmarkEnd w:id="2642"/>
    <w:bookmarkStart w:name="z2745" w:id="2643"/>
    <w:p>
      <w:pPr>
        <w:spacing w:after="0"/>
        <w:ind w:left="0"/>
        <w:jc w:val="both"/>
      </w:pPr>
      <w:r>
        <w:rPr>
          <w:rFonts w:ascii="Times New Roman"/>
          <w:b w:val="false"/>
          <w:i w:val="false"/>
          <w:color w:val="000000"/>
          <w:sz w:val="28"/>
        </w:rPr>
        <w:t>
      2) в наличии и сохраняться записи о прослеживаемости каждой цепи поставки;</w:t>
      </w:r>
    </w:p>
    <w:bookmarkEnd w:id="2643"/>
    <w:bookmarkStart w:name="z2746" w:id="2644"/>
    <w:p>
      <w:pPr>
        <w:spacing w:after="0"/>
        <w:ind w:left="0"/>
        <w:jc w:val="both"/>
      </w:pPr>
      <w:r>
        <w:rPr>
          <w:rFonts w:ascii="Times New Roman"/>
          <w:b w:val="false"/>
          <w:i w:val="false"/>
          <w:color w:val="000000"/>
          <w:sz w:val="28"/>
        </w:rPr>
        <w:t>
      3) проводятся аудиты производителей и дистрибьюторов фармацевтических субстанций, в целях подтверждения соответствия требованиям надлежащей производственной практики и надлежащей дистрибьюторской практики. Держатель лицензии на производство лекарственного препарата обязан проверять соблюдение таких требований самостоятельно либо через лицо, действующее от его имени по контракту;</w:t>
      </w:r>
    </w:p>
    <w:bookmarkEnd w:id="2644"/>
    <w:bookmarkStart w:name="z2747" w:id="2645"/>
    <w:p>
      <w:pPr>
        <w:spacing w:after="0"/>
        <w:ind w:left="0"/>
        <w:jc w:val="both"/>
      </w:pPr>
      <w:r>
        <w:rPr>
          <w:rFonts w:ascii="Times New Roman"/>
          <w:b w:val="false"/>
          <w:i w:val="false"/>
          <w:color w:val="000000"/>
          <w:sz w:val="28"/>
        </w:rPr>
        <w:t>
      4) для обеспечения оценки соблюдения настоящего Стандарта аудиты имеют соответствующую продолжительность и область аудита. Уделяется внимание источникам потенциальной перекрестной контаминации от других материалов, используемых на производственной площадке. Отчет полностью отражает всю информацию, включая любые обнаруженные в результате аудита недостатки. Осуществляются все необходимые корректирующие и предупреждающие действия;</w:t>
      </w:r>
    </w:p>
    <w:bookmarkEnd w:id="2645"/>
    <w:bookmarkStart w:name="z2748" w:id="2646"/>
    <w:p>
      <w:pPr>
        <w:spacing w:after="0"/>
        <w:ind w:left="0"/>
        <w:jc w:val="both"/>
      </w:pPr>
      <w:r>
        <w:rPr>
          <w:rFonts w:ascii="Times New Roman"/>
          <w:b w:val="false"/>
          <w:i w:val="false"/>
          <w:color w:val="000000"/>
          <w:sz w:val="28"/>
        </w:rPr>
        <w:t>
      5) последующие аудиты проводятся с установленной на основе анализа рисков периодичностью для обеспечения соблюдения стандартов и дальнейшего использования утвержденной цепи поставки.</w:t>
      </w:r>
    </w:p>
    <w:bookmarkEnd w:id="2646"/>
    <w:bookmarkStart w:name="z2749" w:id="2647"/>
    <w:p>
      <w:pPr>
        <w:spacing w:after="0"/>
        <w:ind w:left="0"/>
        <w:jc w:val="both"/>
      </w:pPr>
      <w:r>
        <w:rPr>
          <w:rFonts w:ascii="Times New Roman"/>
          <w:b w:val="false"/>
          <w:i w:val="false"/>
          <w:color w:val="000000"/>
          <w:sz w:val="28"/>
        </w:rPr>
        <w:t>
      Для вспомогательных веществ:</w:t>
      </w:r>
    </w:p>
    <w:bookmarkEnd w:id="2647"/>
    <w:bookmarkStart w:name="z2750" w:id="2648"/>
    <w:p>
      <w:pPr>
        <w:spacing w:after="0"/>
        <w:ind w:left="0"/>
        <w:jc w:val="both"/>
      </w:pPr>
      <w:r>
        <w:rPr>
          <w:rFonts w:ascii="Times New Roman"/>
          <w:b w:val="false"/>
          <w:i w:val="false"/>
          <w:color w:val="000000"/>
          <w:sz w:val="28"/>
        </w:rPr>
        <w:t>
      6) вспомогательные вещества и поставщики вспомогательных веществ контролируется на основе результатов формализованной системы оценки рисков для качества.</w:t>
      </w:r>
    </w:p>
    <w:bookmarkEnd w:id="2648"/>
    <w:bookmarkStart w:name="z2751" w:id="2649"/>
    <w:p>
      <w:pPr>
        <w:spacing w:after="0"/>
        <w:ind w:left="0"/>
        <w:jc w:val="both"/>
      </w:pPr>
      <w:r>
        <w:rPr>
          <w:rFonts w:ascii="Times New Roman"/>
          <w:b w:val="false"/>
          <w:i w:val="false"/>
          <w:color w:val="000000"/>
          <w:sz w:val="28"/>
        </w:rPr>
        <w:t>
      150. В каждой поставке исходных материалов тара проверена на целостность упаковки, в том числе целостность пломб, также на соответствие сведений, указанных в накладной, этикеткам поставщика и утвержденной производителем и поставщиком информации, одобренной производителем лекарственного препарата. Приемочные проверки задокументированы.</w:t>
      </w:r>
    </w:p>
    <w:bookmarkEnd w:id="2649"/>
    <w:bookmarkStart w:name="z2752" w:id="2650"/>
    <w:p>
      <w:pPr>
        <w:spacing w:after="0"/>
        <w:ind w:left="0"/>
        <w:jc w:val="both"/>
      </w:pPr>
      <w:r>
        <w:rPr>
          <w:rFonts w:ascii="Times New Roman"/>
          <w:b w:val="false"/>
          <w:i w:val="false"/>
          <w:color w:val="000000"/>
          <w:sz w:val="28"/>
        </w:rPr>
        <w:t>
      151. Если одна поставка материала состоит из различных серий, то каждую серию рассматривают как отдельную в отношении отбора проб, проведения испытания и выдачи разрешения на использование.</w:t>
      </w:r>
    </w:p>
    <w:bookmarkEnd w:id="2650"/>
    <w:bookmarkStart w:name="z2753" w:id="2651"/>
    <w:p>
      <w:pPr>
        <w:spacing w:after="0"/>
        <w:ind w:left="0"/>
        <w:jc w:val="both"/>
      </w:pPr>
      <w:r>
        <w:rPr>
          <w:rFonts w:ascii="Times New Roman"/>
          <w:b w:val="false"/>
          <w:i w:val="false"/>
          <w:color w:val="000000"/>
          <w:sz w:val="28"/>
        </w:rPr>
        <w:t>
      152. Находящиеся в складской зоне исходные материалы соответствующим образом маркируются согласно подпункту 350 части I настоящего Стандарта. Этикетки содержат следующую информацию:</w:t>
      </w:r>
    </w:p>
    <w:bookmarkEnd w:id="2651"/>
    <w:bookmarkStart w:name="z2754" w:id="2652"/>
    <w:p>
      <w:pPr>
        <w:spacing w:after="0"/>
        <w:ind w:left="0"/>
        <w:jc w:val="both"/>
      </w:pPr>
      <w:r>
        <w:rPr>
          <w:rFonts w:ascii="Times New Roman"/>
          <w:b w:val="false"/>
          <w:i w:val="false"/>
          <w:color w:val="000000"/>
          <w:sz w:val="28"/>
        </w:rPr>
        <w:t>
      1) присвоенное наименование продукции и при необходимости внутризаводской код;</w:t>
      </w:r>
    </w:p>
    <w:bookmarkEnd w:id="2652"/>
    <w:bookmarkStart w:name="z2755" w:id="2653"/>
    <w:p>
      <w:pPr>
        <w:spacing w:after="0"/>
        <w:ind w:left="0"/>
        <w:jc w:val="both"/>
      </w:pPr>
      <w:r>
        <w:rPr>
          <w:rFonts w:ascii="Times New Roman"/>
          <w:b w:val="false"/>
          <w:i w:val="false"/>
          <w:color w:val="000000"/>
          <w:sz w:val="28"/>
        </w:rPr>
        <w:t>
      номер серии, присвоенный при получении;</w:t>
      </w:r>
    </w:p>
    <w:bookmarkEnd w:id="2653"/>
    <w:bookmarkStart w:name="z2756" w:id="2654"/>
    <w:p>
      <w:pPr>
        <w:spacing w:after="0"/>
        <w:ind w:left="0"/>
        <w:jc w:val="both"/>
      </w:pPr>
      <w:r>
        <w:rPr>
          <w:rFonts w:ascii="Times New Roman"/>
          <w:b w:val="false"/>
          <w:i w:val="false"/>
          <w:color w:val="000000"/>
          <w:sz w:val="28"/>
        </w:rPr>
        <w:t>
      2) статус содержимого, где применимо (например, в карантине, на испытании, разрешено, отклонено);</w:t>
      </w:r>
    </w:p>
    <w:bookmarkEnd w:id="2654"/>
    <w:bookmarkStart w:name="z2757" w:id="2655"/>
    <w:p>
      <w:pPr>
        <w:spacing w:after="0"/>
        <w:ind w:left="0"/>
        <w:jc w:val="both"/>
      </w:pPr>
      <w:r>
        <w:rPr>
          <w:rFonts w:ascii="Times New Roman"/>
          <w:b w:val="false"/>
          <w:i w:val="false"/>
          <w:color w:val="000000"/>
          <w:sz w:val="28"/>
        </w:rPr>
        <w:t>
      3) срок годности или дата, после которой требуется повторный контроль, где применимо.</w:t>
      </w:r>
    </w:p>
    <w:bookmarkEnd w:id="2655"/>
    <w:bookmarkStart w:name="z2758" w:id="2656"/>
    <w:p>
      <w:pPr>
        <w:spacing w:after="0"/>
        <w:ind w:left="0"/>
        <w:jc w:val="both"/>
      </w:pPr>
      <w:r>
        <w:rPr>
          <w:rFonts w:ascii="Times New Roman"/>
          <w:b w:val="false"/>
          <w:i w:val="false"/>
          <w:color w:val="000000"/>
          <w:sz w:val="28"/>
        </w:rPr>
        <w:t>
      Если используются полностью компьютеризированные системы хранения, то указанная информация не обязательно содержатся на этикетке в читаемой форме.</w:t>
      </w:r>
    </w:p>
    <w:bookmarkEnd w:id="2656"/>
    <w:bookmarkStart w:name="z2759" w:id="2657"/>
    <w:p>
      <w:pPr>
        <w:spacing w:after="0"/>
        <w:ind w:left="0"/>
        <w:jc w:val="both"/>
      </w:pPr>
      <w:r>
        <w:rPr>
          <w:rFonts w:ascii="Times New Roman"/>
          <w:b w:val="false"/>
          <w:i w:val="false"/>
          <w:color w:val="000000"/>
          <w:sz w:val="28"/>
        </w:rPr>
        <w:t>
      153. Определяются соответствующие процедуры или меры, гарантирующие подлинность содержимого каждой единицы тары исходных материалов. Тара, из которой были отобраны пробы, промаркирована согласно подпункту 205 части I настоящего Стандарта.</w:t>
      </w:r>
    </w:p>
    <w:bookmarkEnd w:id="2657"/>
    <w:bookmarkStart w:name="z2760" w:id="2658"/>
    <w:p>
      <w:pPr>
        <w:spacing w:after="0"/>
        <w:ind w:left="0"/>
        <w:jc w:val="both"/>
      </w:pPr>
      <w:r>
        <w:rPr>
          <w:rFonts w:ascii="Times New Roman"/>
          <w:b w:val="false"/>
          <w:i w:val="false"/>
          <w:color w:val="000000"/>
          <w:sz w:val="28"/>
        </w:rPr>
        <w:t>
      154. Используется только те исходные материалы, использование которых разрешено подразделением контроля качества и срок годности которых еще не истек.</w:t>
      </w:r>
    </w:p>
    <w:bookmarkEnd w:id="2658"/>
    <w:bookmarkStart w:name="z2761" w:id="2659"/>
    <w:p>
      <w:pPr>
        <w:spacing w:after="0"/>
        <w:ind w:left="0"/>
        <w:jc w:val="both"/>
      </w:pPr>
      <w:r>
        <w:rPr>
          <w:rFonts w:ascii="Times New Roman"/>
          <w:b w:val="false"/>
          <w:i w:val="false"/>
          <w:color w:val="000000"/>
          <w:sz w:val="28"/>
        </w:rPr>
        <w:t>
      155. Производители готовой продукции отвечают за все испытания исходных материалов, которые указаны в регистрационном досье1. Производители готовой продукции могут использовать частично или полностью результаты испытаний утвержденного производителя исходных материалов, но как минимум выполнить испытание на подлинность каждой серии согласно приложению № 82.</w:t>
      </w:r>
    </w:p>
    <w:bookmarkEnd w:id="2659"/>
    <w:bookmarkStart w:name="z2762" w:id="2660"/>
    <w:p>
      <w:pPr>
        <w:spacing w:after="0"/>
        <w:ind w:left="0"/>
        <w:jc w:val="both"/>
      </w:pPr>
      <w:r>
        <w:rPr>
          <w:rFonts w:ascii="Times New Roman"/>
          <w:b w:val="false"/>
          <w:i w:val="false"/>
          <w:color w:val="000000"/>
          <w:sz w:val="28"/>
        </w:rPr>
        <w:t>
      156. Обоснование передачи испытаний для исполнения сторонней организацией оформляются документально. Соблюдаются следующие требования:</w:t>
      </w:r>
    </w:p>
    <w:bookmarkEnd w:id="2660"/>
    <w:bookmarkStart w:name="z2763" w:id="2661"/>
    <w:p>
      <w:pPr>
        <w:spacing w:after="0"/>
        <w:ind w:left="0"/>
        <w:jc w:val="both"/>
      </w:pPr>
      <w:r>
        <w:rPr>
          <w:rFonts w:ascii="Times New Roman"/>
          <w:b w:val="false"/>
          <w:i w:val="false"/>
          <w:color w:val="000000"/>
          <w:sz w:val="28"/>
        </w:rPr>
        <w:t>
      1) уделяется особое внимание контролю за распределением (транспортированием, оптовой реализацией, хранением и поставкой) исходных материалов в целях поддержания характеристик качества исходных материалов и обеспечения того, чтобы результаты испытаний были по-прежнему применимы к поставленным материалам;</w:t>
      </w:r>
    </w:p>
    <w:bookmarkEnd w:id="2661"/>
    <w:bookmarkStart w:name="z2764" w:id="2662"/>
    <w:p>
      <w:pPr>
        <w:spacing w:after="0"/>
        <w:ind w:left="0"/>
        <w:jc w:val="both"/>
      </w:pPr>
      <w:r>
        <w:rPr>
          <w:rFonts w:ascii="Times New Roman"/>
          <w:b w:val="false"/>
          <w:i w:val="false"/>
          <w:color w:val="000000"/>
          <w:sz w:val="28"/>
        </w:rPr>
        <w:t xml:space="preserve">
      2) производитель лекарственного препарата проводит аудиты площадки (площадок), осуществляющих испытания исходных материалов (в том числе и отбор проб), как самостоятельно, так и через третьих лиц с периодичностью, определенной с учетом рисков. Это для гарантии соответствия требованиям надлежащей производственной практики, спецификациям и методам испытаний, описанным в регистрационном досье; </w:t>
      </w:r>
    </w:p>
    <w:bookmarkEnd w:id="2662"/>
    <w:bookmarkStart w:name="z2765" w:id="2663"/>
    <w:p>
      <w:pPr>
        <w:spacing w:after="0"/>
        <w:ind w:left="0"/>
        <w:jc w:val="both"/>
      </w:pPr>
      <w:r>
        <w:rPr>
          <w:rFonts w:ascii="Times New Roman"/>
          <w:b w:val="false"/>
          <w:i w:val="false"/>
          <w:color w:val="000000"/>
          <w:sz w:val="28"/>
        </w:rPr>
        <w:t>
      3) сертификат анализа, представленный производителем (поставщиком) исходных материалов, подписан назначенным лицом с соответствующей квалификацией и опытом.</w:t>
      </w:r>
    </w:p>
    <w:bookmarkEnd w:id="2663"/>
    <w:bookmarkStart w:name="z2766" w:id="2664"/>
    <w:p>
      <w:pPr>
        <w:spacing w:after="0"/>
        <w:ind w:left="0"/>
        <w:jc w:val="both"/>
      </w:pPr>
      <w:r>
        <w:rPr>
          <w:rFonts w:ascii="Times New Roman"/>
          <w:b w:val="false"/>
          <w:i w:val="false"/>
          <w:color w:val="000000"/>
          <w:sz w:val="28"/>
        </w:rPr>
        <w:t>
      Подпись гарантирует, что каждая серия была проверена на соответствие согласованным спецификациям исходных материалов, если такое свидетельство не представляется отдельно;</w:t>
      </w:r>
    </w:p>
    <w:bookmarkEnd w:id="2664"/>
    <w:bookmarkStart w:name="z2767" w:id="2665"/>
    <w:p>
      <w:pPr>
        <w:spacing w:after="0"/>
        <w:ind w:left="0"/>
        <w:jc w:val="both"/>
      </w:pPr>
      <w:r>
        <w:rPr>
          <w:rFonts w:ascii="Times New Roman"/>
          <w:b w:val="false"/>
          <w:i w:val="false"/>
          <w:color w:val="000000"/>
          <w:sz w:val="28"/>
        </w:rPr>
        <w:t>
      4) Аналогичный подход применяют к упаковочным материалам, как указано в пункте 369 настоящего Стандарта.</w:t>
      </w:r>
    </w:p>
    <w:bookmarkEnd w:id="2665"/>
    <w:bookmarkStart w:name="z2768" w:id="2666"/>
    <w:p>
      <w:pPr>
        <w:spacing w:after="0"/>
        <w:ind w:left="0"/>
        <w:jc w:val="both"/>
      </w:pPr>
      <w:r>
        <w:rPr>
          <w:rFonts w:ascii="Times New Roman"/>
          <w:b w:val="false"/>
          <w:i w:val="false"/>
          <w:color w:val="000000"/>
          <w:sz w:val="28"/>
        </w:rPr>
        <w:t>
      5) Испытания исходного сырья на подлинность выполняются в соответствии с методами и спецификациями соответствующего регистрационного досье. Производитель лекарственного препарата имеет соответствующий опыт работы с производителем исходных материалов (в том числе через дистрибьютора), включающий оценку ранее полученных от него серий исходных материалов и историю их соответствия, для принятия решения о сокращении объема собственных (внутренних) испытаний. Учитывают любые существенные изменения в процессах производства или испытаний;</w:t>
      </w:r>
    </w:p>
    <w:bookmarkEnd w:id="2666"/>
    <w:bookmarkStart w:name="z2769" w:id="2667"/>
    <w:p>
      <w:pPr>
        <w:spacing w:after="0"/>
        <w:ind w:left="0"/>
        <w:jc w:val="both"/>
      </w:pPr>
      <w:r>
        <w:rPr>
          <w:rFonts w:ascii="Times New Roman"/>
          <w:b w:val="false"/>
          <w:i w:val="false"/>
          <w:color w:val="000000"/>
          <w:sz w:val="28"/>
        </w:rPr>
        <w:t>
      6) производитель лекарственного препарата осуществляет (самостоятельно или с использованием отдельной утвержденной контрактной лаборатории) полный контроль с периодичностью, определенной с учетом рисков, и сравнивать результаты с сертификатом анализа поставщика или производителя исходных материалов с целью проверки надежности последнего. Если в ходе испытаний выявятся расхождения, то проводится расследование и приняты соответствующие меры. Сертификаты анализа поставщика или производителя исходных материалов не принимаются до тех пор, пока эти меры не будут завершены.</w:t>
      </w:r>
    </w:p>
    <w:bookmarkEnd w:id="2667"/>
    <w:bookmarkStart w:name="z2770" w:id="2668"/>
    <w:p>
      <w:pPr>
        <w:spacing w:after="0"/>
        <w:ind w:left="0"/>
        <w:jc w:val="both"/>
      </w:pPr>
      <w:r>
        <w:rPr>
          <w:rFonts w:ascii="Times New Roman"/>
          <w:b w:val="false"/>
          <w:i w:val="false"/>
          <w:color w:val="000000"/>
          <w:sz w:val="28"/>
        </w:rPr>
        <w:t>
      157. Исходные материалы выдаются только специально назначенными лицами в соответствии с документально оформленной процедурой, чтобы гарантировать, что нужные исходные материалы точно отвешены или отмерены в чистую и надлежащим образом маркированную тару.</w:t>
      </w:r>
    </w:p>
    <w:bookmarkEnd w:id="2668"/>
    <w:bookmarkStart w:name="z2771" w:id="2669"/>
    <w:p>
      <w:pPr>
        <w:spacing w:after="0"/>
        <w:ind w:left="0"/>
        <w:jc w:val="both"/>
      </w:pPr>
      <w:r>
        <w:rPr>
          <w:rFonts w:ascii="Times New Roman"/>
          <w:b w:val="false"/>
          <w:i w:val="false"/>
          <w:color w:val="000000"/>
          <w:sz w:val="28"/>
        </w:rPr>
        <w:t>
      158. Каждый выданный материал, его масса или объем подвергаются независимой проверке с записью результатов.</w:t>
      </w:r>
    </w:p>
    <w:bookmarkEnd w:id="2669"/>
    <w:bookmarkStart w:name="z2772" w:id="2670"/>
    <w:p>
      <w:pPr>
        <w:spacing w:after="0"/>
        <w:ind w:left="0"/>
        <w:jc w:val="both"/>
      </w:pPr>
      <w:r>
        <w:rPr>
          <w:rFonts w:ascii="Times New Roman"/>
          <w:b w:val="false"/>
          <w:i w:val="false"/>
          <w:color w:val="000000"/>
          <w:sz w:val="28"/>
        </w:rPr>
        <w:t>
      159. Исходные материалы, выданные для каждой серии, хранятся в одном месте и иметь соответствующую маркировку.</w:t>
      </w:r>
    </w:p>
    <w:bookmarkEnd w:id="2670"/>
    <w:bookmarkStart w:name="z2773" w:id="2671"/>
    <w:p>
      <w:pPr>
        <w:spacing w:after="0"/>
        <w:ind w:left="0"/>
        <w:jc w:val="left"/>
      </w:pPr>
      <w:r>
        <w:rPr>
          <w:rFonts w:ascii="Times New Roman"/>
          <w:b/>
          <w:i w:val="false"/>
          <w:color w:val="000000"/>
        </w:rPr>
        <w:t xml:space="preserve"> Параграф 5. Технологические операции: промежуточная и нерасфасованная продукция</w:t>
      </w:r>
    </w:p>
    <w:bookmarkEnd w:id="2671"/>
    <w:bookmarkStart w:name="z2774" w:id="2672"/>
    <w:p>
      <w:pPr>
        <w:spacing w:after="0"/>
        <w:ind w:left="0"/>
        <w:jc w:val="both"/>
      </w:pPr>
      <w:r>
        <w:rPr>
          <w:rFonts w:ascii="Times New Roman"/>
          <w:b w:val="false"/>
          <w:i w:val="false"/>
          <w:color w:val="000000"/>
          <w:sz w:val="28"/>
        </w:rPr>
        <w:t>
      160. Перед началом любой технологической операции принимаются меры, гарантирующие, что рабочая зона и оборудование очищены и освобождены от любых исходных материалов, продукции, остатков продукции или документации, не имеющих отношения к запланированной операции.</w:t>
      </w:r>
    </w:p>
    <w:bookmarkEnd w:id="2672"/>
    <w:bookmarkStart w:name="z2775" w:id="2673"/>
    <w:p>
      <w:pPr>
        <w:spacing w:after="0"/>
        <w:ind w:left="0"/>
        <w:jc w:val="both"/>
      </w:pPr>
      <w:r>
        <w:rPr>
          <w:rFonts w:ascii="Times New Roman"/>
          <w:b w:val="false"/>
          <w:i w:val="false"/>
          <w:color w:val="000000"/>
          <w:sz w:val="28"/>
        </w:rPr>
        <w:t>
      161. Промежуточную и нерасфасованную продукцию хранят в надлежащих условиях.</w:t>
      </w:r>
    </w:p>
    <w:bookmarkEnd w:id="2673"/>
    <w:bookmarkStart w:name="z2776" w:id="2674"/>
    <w:p>
      <w:pPr>
        <w:spacing w:after="0"/>
        <w:ind w:left="0"/>
        <w:jc w:val="both"/>
      </w:pPr>
      <w:r>
        <w:rPr>
          <w:rFonts w:ascii="Times New Roman"/>
          <w:b w:val="false"/>
          <w:i w:val="false"/>
          <w:color w:val="000000"/>
          <w:sz w:val="28"/>
        </w:rPr>
        <w:t>
      162. Критические процессы проходят валидацию согласно подпунктам 143 - 146 части I настоящего Стандарта.</w:t>
      </w:r>
    </w:p>
    <w:bookmarkEnd w:id="2674"/>
    <w:bookmarkStart w:name="z2777" w:id="2675"/>
    <w:p>
      <w:pPr>
        <w:spacing w:after="0"/>
        <w:ind w:left="0"/>
        <w:jc w:val="both"/>
      </w:pPr>
      <w:r>
        <w:rPr>
          <w:rFonts w:ascii="Times New Roman"/>
          <w:b w:val="false"/>
          <w:i w:val="false"/>
          <w:color w:val="000000"/>
          <w:sz w:val="28"/>
        </w:rPr>
        <w:t>
      163. Проводятся и оформляются документально необходимый контроль в процессе производства и контроль производственной среды.</w:t>
      </w:r>
    </w:p>
    <w:bookmarkEnd w:id="2675"/>
    <w:bookmarkStart w:name="z2778" w:id="2676"/>
    <w:p>
      <w:pPr>
        <w:spacing w:after="0"/>
        <w:ind w:left="0"/>
        <w:jc w:val="both"/>
      </w:pPr>
      <w:r>
        <w:rPr>
          <w:rFonts w:ascii="Times New Roman"/>
          <w:b w:val="false"/>
          <w:i w:val="false"/>
          <w:color w:val="000000"/>
          <w:sz w:val="28"/>
        </w:rPr>
        <w:t>
      164. Любое существенное отклонение от ожидаемого выхода продукции оформляются документально и расследовано.</w:t>
      </w:r>
    </w:p>
    <w:bookmarkEnd w:id="2676"/>
    <w:bookmarkStart w:name="z2779" w:id="2677"/>
    <w:p>
      <w:pPr>
        <w:spacing w:after="0"/>
        <w:ind w:left="0"/>
        <w:jc w:val="left"/>
      </w:pPr>
      <w:r>
        <w:rPr>
          <w:rFonts w:ascii="Times New Roman"/>
          <w:b/>
          <w:i w:val="false"/>
          <w:color w:val="000000"/>
        </w:rPr>
        <w:t xml:space="preserve"> Параграф 6. Упаковочные материалы</w:t>
      </w:r>
    </w:p>
    <w:bookmarkEnd w:id="2677"/>
    <w:bookmarkStart w:name="z2780" w:id="2678"/>
    <w:p>
      <w:pPr>
        <w:spacing w:after="0"/>
        <w:ind w:left="0"/>
        <w:jc w:val="both"/>
      </w:pPr>
      <w:r>
        <w:rPr>
          <w:rFonts w:ascii="Times New Roman"/>
          <w:b w:val="false"/>
          <w:i w:val="false"/>
          <w:color w:val="000000"/>
          <w:sz w:val="28"/>
        </w:rPr>
        <w:t>
      165. Закупке и контролю первичных и печатных упаковочных материалов, а также обращению с ними уделяют такое же внимание, как и в случае с исходными материалами.</w:t>
      </w:r>
    </w:p>
    <w:bookmarkEnd w:id="2678"/>
    <w:bookmarkStart w:name="z2781" w:id="2679"/>
    <w:p>
      <w:pPr>
        <w:spacing w:after="0"/>
        <w:ind w:left="0"/>
        <w:jc w:val="both"/>
      </w:pPr>
      <w:r>
        <w:rPr>
          <w:rFonts w:ascii="Times New Roman"/>
          <w:b w:val="false"/>
          <w:i w:val="false"/>
          <w:color w:val="000000"/>
          <w:sz w:val="28"/>
        </w:rPr>
        <w:t>
      166. Особое внимание уделяют печатным материалам. Их хранят в надежных условиях, исключающих доступ посторонних лиц. Разрезанные этикетки и другие разрозненные печатные материалы хранятся и транспортируются раздельно в закрытой таре, исключающей их перепутывание. Разрешение на использование упаковочных материалов выдаются только специально назначенными лицами в соответствии с утвержденной и документально оформленной процедурой.</w:t>
      </w:r>
    </w:p>
    <w:bookmarkEnd w:id="2679"/>
    <w:bookmarkStart w:name="z2782" w:id="2680"/>
    <w:p>
      <w:pPr>
        <w:spacing w:after="0"/>
        <w:ind w:left="0"/>
        <w:jc w:val="both"/>
      </w:pPr>
      <w:r>
        <w:rPr>
          <w:rFonts w:ascii="Times New Roman"/>
          <w:b w:val="false"/>
          <w:i w:val="false"/>
          <w:color w:val="000000"/>
          <w:sz w:val="28"/>
        </w:rPr>
        <w:t>
      167. Каждой поставке или серии первичных или печатных упаковочных материалов присвоен идентификационный номер или идентификационный знак.</w:t>
      </w:r>
    </w:p>
    <w:bookmarkEnd w:id="2680"/>
    <w:bookmarkStart w:name="z2783" w:id="2681"/>
    <w:p>
      <w:pPr>
        <w:spacing w:after="0"/>
        <w:ind w:left="0"/>
        <w:jc w:val="both"/>
      </w:pPr>
      <w:r>
        <w:rPr>
          <w:rFonts w:ascii="Times New Roman"/>
          <w:b w:val="false"/>
          <w:i w:val="false"/>
          <w:color w:val="000000"/>
          <w:sz w:val="28"/>
        </w:rPr>
        <w:t>
      168. Просроченные или непригодные к использованию печатные или первичные упаковочные материалы уничтожаются с документальным оформлением.</w:t>
      </w:r>
    </w:p>
    <w:bookmarkEnd w:id="2681"/>
    <w:bookmarkStart w:name="z2784" w:id="2682"/>
    <w:p>
      <w:pPr>
        <w:spacing w:after="0"/>
        <w:ind w:left="0"/>
        <w:jc w:val="left"/>
      </w:pPr>
      <w:r>
        <w:rPr>
          <w:rFonts w:ascii="Times New Roman"/>
          <w:b/>
          <w:i w:val="false"/>
          <w:color w:val="000000"/>
        </w:rPr>
        <w:t xml:space="preserve"> Параграф 7. Операции по упаковке</w:t>
      </w:r>
    </w:p>
    <w:bookmarkEnd w:id="2682"/>
    <w:bookmarkStart w:name="z2785" w:id="2683"/>
    <w:p>
      <w:pPr>
        <w:spacing w:after="0"/>
        <w:ind w:left="0"/>
        <w:jc w:val="both"/>
      </w:pPr>
      <w:r>
        <w:rPr>
          <w:rFonts w:ascii="Times New Roman"/>
          <w:b w:val="false"/>
          <w:i w:val="false"/>
          <w:color w:val="000000"/>
          <w:sz w:val="28"/>
        </w:rPr>
        <w:t>
      169. При составлении планов операций по упаковке особое внимание уделяется сведению к минимуму риска перекрестной контаминации, перепутывания или подмены. Не допускается упаковывать продукцию различных видов в непосредственной близости друг от друга за исключением случаев, предусматривающих физическое разделение.</w:t>
      </w:r>
    </w:p>
    <w:bookmarkEnd w:id="2683"/>
    <w:bookmarkStart w:name="z2786" w:id="2684"/>
    <w:p>
      <w:pPr>
        <w:spacing w:after="0"/>
        <w:ind w:left="0"/>
        <w:jc w:val="both"/>
      </w:pPr>
      <w:r>
        <w:rPr>
          <w:rFonts w:ascii="Times New Roman"/>
          <w:b w:val="false"/>
          <w:i w:val="false"/>
          <w:color w:val="000000"/>
          <w:sz w:val="28"/>
        </w:rPr>
        <w:t>
      170. Перед началом операций по упаковке предпринимаются меры, гарантирующие, что рабочая зона, упаковочные линии, печатные машины и другое оборудование являются чистыми и не содержат любые использовавшиеся ранее лекарственные препараты, материалы или документы, если они не требуются для запланированной операции. Очистку линии проводят согласно соответствующей процедуре.</w:t>
      </w:r>
    </w:p>
    <w:bookmarkEnd w:id="2684"/>
    <w:bookmarkStart w:name="z2787" w:id="2685"/>
    <w:p>
      <w:pPr>
        <w:spacing w:after="0"/>
        <w:ind w:left="0"/>
        <w:jc w:val="both"/>
      </w:pPr>
      <w:r>
        <w:rPr>
          <w:rFonts w:ascii="Times New Roman"/>
          <w:b w:val="false"/>
          <w:i w:val="false"/>
          <w:color w:val="000000"/>
          <w:sz w:val="28"/>
        </w:rPr>
        <w:t>
      171. Наименование и номер серии упаковываемой продукции указаны на каждом упаковочном месте или линии.</w:t>
      </w:r>
    </w:p>
    <w:bookmarkEnd w:id="2685"/>
    <w:bookmarkStart w:name="z2788" w:id="2686"/>
    <w:p>
      <w:pPr>
        <w:spacing w:after="0"/>
        <w:ind w:left="0"/>
        <w:jc w:val="both"/>
      </w:pPr>
      <w:r>
        <w:rPr>
          <w:rFonts w:ascii="Times New Roman"/>
          <w:b w:val="false"/>
          <w:i w:val="false"/>
          <w:color w:val="000000"/>
          <w:sz w:val="28"/>
        </w:rPr>
        <w:t>
      172. При поступлении продукции и упаковочных материалов на участок упаковки проверят их количество, идентичность и соответствие инструкциям по упаковке.</w:t>
      </w:r>
    </w:p>
    <w:bookmarkEnd w:id="2686"/>
    <w:bookmarkStart w:name="z2789" w:id="2687"/>
    <w:p>
      <w:pPr>
        <w:spacing w:after="0"/>
        <w:ind w:left="0"/>
        <w:jc w:val="both"/>
      </w:pPr>
      <w:r>
        <w:rPr>
          <w:rFonts w:ascii="Times New Roman"/>
          <w:b w:val="false"/>
          <w:i w:val="false"/>
          <w:color w:val="000000"/>
          <w:sz w:val="28"/>
        </w:rPr>
        <w:t>
      173. Материалы первичной упаковки чистые до начала операции наполнения. Уделяют внимание предотвращению и устранению любой контаминации, такой как осколки стекла и металлические частицы.</w:t>
      </w:r>
    </w:p>
    <w:bookmarkEnd w:id="2687"/>
    <w:bookmarkStart w:name="z2790" w:id="2688"/>
    <w:p>
      <w:pPr>
        <w:spacing w:after="0"/>
        <w:ind w:left="0"/>
        <w:jc w:val="both"/>
      </w:pPr>
      <w:r>
        <w:rPr>
          <w:rFonts w:ascii="Times New Roman"/>
          <w:b w:val="false"/>
          <w:i w:val="false"/>
          <w:color w:val="000000"/>
          <w:sz w:val="28"/>
        </w:rPr>
        <w:t>
      174. Как правило, маркировку наносят как можно быстрее после фасовки и укупорки. До нанесения маркировки принимают необходимые меры, исключающие перепутывание или ошибочную маркировку.</w:t>
      </w:r>
    </w:p>
    <w:bookmarkEnd w:id="2688"/>
    <w:bookmarkStart w:name="z2791" w:id="2689"/>
    <w:p>
      <w:pPr>
        <w:spacing w:after="0"/>
        <w:ind w:left="0"/>
        <w:jc w:val="both"/>
      </w:pPr>
      <w:r>
        <w:rPr>
          <w:rFonts w:ascii="Times New Roman"/>
          <w:b w:val="false"/>
          <w:i w:val="false"/>
          <w:color w:val="000000"/>
          <w:sz w:val="28"/>
        </w:rPr>
        <w:t>
      175. Правильность выполнения любых печатных операций (нанесения номеров серий, срока годности), осуществляемых либо как отдельная технологическая операция, либо в процессе упаковки, тщательно контролируют и оформляют документально. Особое внимание уделяют ручной маркировке, которую регулярно перепроверяют.</w:t>
      </w:r>
    </w:p>
    <w:bookmarkEnd w:id="2689"/>
    <w:bookmarkStart w:name="z2792" w:id="2690"/>
    <w:p>
      <w:pPr>
        <w:spacing w:after="0"/>
        <w:ind w:left="0"/>
        <w:jc w:val="both"/>
      </w:pPr>
      <w:r>
        <w:rPr>
          <w:rFonts w:ascii="Times New Roman"/>
          <w:b w:val="false"/>
          <w:i w:val="false"/>
          <w:color w:val="000000"/>
          <w:sz w:val="28"/>
        </w:rPr>
        <w:t>
      176. Особые меры предосторожности соблюдаются при использовании разрезанных этикеток и нанесении штампов вне линии упаковки. Для предотвращения перепутывания печатного материала предпочтительнее использовать этикетки в рулоне вместо разрезанных этикеток.</w:t>
      </w:r>
    </w:p>
    <w:bookmarkEnd w:id="2690"/>
    <w:bookmarkStart w:name="z2793" w:id="2691"/>
    <w:p>
      <w:pPr>
        <w:spacing w:after="0"/>
        <w:ind w:left="0"/>
        <w:jc w:val="both"/>
      </w:pPr>
      <w:r>
        <w:rPr>
          <w:rFonts w:ascii="Times New Roman"/>
          <w:b w:val="false"/>
          <w:i w:val="false"/>
          <w:color w:val="000000"/>
          <w:sz w:val="28"/>
        </w:rPr>
        <w:t>
      177. Проводят проверки, гарантирующие, что все электронные устройства считывания кода, счетчики этикеток и аналогичные устройства работают правильно.</w:t>
      </w:r>
    </w:p>
    <w:bookmarkEnd w:id="2691"/>
    <w:bookmarkStart w:name="z2794" w:id="2692"/>
    <w:p>
      <w:pPr>
        <w:spacing w:after="0"/>
        <w:ind w:left="0"/>
        <w:jc w:val="both"/>
      </w:pPr>
      <w:r>
        <w:rPr>
          <w:rFonts w:ascii="Times New Roman"/>
          <w:b w:val="false"/>
          <w:i w:val="false"/>
          <w:color w:val="000000"/>
          <w:sz w:val="28"/>
        </w:rPr>
        <w:t>
      178. Маркировка упаковочных материалов, нанесенная с помощью печати или методом тиснения, отчетливая и устойчивая к выцветанию или стиранию.</w:t>
      </w:r>
    </w:p>
    <w:bookmarkEnd w:id="2692"/>
    <w:bookmarkStart w:name="z2795" w:id="2693"/>
    <w:p>
      <w:pPr>
        <w:spacing w:after="0"/>
        <w:ind w:left="0"/>
        <w:jc w:val="both"/>
      </w:pPr>
      <w:r>
        <w:rPr>
          <w:rFonts w:ascii="Times New Roman"/>
          <w:b w:val="false"/>
          <w:i w:val="false"/>
          <w:color w:val="000000"/>
          <w:sz w:val="28"/>
        </w:rPr>
        <w:t>
      179. При контроле процесса упаковки продукции на линии проверяют, как минимум, следующее:</w:t>
      </w:r>
    </w:p>
    <w:bookmarkEnd w:id="2693"/>
    <w:bookmarkStart w:name="z2796" w:id="2694"/>
    <w:p>
      <w:pPr>
        <w:spacing w:after="0"/>
        <w:ind w:left="0"/>
        <w:jc w:val="both"/>
      </w:pPr>
      <w:r>
        <w:rPr>
          <w:rFonts w:ascii="Times New Roman"/>
          <w:b w:val="false"/>
          <w:i w:val="false"/>
          <w:color w:val="000000"/>
          <w:sz w:val="28"/>
        </w:rPr>
        <w:t>
      1) общий внешний вид упаковок;</w:t>
      </w:r>
    </w:p>
    <w:bookmarkEnd w:id="2694"/>
    <w:bookmarkStart w:name="z2797" w:id="2695"/>
    <w:p>
      <w:pPr>
        <w:spacing w:after="0"/>
        <w:ind w:left="0"/>
        <w:jc w:val="both"/>
      </w:pPr>
      <w:r>
        <w:rPr>
          <w:rFonts w:ascii="Times New Roman"/>
          <w:b w:val="false"/>
          <w:i w:val="false"/>
          <w:color w:val="000000"/>
          <w:sz w:val="28"/>
        </w:rPr>
        <w:t>
      2) комплектность упаковок;</w:t>
      </w:r>
    </w:p>
    <w:bookmarkEnd w:id="2695"/>
    <w:bookmarkStart w:name="z2798" w:id="2696"/>
    <w:p>
      <w:pPr>
        <w:spacing w:after="0"/>
        <w:ind w:left="0"/>
        <w:jc w:val="both"/>
      </w:pPr>
      <w:r>
        <w:rPr>
          <w:rFonts w:ascii="Times New Roman"/>
          <w:b w:val="false"/>
          <w:i w:val="false"/>
          <w:color w:val="000000"/>
          <w:sz w:val="28"/>
        </w:rPr>
        <w:t>
      3) использование надлежащих видов продукции и упаковочных материалов;</w:t>
      </w:r>
    </w:p>
    <w:bookmarkEnd w:id="2696"/>
    <w:bookmarkStart w:name="z2799" w:id="2697"/>
    <w:p>
      <w:pPr>
        <w:spacing w:after="0"/>
        <w:ind w:left="0"/>
        <w:jc w:val="both"/>
      </w:pPr>
      <w:r>
        <w:rPr>
          <w:rFonts w:ascii="Times New Roman"/>
          <w:b w:val="false"/>
          <w:i w:val="false"/>
          <w:color w:val="000000"/>
          <w:sz w:val="28"/>
        </w:rPr>
        <w:t>
      4) правильность нанесения любой маркировки;</w:t>
      </w:r>
    </w:p>
    <w:bookmarkEnd w:id="2697"/>
    <w:bookmarkStart w:name="z2800" w:id="2698"/>
    <w:p>
      <w:pPr>
        <w:spacing w:after="0"/>
        <w:ind w:left="0"/>
        <w:jc w:val="both"/>
      </w:pPr>
      <w:r>
        <w:rPr>
          <w:rFonts w:ascii="Times New Roman"/>
          <w:b w:val="false"/>
          <w:i w:val="false"/>
          <w:color w:val="000000"/>
          <w:sz w:val="28"/>
        </w:rPr>
        <w:t>
      5) правильность работы контрольных устройств на линии.</w:t>
      </w:r>
    </w:p>
    <w:bookmarkEnd w:id="2698"/>
    <w:bookmarkStart w:name="z2801" w:id="2699"/>
    <w:p>
      <w:pPr>
        <w:spacing w:after="0"/>
        <w:ind w:left="0"/>
        <w:jc w:val="both"/>
      </w:pPr>
      <w:r>
        <w:rPr>
          <w:rFonts w:ascii="Times New Roman"/>
          <w:b w:val="false"/>
          <w:i w:val="false"/>
          <w:color w:val="000000"/>
          <w:sz w:val="28"/>
        </w:rPr>
        <w:t>
      Образцы, взятые с упаковочной линии, не возвращают повторно на линию.</w:t>
      </w:r>
    </w:p>
    <w:bookmarkEnd w:id="2699"/>
    <w:bookmarkStart w:name="z2802" w:id="2700"/>
    <w:p>
      <w:pPr>
        <w:spacing w:after="0"/>
        <w:ind w:left="0"/>
        <w:jc w:val="both"/>
      </w:pPr>
      <w:r>
        <w:rPr>
          <w:rFonts w:ascii="Times New Roman"/>
          <w:b w:val="false"/>
          <w:i w:val="false"/>
          <w:color w:val="000000"/>
          <w:sz w:val="28"/>
        </w:rPr>
        <w:t>
      180. Если при упаковке продукции возникли непредвиденные обстоятельства, она возвращается в производство только после специальной проверки, проведения расследования и с разрешения лица, имеющего соответствующие полномочия. Указанные действия оформляются в виде протокола, который хранят в установленном порядке.</w:t>
      </w:r>
    </w:p>
    <w:bookmarkEnd w:id="2700"/>
    <w:bookmarkStart w:name="z2803" w:id="2701"/>
    <w:p>
      <w:pPr>
        <w:spacing w:after="0"/>
        <w:ind w:left="0"/>
        <w:jc w:val="both"/>
      </w:pPr>
      <w:r>
        <w:rPr>
          <w:rFonts w:ascii="Times New Roman"/>
          <w:b w:val="false"/>
          <w:i w:val="false"/>
          <w:color w:val="000000"/>
          <w:sz w:val="28"/>
        </w:rPr>
        <w:t>
      181. При существенном или необычном расхождении, установленном во время составления баланса между количеством нерасфасованной продукции, печатного упаковочного материала и числом произведенных единиц готовой продукции, проводят расследование и устанавливают причину этого расхождения до выдачи разрешения на выпуск.</w:t>
      </w:r>
    </w:p>
    <w:bookmarkEnd w:id="2701"/>
    <w:bookmarkStart w:name="z2804" w:id="2702"/>
    <w:p>
      <w:pPr>
        <w:spacing w:after="0"/>
        <w:ind w:left="0"/>
        <w:jc w:val="both"/>
      </w:pPr>
      <w:r>
        <w:rPr>
          <w:rFonts w:ascii="Times New Roman"/>
          <w:b w:val="false"/>
          <w:i w:val="false"/>
          <w:color w:val="000000"/>
          <w:sz w:val="28"/>
        </w:rPr>
        <w:t>
      182. После завершения операций по упаковке любые оставшиеся упаковочные материалы с нанесенным на них номером серии уничтожаются с последующим документальным оформлением. Возврат на склад немаркированных упаковочных материалов производится в соответствии с утвержденной процедурой.</w:t>
      </w:r>
    </w:p>
    <w:bookmarkEnd w:id="2702"/>
    <w:bookmarkStart w:name="z2805" w:id="2703"/>
    <w:p>
      <w:pPr>
        <w:spacing w:after="0"/>
        <w:ind w:left="0"/>
        <w:jc w:val="left"/>
      </w:pPr>
      <w:r>
        <w:rPr>
          <w:rFonts w:ascii="Times New Roman"/>
          <w:b/>
          <w:i w:val="false"/>
          <w:color w:val="000000"/>
        </w:rPr>
        <w:t xml:space="preserve"> Параграф 8. Готовая продукция</w:t>
      </w:r>
    </w:p>
    <w:bookmarkEnd w:id="2703"/>
    <w:bookmarkStart w:name="z2806" w:id="2704"/>
    <w:p>
      <w:pPr>
        <w:spacing w:after="0"/>
        <w:ind w:left="0"/>
        <w:jc w:val="both"/>
      </w:pPr>
      <w:r>
        <w:rPr>
          <w:rFonts w:ascii="Times New Roman"/>
          <w:b w:val="false"/>
          <w:i w:val="false"/>
          <w:color w:val="000000"/>
          <w:sz w:val="28"/>
        </w:rPr>
        <w:t>
      183. До выдачи разрешения на выпуск готовая продукция содержится в карантине в условиях, установленных производителем.</w:t>
      </w:r>
    </w:p>
    <w:bookmarkEnd w:id="2704"/>
    <w:bookmarkStart w:name="z2807" w:id="2705"/>
    <w:p>
      <w:pPr>
        <w:spacing w:after="0"/>
        <w:ind w:left="0"/>
        <w:jc w:val="both"/>
      </w:pPr>
      <w:r>
        <w:rPr>
          <w:rFonts w:ascii="Times New Roman"/>
          <w:b w:val="false"/>
          <w:i w:val="false"/>
          <w:color w:val="000000"/>
          <w:sz w:val="28"/>
        </w:rPr>
        <w:t>
      184. До момента получения разрешения на выпуск проводится оценка готовой продукции и документации в порядке, установленном главой 6 настоящего Стандарта.</w:t>
      </w:r>
    </w:p>
    <w:bookmarkEnd w:id="2705"/>
    <w:bookmarkStart w:name="z2808" w:id="2706"/>
    <w:p>
      <w:pPr>
        <w:spacing w:after="0"/>
        <w:ind w:left="0"/>
        <w:jc w:val="both"/>
      </w:pPr>
      <w:r>
        <w:rPr>
          <w:rFonts w:ascii="Times New Roman"/>
          <w:b w:val="false"/>
          <w:i w:val="false"/>
          <w:color w:val="000000"/>
          <w:sz w:val="28"/>
        </w:rPr>
        <w:t>
      185. После выдачи разрешения на выпуск готовая продукция хранится как пригодный для реализации запас в условиях, установленных производителем.</w:t>
      </w:r>
    </w:p>
    <w:bookmarkEnd w:id="2706"/>
    <w:bookmarkStart w:name="z2809" w:id="2707"/>
    <w:p>
      <w:pPr>
        <w:spacing w:after="0"/>
        <w:ind w:left="0"/>
        <w:jc w:val="left"/>
      </w:pPr>
      <w:r>
        <w:rPr>
          <w:rFonts w:ascii="Times New Roman"/>
          <w:b/>
          <w:i w:val="false"/>
          <w:color w:val="000000"/>
        </w:rPr>
        <w:t xml:space="preserve"> Параграф 9. Отклоненные, повторно использованные и возвращенные материалы и продукция</w:t>
      </w:r>
    </w:p>
    <w:bookmarkEnd w:id="2707"/>
    <w:bookmarkStart w:name="z2810" w:id="2708"/>
    <w:p>
      <w:pPr>
        <w:spacing w:after="0"/>
        <w:ind w:left="0"/>
        <w:jc w:val="both"/>
      </w:pPr>
      <w:r>
        <w:rPr>
          <w:rFonts w:ascii="Times New Roman"/>
          <w:b w:val="false"/>
          <w:i w:val="false"/>
          <w:color w:val="000000"/>
          <w:sz w:val="28"/>
        </w:rPr>
        <w:t>
      186. Отклоненные материалы и продукция имеет четкую маркировку и храниться раздельно в зонах с ограниченным доступом. Они подлежат возврату поставщику, переработке (если это допустимо) или уничтожению. Любые выполненные действия оформляется документально и утверждается лицами, имеющими соответствующие полномочия.</w:t>
      </w:r>
    </w:p>
    <w:bookmarkEnd w:id="2708"/>
    <w:bookmarkStart w:name="z2811" w:id="2709"/>
    <w:p>
      <w:pPr>
        <w:spacing w:after="0"/>
        <w:ind w:left="0"/>
        <w:jc w:val="both"/>
      </w:pPr>
      <w:r>
        <w:rPr>
          <w:rFonts w:ascii="Times New Roman"/>
          <w:b w:val="false"/>
          <w:i w:val="false"/>
          <w:color w:val="000000"/>
          <w:sz w:val="28"/>
        </w:rPr>
        <w:t>
      187. Переработка отклоненной продукции допускается в исключительных случаях при условии отсутствия ухудшения качества готовой продукции и выполнения всех требований спецификаций. Переработку осуществляют в соответствии с утвержденной процедурой после оценки возможного риска с последующим документальным оформлением.</w:t>
      </w:r>
    </w:p>
    <w:bookmarkEnd w:id="2709"/>
    <w:bookmarkStart w:name="z2812" w:id="2710"/>
    <w:p>
      <w:pPr>
        <w:spacing w:after="0"/>
        <w:ind w:left="0"/>
        <w:jc w:val="both"/>
      </w:pPr>
      <w:r>
        <w:rPr>
          <w:rFonts w:ascii="Times New Roman"/>
          <w:b w:val="false"/>
          <w:i w:val="false"/>
          <w:color w:val="000000"/>
          <w:sz w:val="28"/>
        </w:rPr>
        <w:t>
      188. Повторное использование всей серии или части ранее произведенных серий соответствующего качества путем объединения с серией такой же продукции на определенной стадии производства санкционировано заранее. Такое введение осуществляют в соответствии с установленной процедурой с учетом оценки возникающих рисков, включая любое возможное влияние на срок годности. Деятельность по повторному использованию оформляют документально.</w:t>
      </w:r>
    </w:p>
    <w:bookmarkEnd w:id="2710"/>
    <w:bookmarkStart w:name="z2813" w:id="2711"/>
    <w:p>
      <w:pPr>
        <w:spacing w:after="0"/>
        <w:ind w:left="0"/>
        <w:jc w:val="both"/>
      </w:pPr>
      <w:r>
        <w:rPr>
          <w:rFonts w:ascii="Times New Roman"/>
          <w:b w:val="false"/>
          <w:i w:val="false"/>
          <w:color w:val="000000"/>
          <w:sz w:val="28"/>
        </w:rPr>
        <w:t>
      189. Необходимость дополнительного контроля любой готовой продукции, прошедшей переработку, или продукции, в которую была включена повторно использованная продукция, определяет подразделение контроля качества.</w:t>
      </w:r>
    </w:p>
    <w:bookmarkEnd w:id="2711"/>
    <w:bookmarkStart w:name="z2814" w:id="2712"/>
    <w:p>
      <w:pPr>
        <w:spacing w:after="0"/>
        <w:ind w:left="0"/>
        <w:jc w:val="both"/>
      </w:pPr>
      <w:r>
        <w:rPr>
          <w:rFonts w:ascii="Times New Roman"/>
          <w:b w:val="false"/>
          <w:i w:val="false"/>
          <w:color w:val="000000"/>
          <w:sz w:val="28"/>
        </w:rPr>
        <w:t>
      190. Возвращенная с рынка продукция, над которой был утрачен контроль со стороны производителя, уничтожается, за исключением случаев, когда нет сомнений, что ее качество является удовлетворительным. Решение о повторной реализации, перемаркировке или повторном использовании может быть принято только после критической оценки, проведенной подразделением контроля качества в соответствии с письменной процедурой. При этом учитывается характер продукции, ее предысторию и состояние, соблюдение специальных условий хранения и время, прошедшее с даты выпуска. При любых сомнениях в отношении качества продукции не допускается ее повторное использование или повторный выпуск, но допускается ее химическая переработка с целью регенерации активных ингредиентов. Все выполняемые действия оформляются документально.</w:t>
      </w:r>
    </w:p>
    <w:bookmarkEnd w:id="2712"/>
    <w:bookmarkStart w:name="z2815" w:id="2713"/>
    <w:p>
      <w:pPr>
        <w:spacing w:after="0"/>
        <w:ind w:left="0"/>
        <w:jc w:val="left"/>
      </w:pPr>
      <w:r>
        <w:rPr>
          <w:rFonts w:ascii="Times New Roman"/>
          <w:b/>
          <w:i w:val="false"/>
          <w:color w:val="000000"/>
        </w:rPr>
        <w:t xml:space="preserve"> Параграф 10. Нехватка продукции в связи с производственными затруднениями</w:t>
      </w:r>
    </w:p>
    <w:bookmarkEnd w:id="2713"/>
    <w:bookmarkStart w:name="z2816" w:id="2714"/>
    <w:p>
      <w:pPr>
        <w:spacing w:after="0"/>
        <w:ind w:left="0"/>
        <w:jc w:val="both"/>
      </w:pPr>
      <w:r>
        <w:rPr>
          <w:rFonts w:ascii="Times New Roman"/>
          <w:b w:val="false"/>
          <w:i w:val="false"/>
          <w:color w:val="000000"/>
          <w:sz w:val="28"/>
        </w:rPr>
        <w:t>
      191. Производитель сообщает держателю регистрационного удостоверения о любых затруднениях в производственных операциях, которые приведут к необычному ограничению поставки. Такое сообщение осуществляется своевременно для упрощения процедуры уведомления об ограничениях поставки со стороны держателя регистрационного удостоверения, направляемого в адрес уполномоченных органов.</w:t>
      </w:r>
    </w:p>
    <w:bookmarkEnd w:id="2714"/>
    <w:bookmarkStart w:name="z2817" w:id="2715"/>
    <w:p>
      <w:pPr>
        <w:spacing w:after="0"/>
        <w:ind w:left="0"/>
        <w:jc w:val="left"/>
      </w:pPr>
      <w:r>
        <w:rPr>
          <w:rFonts w:ascii="Times New Roman"/>
          <w:b/>
          <w:i w:val="false"/>
          <w:color w:val="000000"/>
        </w:rPr>
        <w:t xml:space="preserve"> Глава 7. Контроль качества</w:t>
      </w:r>
    </w:p>
    <w:bookmarkEnd w:id="2715"/>
    <w:bookmarkStart w:name="z2818" w:id="2716"/>
    <w:p>
      <w:pPr>
        <w:spacing w:after="0"/>
        <w:ind w:left="0"/>
        <w:jc w:val="left"/>
      </w:pPr>
      <w:r>
        <w:rPr>
          <w:rFonts w:ascii="Times New Roman"/>
          <w:b/>
          <w:i w:val="false"/>
          <w:color w:val="000000"/>
        </w:rPr>
        <w:t xml:space="preserve"> Параграф 1. Принцип</w:t>
      </w:r>
    </w:p>
    <w:bookmarkEnd w:id="2716"/>
    <w:bookmarkStart w:name="z2819" w:id="2717"/>
    <w:p>
      <w:pPr>
        <w:spacing w:after="0"/>
        <w:ind w:left="0"/>
        <w:jc w:val="both"/>
      </w:pPr>
      <w:r>
        <w:rPr>
          <w:rFonts w:ascii="Times New Roman"/>
          <w:b w:val="false"/>
          <w:i w:val="false"/>
          <w:color w:val="000000"/>
          <w:sz w:val="28"/>
        </w:rPr>
        <w:t>
      192. Положения настоящего раздела рассматривается в сочетании с положениями всех соответствующих разделов настоящего Стандарта.</w:t>
      </w:r>
    </w:p>
    <w:bookmarkEnd w:id="2717"/>
    <w:bookmarkStart w:name="z2820" w:id="2718"/>
    <w:p>
      <w:pPr>
        <w:spacing w:after="0"/>
        <w:ind w:left="0"/>
        <w:jc w:val="both"/>
      </w:pPr>
      <w:r>
        <w:rPr>
          <w:rFonts w:ascii="Times New Roman"/>
          <w:b w:val="false"/>
          <w:i w:val="false"/>
          <w:color w:val="000000"/>
          <w:sz w:val="28"/>
        </w:rPr>
        <w:t>
      Контроль качества распространяется как на процедуры отбора проб, спецификации и на проведение испытаний, так и на процедуры организации, документирования и выпуска, гарантирующие проведение необходимых испытаний, а также обеспечивающие то, что исходные и упаковочные материалы не разрешены для использования, продукция - для реализации и поставки до тех пор, пока их качество не будет признано соответствующим установленным требованиям.</w:t>
      </w:r>
    </w:p>
    <w:bookmarkEnd w:id="2718"/>
    <w:bookmarkStart w:name="z2821" w:id="2719"/>
    <w:p>
      <w:pPr>
        <w:spacing w:after="0"/>
        <w:ind w:left="0"/>
        <w:jc w:val="both"/>
      </w:pPr>
      <w:r>
        <w:rPr>
          <w:rFonts w:ascii="Times New Roman"/>
          <w:b w:val="false"/>
          <w:i w:val="false"/>
          <w:color w:val="000000"/>
          <w:sz w:val="28"/>
        </w:rPr>
        <w:t>
      Контроль качества не ограничивается лабораторными работами и вовлечен в принятие всех решений, касающихся качества продукции. Основополагающим принципом для удовлетворительной работы подразделения контроля качества считается его независимость от производства.</w:t>
      </w:r>
    </w:p>
    <w:bookmarkEnd w:id="2719"/>
    <w:bookmarkStart w:name="z2822" w:id="2720"/>
    <w:p>
      <w:pPr>
        <w:spacing w:after="0"/>
        <w:ind w:left="0"/>
        <w:jc w:val="both"/>
      </w:pPr>
      <w:r>
        <w:rPr>
          <w:rFonts w:ascii="Times New Roman"/>
          <w:b w:val="false"/>
          <w:i w:val="false"/>
          <w:color w:val="000000"/>
          <w:sz w:val="28"/>
        </w:rPr>
        <w:t>
      193 У каждого производителя имеется подразделение контроля качества, независимое от других подразделений и отделов. Руководитель этого подразделения имеет соответствующие квалификацию и опыт, в его распоряжении одна или несколько контрольных лабораторий. Подразделение обеспечивает достаточными ресурсами для эффективного выполнения мероприятий по контролю качества.</w:t>
      </w:r>
    </w:p>
    <w:bookmarkEnd w:id="2720"/>
    <w:bookmarkStart w:name="z2823" w:id="2721"/>
    <w:p>
      <w:pPr>
        <w:spacing w:after="0"/>
        <w:ind w:left="0"/>
        <w:jc w:val="both"/>
      </w:pPr>
      <w:r>
        <w:rPr>
          <w:rFonts w:ascii="Times New Roman"/>
          <w:b w:val="false"/>
          <w:i w:val="false"/>
          <w:color w:val="000000"/>
          <w:sz w:val="28"/>
        </w:rPr>
        <w:t>
      194. Основные должностные обязанности руководителя подразделения контроля качества изложены в главе 2 части I настоящего Стандарта. Подразделение контроля качества имеют также и иные обязанности, такие как разработка, валидация и обеспечение выполнения всех процедур по контролю качества, наблюдение за контрольными и (или) архивными образцами материалов и продукции, обеспечение правильной маркировки упаковок с материалами и продукцией, мониторинг стабильности продукции, участие в расследовании претензий в отношении качества продукции и др. Проведение всех операций и их результаты требуют документального оформления.</w:t>
      </w:r>
    </w:p>
    <w:bookmarkEnd w:id="2721"/>
    <w:bookmarkStart w:name="z2824" w:id="2722"/>
    <w:p>
      <w:pPr>
        <w:spacing w:after="0"/>
        <w:ind w:left="0"/>
        <w:jc w:val="both"/>
      </w:pPr>
      <w:r>
        <w:rPr>
          <w:rFonts w:ascii="Times New Roman"/>
          <w:b w:val="false"/>
          <w:i w:val="false"/>
          <w:color w:val="000000"/>
          <w:sz w:val="28"/>
        </w:rPr>
        <w:t>
      195. Оценка готовой продукции охватывает все относящиеся к ней факторы, включая условия производства, результаты испытаний в процессе производства, обзор производственной документации (включая документацию по упаковке), соответствие требованиям спецификаций на готовую продукцию и проверку окончательной упаковки.</w:t>
      </w:r>
    </w:p>
    <w:bookmarkEnd w:id="2722"/>
    <w:bookmarkStart w:name="z2825" w:id="2723"/>
    <w:p>
      <w:pPr>
        <w:spacing w:after="0"/>
        <w:ind w:left="0"/>
        <w:jc w:val="both"/>
      </w:pPr>
      <w:r>
        <w:rPr>
          <w:rFonts w:ascii="Times New Roman"/>
          <w:b w:val="false"/>
          <w:i w:val="false"/>
          <w:color w:val="000000"/>
          <w:sz w:val="28"/>
        </w:rPr>
        <w:t>
      196. Персонал подразделения контроля качества имеет доступ в производственные зоны для осуществления отбора проб и при необходимости проведения расследования.</w:t>
      </w:r>
    </w:p>
    <w:bookmarkEnd w:id="2723"/>
    <w:bookmarkStart w:name="z2826" w:id="2724"/>
    <w:p>
      <w:pPr>
        <w:spacing w:after="0"/>
        <w:ind w:left="0"/>
        <w:jc w:val="left"/>
      </w:pPr>
      <w:r>
        <w:rPr>
          <w:rFonts w:ascii="Times New Roman"/>
          <w:b/>
          <w:i w:val="false"/>
          <w:color w:val="000000"/>
        </w:rPr>
        <w:t xml:space="preserve"> Параграф 2. Надлежащая лабораторная практика контроля качества</w:t>
      </w:r>
    </w:p>
    <w:bookmarkEnd w:id="2724"/>
    <w:bookmarkStart w:name="z2827" w:id="2725"/>
    <w:p>
      <w:pPr>
        <w:spacing w:after="0"/>
        <w:ind w:left="0"/>
        <w:jc w:val="both"/>
      </w:pPr>
      <w:r>
        <w:rPr>
          <w:rFonts w:ascii="Times New Roman"/>
          <w:b w:val="false"/>
          <w:i w:val="false"/>
          <w:color w:val="000000"/>
          <w:sz w:val="28"/>
        </w:rPr>
        <w:t>
      197. Помещения и оборудование контрольных лабораторий отвечает общим и специфическим требованиям, предъявляемым к зонам контроля качества, указанным в главе 3 части I настоящего Стандарта.</w:t>
      </w:r>
    </w:p>
    <w:bookmarkEnd w:id="2725"/>
    <w:bookmarkStart w:name="z2828" w:id="2726"/>
    <w:p>
      <w:pPr>
        <w:spacing w:after="0"/>
        <w:ind w:left="0"/>
        <w:jc w:val="both"/>
      </w:pPr>
      <w:r>
        <w:rPr>
          <w:rFonts w:ascii="Times New Roman"/>
          <w:b w:val="false"/>
          <w:i w:val="false"/>
          <w:color w:val="000000"/>
          <w:sz w:val="28"/>
        </w:rPr>
        <w:t>
      Для предотвращения возможности случайной перекрестной контаминации лабораторное оборудование не перемещается между зонами с высокой степенью риска на рутинной основе.</w:t>
      </w:r>
    </w:p>
    <w:bookmarkEnd w:id="2726"/>
    <w:bookmarkStart w:name="z2829" w:id="2727"/>
    <w:p>
      <w:pPr>
        <w:spacing w:after="0"/>
        <w:ind w:left="0"/>
        <w:jc w:val="both"/>
      </w:pPr>
      <w:r>
        <w:rPr>
          <w:rFonts w:ascii="Times New Roman"/>
          <w:b w:val="false"/>
          <w:i w:val="false"/>
          <w:color w:val="000000"/>
          <w:sz w:val="28"/>
        </w:rPr>
        <w:t>
      В частности, микробиологическая лаборатория организуется таким образом, чтобы свести к минимуму риск перекрестного загрязнения.</w:t>
      </w:r>
    </w:p>
    <w:bookmarkEnd w:id="2727"/>
    <w:bookmarkStart w:name="z2830" w:id="2728"/>
    <w:p>
      <w:pPr>
        <w:spacing w:after="0"/>
        <w:ind w:left="0"/>
        <w:jc w:val="both"/>
      </w:pPr>
      <w:r>
        <w:rPr>
          <w:rFonts w:ascii="Times New Roman"/>
          <w:b w:val="false"/>
          <w:i w:val="false"/>
          <w:color w:val="000000"/>
          <w:sz w:val="28"/>
        </w:rPr>
        <w:t>
      198. Персонал, помещения и оборудование контрольных лабораторий соответствуют задачам, обусловленным характером и объемом производственных операций. В ряде случаев использование внешних лабораторий при условии выполнения ими требований, указанных в главе 7 части I настоящего Стандарта, и внесения соответствующих записей в документы по контролю качества.</w:t>
      </w:r>
    </w:p>
    <w:bookmarkEnd w:id="2728"/>
    <w:bookmarkStart w:name="z2831" w:id="2729"/>
    <w:p>
      <w:pPr>
        <w:spacing w:after="0"/>
        <w:ind w:left="0"/>
        <w:jc w:val="left"/>
      </w:pPr>
      <w:r>
        <w:rPr>
          <w:rFonts w:ascii="Times New Roman"/>
          <w:b/>
          <w:i w:val="false"/>
          <w:color w:val="000000"/>
        </w:rPr>
        <w:t xml:space="preserve"> Параграф 3. Документация</w:t>
      </w:r>
    </w:p>
    <w:bookmarkEnd w:id="2729"/>
    <w:bookmarkStart w:name="z2832" w:id="2730"/>
    <w:p>
      <w:pPr>
        <w:spacing w:after="0"/>
        <w:ind w:left="0"/>
        <w:jc w:val="both"/>
      </w:pPr>
      <w:r>
        <w:rPr>
          <w:rFonts w:ascii="Times New Roman"/>
          <w:b w:val="false"/>
          <w:i w:val="false"/>
          <w:color w:val="000000"/>
          <w:sz w:val="28"/>
        </w:rPr>
        <w:t>
      199. Документация лабораторий соответствует требованиям, указанным в главе 4 части I настоящего Стандарта. Основная часть этой документации относится к контролю качества.</w:t>
      </w:r>
    </w:p>
    <w:bookmarkEnd w:id="2730"/>
    <w:bookmarkStart w:name="z2833" w:id="2731"/>
    <w:p>
      <w:pPr>
        <w:spacing w:after="0"/>
        <w:ind w:left="0"/>
        <w:jc w:val="both"/>
      </w:pPr>
      <w:r>
        <w:rPr>
          <w:rFonts w:ascii="Times New Roman"/>
          <w:b w:val="false"/>
          <w:i w:val="false"/>
          <w:color w:val="000000"/>
          <w:sz w:val="28"/>
        </w:rPr>
        <w:t>
      подразделении контроля качества доступна следующая документация:</w:t>
      </w:r>
    </w:p>
    <w:bookmarkEnd w:id="2731"/>
    <w:bookmarkStart w:name="z2834" w:id="2732"/>
    <w:p>
      <w:pPr>
        <w:spacing w:after="0"/>
        <w:ind w:left="0"/>
        <w:jc w:val="both"/>
      </w:pPr>
      <w:r>
        <w:rPr>
          <w:rFonts w:ascii="Times New Roman"/>
          <w:b w:val="false"/>
          <w:i w:val="false"/>
          <w:color w:val="000000"/>
          <w:sz w:val="28"/>
        </w:rPr>
        <w:t>
      1) спецификации;</w:t>
      </w:r>
    </w:p>
    <w:bookmarkEnd w:id="2732"/>
    <w:bookmarkStart w:name="z2835" w:id="2733"/>
    <w:p>
      <w:pPr>
        <w:spacing w:after="0"/>
        <w:ind w:left="0"/>
        <w:jc w:val="both"/>
      </w:pPr>
      <w:r>
        <w:rPr>
          <w:rFonts w:ascii="Times New Roman"/>
          <w:b w:val="false"/>
          <w:i w:val="false"/>
          <w:color w:val="000000"/>
          <w:sz w:val="28"/>
        </w:rPr>
        <w:t>
      2) процедуры, описывающие отбор проб, проведение испытаний, записи (в том числе аналитические рабочие листы и (или) лабораторные журналы), регистрацию и проверку;</w:t>
      </w:r>
    </w:p>
    <w:bookmarkEnd w:id="2733"/>
    <w:bookmarkStart w:name="z2836" w:id="2734"/>
    <w:p>
      <w:pPr>
        <w:spacing w:after="0"/>
        <w:ind w:left="0"/>
        <w:jc w:val="both"/>
      </w:pPr>
      <w:r>
        <w:rPr>
          <w:rFonts w:ascii="Times New Roman"/>
          <w:b w:val="false"/>
          <w:i w:val="false"/>
          <w:color w:val="000000"/>
          <w:sz w:val="28"/>
        </w:rPr>
        <w:t>
      3) процедуры и записи калибровки и квалификации измерительных приборов и технического обслуживания оборудования;</w:t>
      </w:r>
    </w:p>
    <w:bookmarkEnd w:id="2734"/>
    <w:bookmarkStart w:name="z2837" w:id="2735"/>
    <w:p>
      <w:pPr>
        <w:spacing w:after="0"/>
        <w:ind w:left="0"/>
        <w:jc w:val="both"/>
      </w:pPr>
      <w:r>
        <w:rPr>
          <w:rFonts w:ascii="Times New Roman"/>
          <w:b w:val="false"/>
          <w:i w:val="false"/>
          <w:color w:val="000000"/>
          <w:sz w:val="28"/>
        </w:rPr>
        <w:t>
      4) порядок расследования результатов, имеющих отклонения от спецификаций и выходящих за пределы тенденций (трендов);</w:t>
      </w:r>
    </w:p>
    <w:bookmarkEnd w:id="2735"/>
    <w:bookmarkStart w:name="z2838" w:id="2736"/>
    <w:p>
      <w:pPr>
        <w:spacing w:after="0"/>
        <w:ind w:left="0"/>
        <w:jc w:val="both"/>
      </w:pPr>
      <w:r>
        <w:rPr>
          <w:rFonts w:ascii="Times New Roman"/>
          <w:b w:val="false"/>
          <w:i w:val="false"/>
          <w:color w:val="000000"/>
          <w:sz w:val="28"/>
        </w:rPr>
        <w:t>
      5) аналитические отчеты (или) сертификаты анализа или другие документы, подтверждающие качество;</w:t>
      </w:r>
    </w:p>
    <w:bookmarkEnd w:id="2736"/>
    <w:bookmarkStart w:name="z2839" w:id="2737"/>
    <w:p>
      <w:pPr>
        <w:spacing w:after="0"/>
        <w:ind w:left="0"/>
        <w:jc w:val="both"/>
      </w:pPr>
      <w:r>
        <w:rPr>
          <w:rFonts w:ascii="Times New Roman"/>
          <w:b w:val="false"/>
          <w:i w:val="false"/>
          <w:color w:val="000000"/>
          <w:sz w:val="28"/>
        </w:rPr>
        <w:t>
      6) данные мониторинга производственной среды (воздух, вода, другие технологические среды), где они требуются;</w:t>
      </w:r>
    </w:p>
    <w:bookmarkEnd w:id="2737"/>
    <w:bookmarkStart w:name="z2840" w:id="2738"/>
    <w:p>
      <w:pPr>
        <w:spacing w:after="0"/>
        <w:ind w:left="0"/>
        <w:jc w:val="both"/>
      </w:pPr>
      <w:r>
        <w:rPr>
          <w:rFonts w:ascii="Times New Roman"/>
          <w:b w:val="false"/>
          <w:i w:val="false"/>
          <w:color w:val="000000"/>
          <w:sz w:val="28"/>
        </w:rPr>
        <w:t>
      7) записи по валидации методик испытаний, где применимо.</w:t>
      </w:r>
    </w:p>
    <w:bookmarkEnd w:id="2738"/>
    <w:bookmarkStart w:name="z2841" w:id="2739"/>
    <w:p>
      <w:pPr>
        <w:spacing w:after="0"/>
        <w:ind w:left="0"/>
        <w:jc w:val="both"/>
      </w:pPr>
      <w:r>
        <w:rPr>
          <w:rFonts w:ascii="Times New Roman"/>
          <w:b w:val="false"/>
          <w:i w:val="false"/>
          <w:color w:val="000000"/>
          <w:sz w:val="28"/>
        </w:rPr>
        <w:t>
      200. Любую документацию по контролю качества, связанную с досье на серию лекарственного средства, хранят в соответствии с требованиями к сохранению документации серии, предусмотренными главой 4 части I настоящего Стандарта.</w:t>
      </w:r>
    </w:p>
    <w:bookmarkEnd w:id="2739"/>
    <w:bookmarkStart w:name="z2842" w:id="2740"/>
    <w:p>
      <w:pPr>
        <w:spacing w:after="0"/>
        <w:ind w:left="0"/>
        <w:jc w:val="both"/>
      </w:pPr>
      <w:r>
        <w:rPr>
          <w:rFonts w:ascii="Times New Roman"/>
          <w:b w:val="false"/>
          <w:i w:val="false"/>
          <w:color w:val="000000"/>
          <w:sz w:val="28"/>
        </w:rPr>
        <w:t>
      201. Для некоторых видов данных (результатов испытаний, выходов, контроля производственной среды и др.) записи ведутся способом, позволяющим проводить оценку существующих тенденций (трендов). Любые данные с отклонениями от требований спецификации, выходящие за пределы тенденций (трендов), рассматриваются и направляются для проведения расследований.</w:t>
      </w:r>
    </w:p>
    <w:bookmarkEnd w:id="2740"/>
    <w:bookmarkStart w:name="z2843" w:id="2741"/>
    <w:p>
      <w:pPr>
        <w:spacing w:after="0"/>
        <w:ind w:left="0"/>
        <w:jc w:val="both"/>
      </w:pPr>
      <w:r>
        <w:rPr>
          <w:rFonts w:ascii="Times New Roman"/>
          <w:b w:val="false"/>
          <w:i w:val="false"/>
          <w:color w:val="000000"/>
          <w:sz w:val="28"/>
        </w:rPr>
        <w:t>
      202. В дополнение к информации, являющейся частью документации серии, сохраняются и доступны другие исходные данные, зафиксированные в таких документах, как лабораторные журналы и (или) записи.</w:t>
      </w:r>
    </w:p>
    <w:bookmarkEnd w:id="2741"/>
    <w:bookmarkStart w:name="z2844" w:id="2742"/>
    <w:p>
      <w:pPr>
        <w:spacing w:after="0"/>
        <w:ind w:left="0"/>
        <w:jc w:val="left"/>
      </w:pPr>
      <w:r>
        <w:rPr>
          <w:rFonts w:ascii="Times New Roman"/>
          <w:b/>
          <w:i w:val="false"/>
          <w:color w:val="000000"/>
        </w:rPr>
        <w:t xml:space="preserve"> Параграф 4. Отбор проб</w:t>
      </w:r>
    </w:p>
    <w:bookmarkEnd w:id="2742"/>
    <w:bookmarkStart w:name="z2845" w:id="2743"/>
    <w:p>
      <w:pPr>
        <w:spacing w:after="0"/>
        <w:ind w:left="0"/>
        <w:jc w:val="both"/>
      </w:pPr>
      <w:r>
        <w:rPr>
          <w:rFonts w:ascii="Times New Roman"/>
          <w:b w:val="false"/>
          <w:i w:val="false"/>
          <w:color w:val="000000"/>
          <w:sz w:val="28"/>
        </w:rPr>
        <w:t>
      203. Отбор проб осуществляют и документально оформлять в соответствии с документированными процедурами, которые определяют:</w:t>
      </w:r>
    </w:p>
    <w:bookmarkEnd w:id="2743"/>
    <w:bookmarkStart w:name="z2846" w:id="2744"/>
    <w:p>
      <w:pPr>
        <w:spacing w:after="0"/>
        <w:ind w:left="0"/>
        <w:jc w:val="both"/>
      </w:pPr>
      <w:r>
        <w:rPr>
          <w:rFonts w:ascii="Times New Roman"/>
          <w:b w:val="false"/>
          <w:i w:val="false"/>
          <w:color w:val="000000"/>
          <w:sz w:val="28"/>
        </w:rPr>
        <w:t>
      1) метод отбора проб;</w:t>
      </w:r>
    </w:p>
    <w:bookmarkEnd w:id="2744"/>
    <w:bookmarkStart w:name="z2847" w:id="2745"/>
    <w:p>
      <w:pPr>
        <w:spacing w:after="0"/>
        <w:ind w:left="0"/>
        <w:jc w:val="both"/>
      </w:pPr>
      <w:r>
        <w:rPr>
          <w:rFonts w:ascii="Times New Roman"/>
          <w:b w:val="false"/>
          <w:i w:val="false"/>
          <w:color w:val="000000"/>
          <w:sz w:val="28"/>
        </w:rPr>
        <w:t>
      2) используемое оборудование;</w:t>
      </w:r>
    </w:p>
    <w:bookmarkEnd w:id="2745"/>
    <w:bookmarkStart w:name="z2848" w:id="2746"/>
    <w:p>
      <w:pPr>
        <w:spacing w:after="0"/>
        <w:ind w:left="0"/>
        <w:jc w:val="both"/>
      </w:pPr>
      <w:r>
        <w:rPr>
          <w:rFonts w:ascii="Times New Roman"/>
          <w:b w:val="false"/>
          <w:i w:val="false"/>
          <w:color w:val="000000"/>
          <w:sz w:val="28"/>
        </w:rPr>
        <w:t>
      3) количество проб, которое отбирается;</w:t>
      </w:r>
    </w:p>
    <w:bookmarkEnd w:id="2746"/>
    <w:bookmarkStart w:name="z2849" w:id="2747"/>
    <w:p>
      <w:pPr>
        <w:spacing w:after="0"/>
        <w:ind w:left="0"/>
        <w:jc w:val="both"/>
      </w:pPr>
      <w:r>
        <w:rPr>
          <w:rFonts w:ascii="Times New Roman"/>
          <w:b w:val="false"/>
          <w:i w:val="false"/>
          <w:color w:val="000000"/>
          <w:sz w:val="28"/>
        </w:rPr>
        <w:t>
      4) инструкции по любому требуемому разделению пробы;</w:t>
      </w:r>
    </w:p>
    <w:bookmarkEnd w:id="2747"/>
    <w:bookmarkStart w:name="z2850" w:id="2748"/>
    <w:p>
      <w:pPr>
        <w:spacing w:after="0"/>
        <w:ind w:left="0"/>
        <w:jc w:val="both"/>
      </w:pPr>
      <w:r>
        <w:rPr>
          <w:rFonts w:ascii="Times New Roman"/>
          <w:b w:val="false"/>
          <w:i w:val="false"/>
          <w:color w:val="000000"/>
          <w:sz w:val="28"/>
        </w:rPr>
        <w:t>
      5) тип и состояние контейнера, используемого для проб;</w:t>
      </w:r>
    </w:p>
    <w:bookmarkEnd w:id="2748"/>
    <w:bookmarkStart w:name="z2851" w:id="2749"/>
    <w:p>
      <w:pPr>
        <w:spacing w:after="0"/>
        <w:ind w:left="0"/>
        <w:jc w:val="both"/>
      </w:pPr>
      <w:r>
        <w:rPr>
          <w:rFonts w:ascii="Times New Roman"/>
          <w:b w:val="false"/>
          <w:i w:val="false"/>
          <w:color w:val="000000"/>
          <w:sz w:val="28"/>
        </w:rPr>
        <w:t>
      6) идентификацию контейнеров с отобранными пробами;</w:t>
      </w:r>
    </w:p>
    <w:bookmarkEnd w:id="2749"/>
    <w:bookmarkStart w:name="z2852" w:id="2750"/>
    <w:p>
      <w:pPr>
        <w:spacing w:after="0"/>
        <w:ind w:left="0"/>
        <w:jc w:val="both"/>
      </w:pPr>
      <w:r>
        <w:rPr>
          <w:rFonts w:ascii="Times New Roman"/>
          <w:b w:val="false"/>
          <w:i w:val="false"/>
          <w:color w:val="000000"/>
          <w:sz w:val="28"/>
        </w:rPr>
        <w:t>
      7) любые подлежащие соблюдению особые меры предосторожности, особенно при отборе проб стерильных или вредных веществ; условия хранения;</w:t>
      </w:r>
    </w:p>
    <w:bookmarkEnd w:id="2750"/>
    <w:bookmarkStart w:name="z2853" w:id="2751"/>
    <w:p>
      <w:pPr>
        <w:spacing w:after="0"/>
        <w:ind w:left="0"/>
        <w:jc w:val="both"/>
      </w:pPr>
      <w:r>
        <w:rPr>
          <w:rFonts w:ascii="Times New Roman"/>
          <w:b w:val="false"/>
          <w:i w:val="false"/>
          <w:color w:val="000000"/>
          <w:sz w:val="28"/>
        </w:rPr>
        <w:t>
      8) инструкции по очистке и хранению оборудования для отбора проб.</w:t>
      </w:r>
    </w:p>
    <w:bookmarkEnd w:id="2751"/>
    <w:bookmarkStart w:name="z2854" w:id="2752"/>
    <w:p>
      <w:pPr>
        <w:spacing w:after="0"/>
        <w:ind w:left="0"/>
        <w:jc w:val="both"/>
      </w:pPr>
      <w:r>
        <w:rPr>
          <w:rFonts w:ascii="Times New Roman"/>
          <w:b w:val="false"/>
          <w:i w:val="false"/>
          <w:color w:val="000000"/>
          <w:sz w:val="28"/>
        </w:rPr>
        <w:t>
      204. Переданные для испытаний образцы репрезентативны для серии материала или продукции, из которой они отобраны. Могут быть также отобраны другие пробы для контроля наиболее важных этапов процесса (например, его начала или окончания). Используемый план отбора проб надлежащим образом обоснован и базироваться на принципах управления рисками.</w:t>
      </w:r>
    </w:p>
    <w:bookmarkEnd w:id="2752"/>
    <w:bookmarkStart w:name="z2855" w:id="2753"/>
    <w:p>
      <w:pPr>
        <w:spacing w:after="0"/>
        <w:ind w:left="0"/>
        <w:jc w:val="both"/>
      </w:pPr>
      <w:r>
        <w:rPr>
          <w:rFonts w:ascii="Times New Roman"/>
          <w:b w:val="false"/>
          <w:i w:val="false"/>
          <w:color w:val="000000"/>
          <w:sz w:val="28"/>
        </w:rPr>
        <w:t>
      205. Контейнеры с образцами имеют этикетку указанием их содержимого (номер серии), дату отбора проб, а также обозначение тарных мест, из которых были отобраны образцы. Работа с ними ведется таким образом, чтобы свести к минимуму риск перепутывания и защитить образцы от неблагоприятных условий хранения.</w:t>
      </w:r>
    </w:p>
    <w:bookmarkEnd w:id="2753"/>
    <w:bookmarkStart w:name="z2856" w:id="2754"/>
    <w:p>
      <w:pPr>
        <w:spacing w:after="0"/>
        <w:ind w:left="0"/>
        <w:jc w:val="both"/>
      </w:pPr>
      <w:r>
        <w:rPr>
          <w:rFonts w:ascii="Times New Roman"/>
          <w:b w:val="false"/>
          <w:i w:val="false"/>
          <w:color w:val="000000"/>
          <w:sz w:val="28"/>
        </w:rPr>
        <w:t>
      206. Дополнительные требования в отношении контрольных и архивных образцов приведены в приложении № 19 настоящего Стандарта.</w:t>
      </w:r>
    </w:p>
    <w:bookmarkEnd w:id="2754"/>
    <w:bookmarkStart w:name="z2857" w:id="2755"/>
    <w:p>
      <w:pPr>
        <w:spacing w:after="0"/>
        <w:ind w:left="0"/>
        <w:jc w:val="left"/>
      </w:pPr>
      <w:r>
        <w:rPr>
          <w:rFonts w:ascii="Times New Roman"/>
          <w:b/>
          <w:i w:val="false"/>
          <w:color w:val="000000"/>
        </w:rPr>
        <w:t xml:space="preserve"> Параграф 5. Проведение испытаний</w:t>
      </w:r>
    </w:p>
    <w:bookmarkEnd w:id="2755"/>
    <w:bookmarkStart w:name="z2858" w:id="2756"/>
    <w:p>
      <w:pPr>
        <w:spacing w:after="0"/>
        <w:ind w:left="0"/>
        <w:jc w:val="both"/>
      </w:pPr>
      <w:r>
        <w:rPr>
          <w:rFonts w:ascii="Times New Roman"/>
          <w:b w:val="false"/>
          <w:i w:val="false"/>
          <w:color w:val="000000"/>
          <w:sz w:val="28"/>
        </w:rPr>
        <w:t>
      207. Методики испытаний валидированы. Лаборатория, которая использует методику испытаний и которая не выполняла ее первоначальную валидацию, верифицирует пригодность методики испытаний. Все операции по проведению испытаний, описанных в соответствующих документах регистрационного досье, проводят в соответствии с утвержденными методиками.</w:t>
      </w:r>
    </w:p>
    <w:bookmarkEnd w:id="2756"/>
    <w:bookmarkStart w:name="z2859" w:id="2757"/>
    <w:p>
      <w:pPr>
        <w:spacing w:after="0"/>
        <w:ind w:left="0"/>
        <w:jc w:val="both"/>
      </w:pPr>
      <w:r>
        <w:rPr>
          <w:rFonts w:ascii="Times New Roman"/>
          <w:b w:val="false"/>
          <w:i w:val="false"/>
          <w:color w:val="000000"/>
          <w:sz w:val="28"/>
        </w:rPr>
        <w:t>
      208. Полученные результаты документированы. Результаты параметров, определенных в качестве показателей качества или как критические, и все вычисления проверяются на согласованность друг с другом и оценивать для них тенденции (тренды). Все расчеты тщательно проверяют.</w:t>
      </w:r>
    </w:p>
    <w:bookmarkEnd w:id="2757"/>
    <w:bookmarkStart w:name="z2860" w:id="2758"/>
    <w:p>
      <w:pPr>
        <w:spacing w:after="0"/>
        <w:ind w:left="0"/>
        <w:jc w:val="both"/>
      </w:pPr>
      <w:r>
        <w:rPr>
          <w:rFonts w:ascii="Times New Roman"/>
          <w:b w:val="false"/>
          <w:i w:val="false"/>
          <w:color w:val="000000"/>
          <w:sz w:val="28"/>
        </w:rPr>
        <w:t>
      209. Проведенные испытания документируются.</w:t>
      </w:r>
    </w:p>
    <w:bookmarkEnd w:id="2758"/>
    <w:bookmarkStart w:name="z2861" w:id="2759"/>
    <w:p>
      <w:pPr>
        <w:spacing w:after="0"/>
        <w:ind w:left="0"/>
        <w:jc w:val="both"/>
      </w:pPr>
      <w:r>
        <w:rPr>
          <w:rFonts w:ascii="Times New Roman"/>
          <w:b w:val="false"/>
          <w:i w:val="false"/>
          <w:color w:val="000000"/>
          <w:sz w:val="28"/>
        </w:rPr>
        <w:t>
      Записи включают в себя следующие данные:</w:t>
      </w:r>
    </w:p>
    <w:bookmarkEnd w:id="2759"/>
    <w:bookmarkStart w:name="z2862" w:id="2760"/>
    <w:p>
      <w:pPr>
        <w:spacing w:after="0"/>
        <w:ind w:left="0"/>
        <w:jc w:val="both"/>
      </w:pPr>
      <w:r>
        <w:rPr>
          <w:rFonts w:ascii="Times New Roman"/>
          <w:b w:val="false"/>
          <w:i w:val="false"/>
          <w:color w:val="000000"/>
          <w:sz w:val="28"/>
        </w:rPr>
        <w:t>
      1) наименование исходных материалов или продукции и, где применимо, лекарственной формы;</w:t>
      </w:r>
    </w:p>
    <w:bookmarkEnd w:id="2760"/>
    <w:bookmarkStart w:name="z2863" w:id="2761"/>
    <w:p>
      <w:pPr>
        <w:spacing w:after="0"/>
        <w:ind w:left="0"/>
        <w:jc w:val="both"/>
      </w:pPr>
      <w:r>
        <w:rPr>
          <w:rFonts w:ascii="Times New Roman"/>
          <w:b w:val="false"/>
          <w:i w:val="false"/>
          <w:color w:val="000000"/>
          <w:sz w:val="28"/>
        </w:rPr>
        <w:t>
      2) номер серии и, где применимо, наименование производителя и (или) поставщика;</w:t>
      </w:r>
    </w:p>
    <w:bookmarkEnd w:id="2761"/>
    <w:bookmarkStart w:name="z2864" w:id="2762"/>
    <w:p>
      <w:pPr>
        <w:spacing w:after="0"/>
        <w:ind w:left="0"/>
        <w:jc w:val="both"/>
      </w:pPr>
      <w:r>
        <w:rPr>
          <w:rFonts w:ascii="Times New Roman"/>
          <w:b w:val="false"/>
          <w:i w:val="false"/>
          <w:color w:val="000000"/>
          <w:sz w:val="28"/>
        </w:rPr>
        <w:t>
      3) ссылки на соответствующие спецификации и методики проведения испытаний;</w:t>
      </w:r>
    </w:p>
    <w:bookmarkEnd w:id="2762"/>
    <w:bookmarkStart w:name="z2865" w:id="2763"/>
    <w:p>
      <w:pPr>
        <w:spacing w:after="0"/>
        <w:ind w:left="0"/>
        <w:jc w:val="both"/>
      </w:pPr>
      <w:r>
        <w:rPr>
          <w:rFonts w:ascii="Times New Roman"/>
          <w:b w:val="false"/>
          <w:i w:val="false"/>
          <w:color w:val="000000"/>
          <w:sz w:val="28"/>
        </w:rPr>
        <w:t>
      4) результаты испытания, включая наблюдения и расчеты, и ссылки на все сертификаты анализа;</w:t>
      </w:r>
    </w:p>
    <w:bookmarkEnd w:id="2763"/>
    <w:bookmarkStart w:name="z2866" w:id="2764"/>
    <w:p>
      <w:pPr>
        <w:spacing w:after="0"/>
        <w:ind w:left="0"/>
        <w:jc w:val="both"/>
      </w:pPr>
      <w:r>
        <w:rPr>
          <w:rFonts w:ascii="Times New Roman"/>
          <w:b w:val="false"/>
          <w:i w:val="false"/>
          <w:color w:val="000000"/>
          <w:sz w:val="28"/>
        </w:rPr>
        <w:t>
      5) даты проведения испытаний;</w:t>
      </w:r>
    </w:p>
    <w:bookmarkEnd w:id="2764"/>
    <w:bookmarkStart w:name="z2867" w:id="2765"/>
    <w:p>
      <w:pPr>
        <w:spacing w:after="0"/>
        <w:ind w:left="0"/>
        <w:jc w:val="both"/>
      </w:pPr>
      <w:r>
        <w:rPr>
          <w:rFonts w:ascii="Times New Roman"/>
          <w:b w:val="false"/>
          <w:i w:val="false"/>
          <w:color w:val="000000"/>
          <w:sz w:val="28"/>
        </w:rPr>
        <w:t>
      6) фамилии и инициалы лиц, проводивших испытания;</w:t>
      </w:r>
    </w:p>
    <w:bookmarkEnd w:id="2765"/>
    <w:bookmarkStart w:name="z2868" w:id="2766"/>
    <w:p>
      <w:pPr>
        <w:spacing w:after="0"/>
        <w:ind w:left="0"/>
        <w:jc w:val="both"/>
      </w:pPr>
      <w:r>
        <w:rPr>
          <w:rFonts w:ascii="Times New Roman"/>
          <w:b w:val="false"/>
          <w:i w:val="false"/>
          <w:color w:val="000000"/>
          <w:sz w:val="28"/>
        </w:rPr>
        <w:t>
      7) фамилии и инициалы лиц, проверивших проведение испытаний и расчетов (где применимо);</w:t>
      </w:r>
    </w:p>
    <w:bookmarkEnd w:id="2766"/>
    <w:bookmarkStart w:name="z2869" w:id="2767"/>
    <w:p>
      <w:pPr>
        <w:spacing w:after="0"/>
        <w:ind w:left="0"/>
        <w:jc w:val="both"/>
      </w:pPr>
      <w:r>
        <w:rPr>
          <w:rFonts w:ascii="Times New Roman"/>
          <w:b w:val="false"/>
          <w:i w:val="false"/>
          <w:color w:val="000000"/>
          <w:sz w:val="28"/>
        </w:rPr>
        <w:t>
      8) однозначное заключение о выдаче разрешения или отклонении продукции (или решение о другом статусе), дата и подпись ответственного лица;</w:t>
      </w:r>
    </w:p>
    <w:bookmarkEnd w:id="2767"/>
    <w:bookmarkStart w:name="z2870" w:id="2768"/>
    <w:p>
      <w:pPr>
        <w:spacing w:after="0"/>
        <w:ind w:left="0"/>
        <w:jc w:val="both"/>
      </w:pPr>
      <w:r>
        <w:rPr>
          <w:rFonts w:ascii="Times New Roman"/>
          <w:b w:val="false"/>
          <w:i w:val="false"/>
          <w:color w:val="000000"/>
          <w:sz w:val="28"/>
        </w:rPr>
        <w:t>
      9) ссылки на использованное оборудование.</w:t>
      </w:r>
    </w:p>
    <w:bookmarkEnd w:id="2768"/>
    <w:bookmarkStart w:name="z2871" w:id="2769"/>
    <w:p>
      <w:pPr>
        <w:spacing w:after="0"/>
        <w:ind w:left="0"/>
        <w:jc w:val="both"/>
      </w:pPr>
      <w:r>
        <w:rPr>
          <w:rFonts w:ascii="Times New Roman"/>
          <w:b w:val="false"/>
          <w:i w:val="false"/>
          <w:color w:val="000000"/>
          <w:sz w:val="28"/>
        </w:rPr>
        <w:t>
      210. Весь контроль в процессе производства, включая и тот, который выполняются в производственной зоне производственным персоналом, осуществляются в соответствии с методиками, утвержденными подразделением контроля качества, а его результаты - документально оформляются.</w:t>
      </w:r>
    </w:p>
    <w:bookmarkEnd w:id="2769"/>
    <w:bookmarkStart w:name="z2872" w:id="2770"/>
    <w:p>
      <w:pPr>
        <w:spacing w:after="0"/>
        <w:ind w:left="0"/>
        <w:jc w:val="both"/>
      </w:pPr>
      <w:r>
        <w:rPr>
          <w:rFonts w:ascii="Times New Roman"/>
          <w:b w:val="false"/>
          <w:i w:val="false"/>
          <w:color w:val="000000"/>
          <w:sz w:val="28"/>
        </w:rPr>
        <w:t>
      211. Особое внимание уделяют качеству лабораторных реактивов, мерной посуды, титрованных растворов, стандартных образцов и питательных сред. Их готовят и контролируют в соответствии с документированными процедурами. Уровень контроля соразмерен с их назначением и доступными данными о стабильности.</w:t>
      </w:r>
    </w:p>
    <w:bookmarkEnd w:id="2770"/>
    <w:bookmarkStart w:name="z2873" w:id="2771"/>
    <w:p>
      <w:pPr>
        <w:spacing w:after="0"/>
        <w:ind w:left="0"/>
        <w:jc w:val="both"/>
      </w:pPr>
      <w:r>
        <w:rPr>
          <w:rFonts w:ascii="Times New Roman"/>
          <w:b w:val="false"/>
          <w:i w:val="false"/>
          <w:color w:val="000000"/>
          <w:sz w:val="28"/>
        </w:rPr>
        <w:t>
      212. Стандартные образцы признаются пригодными для использования по назначению. Их квалификация и сертификация в качестве таковых однозначно устанавливается и документируется. В качестве первичных стандартных образцов предпочтительно использование фармакопейных стандартных образцов из официально признанных источников (при их наличии), если иное не обосновано в полной мере (использование вторичных стандартных образцов разрешено, если была продемонстрирована и документирована их прослеживаемость до первичных стандартных образцов). Эти фармакопейные образцы используются в целях, описанных в соответствующих фармакопейных статьях (монографиях), если иное не разрешено уполномоченным органом.</w:t>
      </w:r>
    </w:p>
    <w:bookmarkEnd w:id="2771"/>
    <w:bookmarkStart w:name="z2874" w:id="2772"/>
    <w:p>
      <w:pPr>
        <w:spacing w:after="0"/>
        <w:ind w:left="0"/>
        <w:jc w:val="both"/>
      </w:pPr>
      <w:r>
        <w:rPr>
          <w:rFonts w:ascii="Times New Roman"/>
          <w:b w:val="false"/>
          <w:i w:val="false"/>
          <w:color w:val="000000"/>
          <w:sz w:val="28"/>
        </w:rPr>
        <w:t>
      213. Лабораторные реактивы, растворы, стандартные образцы и питательные среды, маркируются с указанием даты приготовления и, где применимо, вскрытия, и подписи исполнителя. На этикетках указываются сроки годности реактивов и питательных сред, а также особые условия их хранения. Для титрованных растворов указывают дату последнего установления титра и соответствующий последний действующий коэффициент поправки.</w:t>
      </w:r>
    </w:p>
    <w:bookmarkEnd w:id="2772"/>
    <w:bookmarkStart w:name="z2875" w:id="2773"/>
    <w:p>
      <w:pPr>
        <w:spacing w:after="0"/>
        <w:ind w:left="0"/>
        <w:jc w:val="both"/>
      </w:pPr>
      <w:r>
        <w:rPr>
          <w:rFonts w:ascii="Times New Roman"/>
          <w:b w:val="false"/>
          <w:i w:val="false"/>
          <w:color w:val="000000"/>
          <w:sz w:val="28"/>
        </w:rPr>
        <w:t>
      214. При необходимости на контейнере указывают дату получения каждого вещества, используемого для проведения испытаний (например, реактивов, растворов и стандартных образцов). Соблюдаются инструкции по их использованию и хранению. В определенных случаях после получения или перед использованием реактивов проводятся их испытания на идентичность и (или) иного испытания.</w:t>
      </w:r>
    </w:p>
    <w:bookmarkEnd w:id="2773"/>
    <w:bookmarkStart w:name="z2876" w:id="2774"/>
    <w:p>
      <w:pPr>
        <w:spacing w:after="0"/>
        <w:ind w:left="0"/>
        <w:jc w:val="both"/>
      </w:pPr>
      <w:r>
        <w:rPr>
          <w:rFonts w:ascii="Times New Roman"/>
          <w:b w:val="false"/>
          <w:i w:val="false"/>
          <w:color w:val="000000"/>
          <w:sz w:val="28"/>
        </w:rPr>
        <w:t>
      215. Питательные среды готовятся в соответствии с требованиями производителя среды, если иное научно не обосновано. Пригодность всех питательных сред проверяются перед их использованием.</w:t>
      </w:r>
    </w:p>
    <w:bookmarkEnd w:id="2774"/>
    <w:bookmarkStart w:name="z2877" w:id="2775"/>
    <w:p>
      <w:pPr>
        <w:spacing w:after="0"/>
        <w:ind w:left="0"/>
        <w:jc w:val="both"/>
      </w:pPr>
      <w:r>
        <w:rPr>
          <w:rFonts w:ascii="Times New Roman"/>
          <w:b w:val="false"/>
          <w:i w:val="false"/>
          <w:color w:val="000000"/>
          <w:sz w:val="28"/>
        </w:rPr>
        <w:t>
      216. Использованные микробиологические среды и штаммы подвергаются деконтаминации в соответствии со стандартной процедурой и утилизированы таким образом, чтобы предотвратить перекрестную контаминацию и сохранение остатков. Сроки хранения используемых микробиологических сред устанавливаются, документируются и научно обосновываются.</w:t>
      </w:r>
    </w:p>
    <w:bookmarkEnd w:id="2775"/>
    <w:bookmarkStart w:name="z2878" w:id="2776"/>
    <w:p>
      <w:pPr>
        <w:spacing w:after="0"/>
        <w:ind w:left="0"/>
        <w:jc w:val="both"/>
      </w:pPr>
      <w:r>
        <w:rPr>
          <w:rFonts w:ascii="Times New Roman"/>
          <w:b w:val="false"/>
          <w:i w:val="false"/>
          <w:color w:val="000000"/>
          <w:sz w:val="28"/>
        </w:rPr>
        <w:t>
      217. Животных, используемых для контроля компонентов, материалов или продукции, помещают в карантин перед работой ними. Животных содержат и контролируют таким образом, чтобы обеспечить их пригодность для запланированного использования. Животные идентифицируется. Ведутся соответствующие записи, отражающие историю их использования.</w:t>
      </w:r>
    </w:p>
    <w:bookmarkEnd w:id="2776"/>
    <w:bookmarkStart w:name="z2879" w:id="2777"/>
    <w:p>
      <w:pPr>
        <w:spacing w:after="0"/>
        <w:ind w:left="0"/>
        <w:jc w:val="left"/>
      </w:pPr>
      <w:r>
        <w:rPr>
          <w:rFonts w:ascii="Times New Roman"/>
          <w:b/>
          <w:i w:val="false"/>
          <w:color w:val="000000"/>
        </w:rPr>
        <w:t xml:space="preserve"> Параграф 6. Программа текущего испытания стабильности</w:t>
      </w:r>
    </w:p>
    <w:bookmarkEnd w:id="2777"/>
    <w:bookmarkStart w:name="z2880" w:id="2778"/>
    <w:p>
      <w:pPr>
        <w:spacing w:after="0"/>
        <w:ind w:left="0"/>
        <w:jc w:val="both"/>
      </w:pPr>
      <w:r>
        <w:rPr>
          <w:rFonts w:ascii="Times New Roman"/>
          <w:b w:val="false"/>
          <w:i w:val="false"/>
          <w:color w:val="000000"/>
          <w:sz w:val="28"/>
        </w:rPr>
        <w:t>
      218. После начала реализации зарегистрированного лекарственного средства проводят мониторинг стабильности лекарственного средства согласно действующей на постоянной основе программе, которая позволила бы выявить любую проблему (например, изменения уровней примесей или профиля растворения) со стабильностью продукции данного состава во вторичной (потребительской) упаковке.</w:t>
      </w:r>
    </w:p>
    <w:bookmarkEnd w:id="2778"/>
    <w:bookmarkStart w:name="z2881" w:id="2779"/>
    <w:p>
      <w:pPr>
        <w:spacing w:after="0"/>
        <w:ind w:left="0"/>
        <w:jc w:val="both"/>
      </w:pPr>
      <w:r>
        <w:rPr>
          <w:rFonts w:ascii="Times New Roman"/>
          <w:b w:val="false"/>
          <w:i w:val="false"/>
          <w:color w:val="000000"/>
          <w:sz w:val="28"/>
        </w:rPr>
        <w:t>
      219. Целями программы текущего изучения стабильности являются осуществление мониторинга продукта на протяжении всего срока его годности и определение того, что продукт остается (и можно ожидать, что останется) в пределах своих спецификаций при хранении в указанных в маркировке условиях.</w:t>
      </w:r>
    </w:p>
    <w:bookmarkEnd w:id="2779"/>
    <w:bookmarkStart w:name="z2882" w:id="2780"/>
    <w:p>
      <w:pPr>
        <w:spacing w:after="0"/>
        <w:ind w:left="0"/>
        <w:jc w:val="both"/>
      </w:pPr>
      <w:r>
        <w:rPr>
          <w:rFonts w:ascii="Times New Roman"/>
          <w:b w:val="false"/>
          <w:i w:val="false"/>
          <w:color w:val="000000"/>
          <w:sz w:val="28"/>
        </w:rPr>
        <w:t>
      220. Эта программа, главным образом, относится к лекарственному средству в упаковке, предназначенному для реализации, однако уделяют внимание и нерасфасованной продукции. Например, если нерасфасованную продукцию хранят длительное время перед упаковкой и (или) передачей с производственного участка на участок упаковки, оцениваются и изучаются влияние таких условий на стабильность упакованной продукции. Дополнительно обращают внимание на промежуточную продукцию, которая хранится и используется в течение длительного периода. Исследование стабильности восстановленного продукта (приготовленного перед применением) проводят при разработке лекарственного средства, текущий контроль стабильности такой продукции не требуется. Однако, где применимо, проводится контроль стабильности восстановленного продукта.</w:t>
      </w:r>
    </w:p>
    <w:bookmarkEnd w:id="2780"/>
    <w:bookmarkStart w:name="z2883" w:id="2781"/>
    <w:p>
      <w:pPr>
        <w:spacing w:after="0"/>
        <w:ind w:left="0"/>
        <w:jc w:val="both"/>
      </w:pPr>
      <w:r>
        <w:rPr>
          <w:rFonts w:ascii="Times New Roman"/>
          <w:b w:val="false"/>
          <w:i w:val="false"/>
          <w:color w:val="000000"/>
          <w:sz w:val="28"/>
        </w:rPr>
        <w:t>
      221. Программа текущего испытания стабильности излагается в письменном виде в соответствии с общими правилами, приведенными в главе 4 части I настоящего Стандарта, а результаты официально представлены в виде отчета. Оборудование, используемое для программы текущего испытания стабильности (в частности, климатические камеры), проходит квалификацию и обслуживаться в соответствии с общими правилами, указанными в главе 3 части I настоящего Стандарта и приложении № 15.</w:t>
      </w:r>
    </w:p>
    <w:bookmarkEnd w:id="2781"/>
    <w:bookmarkStart w:name="z2884" w:id="2782"/>
    <w:p>
      <w:pPr>
        <w:spacing w:after="0"/>
        <w:ind w:left="0"/>
        <w:jc w:val="both"/>
      </w:pPr>
      <w:r>
        <w:rPr>
          <w:rFonts w:ascii="Times New Roman"/>
          <w:b w:val="false"/>
          <w:i w:val="false"/>
          <w:color w:val="000000"/>
          <w:sz w:val="28"/>
        </w:rPr>
        <w:t>
      222. План и (или) протокол текущего испытания стабильности охватывает период до окончания срока годности и содержит следующие данные (но не ограничивается ими):</w:t>
      </w:r>
    </w:p>
    <w:bookmarkEnd w:id="2782"/>
    <w:bookmarkStart w:name="z2885" w:id="2783"/>
    <w:p>
      <w:pPr>
        <w:spacing w:after="0"/>
        <w:ind w:left="0"/>
        <w:jc w:val="both"/>
      </w:pPr>
      <w:r>
        <w:rPr>
          <w:rFonts w:ascii="Times New Roman"/>
          <w:b w:val="false"/>
          <w:i w:val="false"/>
          <w:color w:val="000000"/>
          <w:sz w:val="28"/>
        </w:rPr>
        <w:t>
      1) количество серии (серий) для различных дозировок и разных размеров серий, если это применимо;</w:t>
      </w:r>
    </w:p>
    <w:bookmarkEnd w:id="2783"/>
    <w:bookmarkStart w:name="z2886" w:id="2784"/>
    <w:p>
      <w:pPr>
        <w:spacing w:after="0"/>
        <w:ind w:left="0"/>
        <w:jc w:val="both"/>
      </w:pPr>
      <w:r>
        <w:rPr>
          <w:rFonts w:ascii="Times New Roman"/>
          <w:b w:val="false"/>
          <w:i w:val="false"/>
          <w:color w:val="000000"/>
          <w:sz w:val="28"/>
        </w:rPr>
        <w:t>
      2) соответствующие физические, химические, микробиологические и биологические методы испытаний;</w:t>
      </w:r>
    </w:p>
    <w:bookmarkEnd w:id="2784"/>
    <w:bookmarkStart w:name="z2887" w:id="2785"/>
    <w:p>
      <w:pPr>
        <w:spacing w:after="0"/>
        <w:ind w:left="0"/>
        <w:jc w:val="both"/>
      </w:pPr>
      <w:r>
        <w:rPr>
          <w:rFonts w:ascii="Times New Roman"/>
          <w:b w:val="false"/>
          <w:i w:val="false"/>
          <w:color w:val="000000"/>
          <w:sz w:val="28"/>
        </w:rPr>
        <w:t>
      3) критерии приемлемости;</w:t>
      </w:r>
    </w:p>
    <w:bookmarkEnd w:id="2785"/>
    <w:bookmarkStart w:name="z2888" w:id="2786"/>
    <w:p>
      <w:pPr>
        <w:spacing w:after="0"/>
        <w:ind w:left="0"/>
        <w:jc w:val="both"/>
      </w:pPr>
      <w:r>
        <w:rPr>
          <w:rFonts w:ascii="Times New Roman"/>
          <w:b w:val="false"/>
          <w:i w:val="false"/>
          <w:color w:val="000000"/>
          <w:sz w:val="28"/>
        </w:rPr>
        <w:t>
      4) ссылки на методики испытаний;</w:t>
      </w:r>
    </w:p>
    <w:bookmarkEnd w:id="2786"/>
    <w:bookmarkStart w:name="z2889" w:id="2787"/>
    <w:p>
      <w:pPr>
        <w:spacing w:after="0"/>
        <w:ind w:left="0"/>
        <w:jc w:val="both"/>
      </w:pPr>
      <w:r>
        <w:rPr>
          <w:rFonts w:ascii="Times New Roman"/>
          <w:b w:val="false"/>
          <w:i w:val="false"/>
          <w:color w:val="000000"/>
          <w:sz w:val="28"/>
        </w:rPr>
        <w:t>
      5) описание системы контейнера (укупорочный элемент);</w:t>
      </w:r>
    </w:p>
    <w:bookmarkEnd w:id="2787"/>
    <w:bookmarkStart w:name="z2890" w:id="2788"/>
    <w:p>
      <w:pPr>
        <w:spacing w:after="0"/>
        <w:ind w:left="0"/>
        <w:jc w:val="both"/>
      </w:pPr>
      <w:r>
        <w:rPr>
          <w:rFonts w:ascii="Times New Roman"/>
          <w:b w:val="false"/>
          <w:i w:val="false"/>
          <w:color w:val="000000"/>
          <w:sz w:val="28"/>
        </w:rPr>
        <w:t>
      6) частота испытаний (точки контроля во времени);</w:t>
      </w:r>
    </w:p>
    <w:bookmarkEnd w:id="2788"/>
    <w:bookmarkStart w:name="z2891" w:id="2789"/>
    <w:p>
      <w:pPr>
        <w:spacing w:after="0"/>
        <w:ind w:left="0"/>
        <w:jc w:val="both"/>
      </w:pPr>
      <w:r>
        <w:rPr>
          <w:rFonts w:ascii="Times New Roman"/>
          <w:b w:val="false"/>
          <w:i w:val="false"/>
          <w:color w:val="000000"/>
          <w:sz w:val="28"/>
        </w:rPr>
        <w:t>
      7) описание условий хранения;</w:t>
      </w:r>
    </w:p>
    <w:bookmarkEnd w:id="2789"/>
    <w:bookmarkStart w:name="z2892" w:id="2790"/>
    <w:p>
      <w:pPr>
        <w:spacing w:after="0"/>
        <w:ind w:left="0"/>
        <w:jc w:val="both"/>
      </w:pPr>
      <w:r>
        <w:rPr>
          <w:rFonts w:ascii="Times New Roman"/>
          <w:b w:val="false"/>
          <w:i w:val="false"/>
          <w:color w:val="000000"/>
          <w:sz w:val="28"/>
        </w:rPr>
        <w:t>
      8) другие необходимые параметры, специфические для данного лекарственного средства.</w:t>
      </w:r>
    </w:p>
    <w:bookmarkEnd w:id="2790"/>
    <w:bookmarkStart w:name="z2893" w:id="2791"/>
    <w:p>
      <w:pPr>
        <w:spacing w:after="0"/>
        <w:ind w:left="0"/>
        <w:jc w:val="both"/>
      </w:pPr>
      <w:r>
        <w:rPr>
          <w:rFonts w:ascii="Times New Roman"/>
          <w:b w:val="false"/>
          <w:i w:val="false"/>
          <w:color w:val="000000"/>
          <w:sz w:val="28"/>
        </w:rPr>
        <w:t>
      223. План и (или) протокол текущего испытания стабильности имеют отличия от плана первоначального долгосрочного испытания стабильности, представленного в регистрационном досье, при условии обоснования и документирования этого в плане.</w:t>
      </w:r>
    </w:p>
    <w:bookmarkEnd w:id="2791"/>
    <w:bookmarkStart w:name="z2894" w:id="2792"/>
    <w:p>
      <w:pPr>
        <w:spacing w:after="0"/>
        <w:ind w:left="0"/>
        <w:jc w:val="both"/>
      </w:pPr>
      <w:r>
        <w:rPr>
          <w:rFonts w:ascii="Times New Roman"/>
          <w:b w:val="false"/>
          <w:i w:val="false"/>
          <w:color w:val="000000"/>
          <w:sz w:val="28"/>
        </w:rPr>
        <w:t>
      224. Количество серий и частота испытаний обеспечивает необходимое количество данных, чтобы иметь возможность провести анализ тенденций. Если не обосновано иное, в программу испытания стабильности ежегодно включают как минимум одну серию произведенного лекарственного средства в каждой дозировке и в каждом виде первичной упаковки (исключением являются случаи, когда течение года не произведено ни одной серии). Если для текущего испытания стабильности лекарственных средств используют животных и не существует альтернативных валидированных методик, частоту испытаний можно устанавливать с учетом подхода, связанного с оценкой риска. При условии научного обоснования используются планы с применением брэкетинга и построения матриц.</w:t>
      </w:r>
    </w:p>
    <w:bookmarkEnd w:id="2792"/>
    <w:bookmarkStart w:name="z2895" w:id="2793"/>
    <w:p>
      <w:pPr>
        <w:spacing w:after="0"/>
        <w:ind w:left="0"/>
        <w:jc w:val="both"/>
      </w:pPr>
      <w:r>
        <w:rPr>
          <w:rFonts w:ascii="Times New Roman"/>
          <w:b w:val="false"/>
          <w:i w:val="false"/>
          <w:color w:val="000000"/>
          <w:sz w:val="28"/>
        </w:rPr>
        <w:t>
      225. В некоторых случаях в программу текущего испытания стабильности включают дополнительные серии. Например, текущее испытание стабильности осуществляют после любого значительного изменения или значительного отклонения в процессе производства или упаковывания. Для включения в программу принимаются во внимание любые операции по повторному использованию, переработке или регенерации.</w:t>
      </w:r>
    </w:p>
    <w:bookmarkEnd w:id="2793"/>
    <w:bookmarkStart w:name="z2896" w:id="2794"/>
    <w:p>
      <w:pPr>
        <w:spacing w:after="0"/>
        <w:ind w:left="0"/>
        <w:jc w:val="both"/>
      </w:pPr>
      <w:r>
        <w:rPr>
          <w:rFonts w:ascii="Times New Roman"/>
          <w:b w:val="false"/>
          <w:i w:val="false"/>
          <w:color w:val="000000"/>
          <w:sz w:val="28"/>
        </w:rPr>
        <w:t>
      226. Результаты текущего испытания стабильности доступны ключевому персоналу и, в частности, уполномоченному лицу (лицам). Если текущее изучение стабильности проводится на площадке, отличной от производственной площадки, на которой производится нерасфасованный продукт или готовая продукция, то между соответствующими сторонами заключается письменное соглашение. Результаты текущего испытания стабильности представляют на площадку производства для их обзора уполномоченным органом (организацией).</w:t>
      </w:r>
    </w:p>
    <w:bookmarkEnd w:id="2794"/>
    <w:bookmarkStart w:name="z2897" w:id="2795"/>
    <w:p>
      <w:pPr>
        <w:spacing w:after="0"/>
        <w:ind w:left="0"/>
        <w:jc w:val="both"/>
      </w:pPr>
      <w:r>
        <w:rPr>
          <w:rFonts w:ascii="Times New Roman"/>
          <w:b w:val="false"/>
          <w:i w:val="false"/>
          <w:color w:val="000000"/>
          <w:sz w:val="28"/>
        </w:rPr>
        <w:t>
      227. Результаты, выходящие за пределы спецификации, или существенные нетипичные тенденции (тренды) расследуется.</w:t>
      </w:r>
    </w:p>
    <w:bookmarkEnd w:id="2795"/>
    <w:bookmarkStart w:name="z2898" w:id="2796"/>
    <w:p>
      <w:pPr>
        <w:spacing w:after="0"/>
        <w:ind w:left="0"/>
        <w:jc w:val="both"/>
      </w:pPr>
      <w:r>
        <w:rPr>
          <w:rFonts w:ascii="Times New Roman"/>
          <w:b w:val="false"/>
          <w:i w:val="false"/>
          <w:color w:val="000000"/>
          <w:sz w:val="28"/>
        </w:rPr>
        <w:t>
      В любом подтвержденном результате, выходящем за пределы спецификации, или существенной негативной тенденции (тренда) сообщают соответствующим уполномоченным органам или организациям. Рассматривают возможное влияние на серии, выпущенные на рынок, в соответствии с главой 8 части I настоящего Стандарта и проконсультироваться с соответствующим уполномоченным органам.</w:t>
      </w:r>
    </w:p>
    <w:bookmarkEnd w:id="2796"/>
    <w:bookmarkStart w:name="z2899" w:id="2797"/>
    <w:p>
      <w:pPr>
        <w:spacing w:after="0"/>
        <w:ind w:left="0"/>
        <w:jc w:val="both"/>
      </w:pPr>
      <w:r>
        <w:rPr>
          <w:rFonts w:ascii="Times New Roman"/>
          <w:b w:val="false"/>
          <w:i w:val="false"/>
          <w:color w:val="000000"/>
          <w:sz w:val="28"/>
        </w:rPr>
        <w:t>
      228. Ведутся в письменном виде заключения по всем полученным данным, в том числе любые промежуточные выводы по программе. Такие заключения подвергают периодическому обзору.</w:t>
      </w:r>
    </w:p>
    <w:bookmarkEnd w:id="2797"/>
    <w:bookmarkStart w:name="z2900" w:id="2798"/>
    <w:p>
      <w:pPr>
        <w:spacing w:after="0"/>
        <w:ind w:left="0"/>
        <w:jc w:val="left"/>
      </w:pPr>
      <w:r>
        <w:rPr>
          <w:rFonts w:ascii="Times New Roman"/>
          <w:b/>
          <w:i w:val="false"/>
          <w:color w:val="000000"/>
        </w:rPr>
        <w:t xml:space="preserve"> Параграф 7. Трансфер (передача) методик испытаний</w:t>
      </w:r>
    </w:p>
    <w:bookmarkEnd w:id="2798"/>
    <w:bookmarkStart w:name="z2901" w:id="2799"/>
    <w:p>
      <w:pPr>
        <w:spacing w:after="0"/>
        <w:ind w:left="0"/>
        <w:jc w:val="both"/>
      </w:pPr>
      <w:r>
        <w:rPr>
          <w:rFonts w:ascii="Times New Roman"/>
          <w:b w:val="false"/>
          <w:i w:val="false"/>
          <w:color w:val="000000"/>
          <w:sz w:val="28"/>
        </w:rPr>
        <w:t>
      229. До трансфера (передачи) методики испытаний передающая сторона убеждается в том, что методика (и) испытания соответствуют описанной в регистрационном досье.</w:t>
      </w:r>
    </w:p>
    <w:bookmarkEnd w:id="2799"/>
    <w:bookmarkStart w:name="z2902" w:id="2800"/>
    <w:p>
      <w:pPr>
        <w:spacing w:after="0"/>
        <w:ind w:left="0"/>
        <w:jc w:val="both"/>
      </w:pPr>
      <w:r>
        <w:rPr>
          <w:rFonts w:ascii="Times New Roman"/>
          <w:b w:val="false"/>
          <w:i w:val="false"/>
          <w:color w:val="000000"/>
          <w:sz w:val="28"/>
        </w:rPr>
        <w:t>
      Проводятся проверки первоначальной валидации методики испытаний для гарантии соответствия действующим рекомендациям. До начала процесса технического трансфера проводятся и документально оформляются анализ расхождений, что требуется для определения необходимости проведения каких-либо дополнительных валидационных работ.</w:t>
      </w:r>
    </w:p>
    <w:bookmarkEnd w:id="2800"/>
    <w:bookmarkStart w:name="z2903" w:id="2801"/>
    <w:p>
      <w:pPr>
        <w:spacing w:after="0"/>
        <w:ind w:left="0"/>
        <w:jc w:val="both"/>
      </w:pPr>
      <w:r>
        <w:rPr>
          <w:rFonts w:ascii="Times New Roman"/>
          <w:b w:val="false"/>
          <w:i w:val="false"/>
          <w:color w:val="000000"/>
          <w:sz w:val="28"/>
        </w:rPr>
        <w:t>
      230. Трансфер (передача) методик испытаний от одной лаборатории (передающей лаборатории) в другую лабораторию (принимающая лаборатория) описан в подробном протоколе.</w:t>
      </w:r>
    </w:p>
    <w:bookmarkEnd w:id="2801"/>
    <w:bookmarkStart w:name="z2904" w:id="2802"/>
    <w:p>
      <w:pPr>
        <w:spacing w:after="0"/>
        <w:ind w:left="0"/>
        <w:jc w:val="both"/>
      </w:pPr>
      <w:r>
        <w:rPr>
          <w:rFonts w:ascii="Times New Roman"/>
          <w:b w:val="false"/>
          <w:i w:val="false"/>
          <w:color w:val="000000"/>
          <w:sz w:val="28"/>
        </w:rPr>
        <w:t>
      231. Протокол трансфера (передачи) методик испытаний включает следующее:</w:t>
      </w:r>
    </w:p>
    <w:bookmarkEnd w:id="2802"/>
    <w:bookmarkStart w:name="z2905" w:id="2803"/>
    <w:p>
      <w:pPr>
        <w:spacing w:after="0"/>
        <w:ind w:left="0"/>
        <w:jc w:val="both"/>
      </w:pPr>
      <w:r>
        <w:rPr>
          <w:rFonts w:ascii="Times New Roman"/>
          <w:b w:val="false"/>
          <w:i w:val="false"/>
          <w:color w:val="000000"/>
          <w:sz w:val="28"/>
        </w:rPr>
        <w:t>
      1) идентификация испытаний, которые выполняется, и соответствующие методики испытаний, подлежащие передаче;</w:t>
      </w:r>
    </w:p>
    <w:bookmarkEnd w:id="2803"/>
    <w:bookmarkStart w:name="z2906" w:id="2804"/>
    <w:p>
      <w:pPr>
        <w:spacing w:after="0"/>
        <w:ind w:left="0"/>
        <w:jc w:val="both"/>
      </w:pPr>
      <w:r>
        <w:rPr>
          <w:rFonts w:ascii="Times New Roman"/>
          <w:b w:val="false"/>
          <w:i w:val="false"/>
          <w:color w:val="000000"/>
          <w:sz w:val="28"/>
        </w:rPr>
        <w:t>
      2) идентификация дополнительных требований к обучению;</w:t>
      </w:r>
    </w:p>
    <w:bookmarkEnd w:id="2804"/>
    <w:bookmarkStart w:name="z2907" w:id="2805"/>
    <w:p>
      <w:pPr>
        <w:spacing w:after="0"/>
        <w:ind w:left="0"/>
        <w:jc w:val="both"/>
      </w:pPr>
      <w:r>
        <w:rPr>
          <w:rFonts w:ascii="Times New Roman"/>
          <w:b w:val="false"/>
          <w:i w:val="false"/>
          <w:color w:val="000000"/>
          <w:sz w:val="28"/>
        </w:rPr>
        <w:t>
      3) идентификация стандартов и образцов для испытаний;</w:t>
      </w:r>
    </w:p>
    <w:bookmarkEnd w:id="2805"/>
    <w:bookmarkStart w:name="z2908" w:id="2806"/>
    <w:p>
      <w:pPr>
        <w:spacing w:after="0"/>
        <w:ind w:left="0"/>
        <w:jc w:val="both"/>
      </w:pPr>
      <w:r>
        <w:rPr>
          <w:rFonts w:ascii="Times New Roman"/>
          <w:b w:val="false"/>
          <w:i w:val="false"/>
          <w:color w:val="000000"/>
          <w:sz w:val="28"/>
        </w:rPr>
        <w:t>
      4) идентификация любых специальных условий транспортировки хранения образцов для испытаний;</w:t>
      </w:r>
    </w:p>
    <w:bookmarkEnd w:id="2806"/>
    <w:bookmarkStart w:name="z2909" w:id="2807"/>
    <w:p>
      <w:pPr>
        <w:spacing w:after="0"/>
        <w:ind w:left="0"/>
        <w:jc w:val="both"/>
      </w:pPr>
      <w:r>
        <w:rPr>
          <w:rFonts w:ascii="Times New Roman"/>
          <w:b w:val="false"/>
          <w:i w:val="false"/>
          <w:color w:val="000000"/>
          <w:sz w:val="28"/>
        </w:rPr>
        <w:t>
      5) критерии приемлемости, которые основываются на текущих валидационных исследованиях методологии.</w:t>
      </w:r>
    </w:p>
    <w:bookmarkEnd w:id="2807"/>
    <w:bookmarkStart w:name="z2910" w:id="2808"/>
    <w:p>
      <w:pPr>
        <w:spacing w:after="0"/>
        <w:ind w:left="0"/>
        <w:jc w:val="both"/>
      </w:pPr>
      <w:r>
        <w:rPr>
          <w:rFonts w:ascii="Times New Roman"/>
          <w:b w:val="false"/>
          <w:i w:val="false"/>
          <w:color w:val="000000"/>
          <w:sz w:val="28"/>
        </w:rPr>
        <w:t>
      232. Отклонения от протокола расследуются до завершения процесса трансфера (передачи) методик испытаний. Отчет о трансфере (передаче) методик испытаний содержит сравнительный результат процесса и определяет области, требующие дальнейшей ревалидации методик испытаний, если применимо.</w:t>
      </w:r>
    </w:p>
    <w:bookmarkEnd w:id="2808"/>
    <w:bookmarkStart w:name="z2911" w:id="2809"/>
    <w:p>
      <w:pPr>
        <w:spacing w:after="0"/>
        <w:ind w:left="0"/>
        <w:jc w:val="both"/>
      </w:pPr>
      <w:r>
        <w:rPr>
          <w:rFonts w:ascii="Times New Roman"/>
          <w:b w:val="false"/>
          <w:i w:val="false"/>
          <w:color w:val="000000"/>
          <w:sz w:val="28"/>
        </w:rPr>
        <w:t>
      233. Если применимо, рассматривают особые требования, описанные в руководствах и касающиеся трансфера конкретных аналитических методик (например, спектроскопии в ближней инфракрасной области).</w:t>
      </w:r>
    </w:p>
    <w:bookmarkEnd w:id="2809"/>
    <w:bookmarkStart w:name="z2912" w:id="2810"/>
    <w:p>
      <w:pPr>
        <w:spacing w:after="0"/>
        <w:ind w:left="0"/>
        <w:jc w:val="left"/>
      </w:pPr>
      <w:r>
        <w:rPr>
          <w:rFonts w:ascii="Times New Roman"/>
          <w:b/>
          <w:i w:val="false"/>
          <w:color w:val="000000"/>
        </w:rPr>
        <w:t xml:space="preserve"> Глава 8. Деятельность, передаваемая для выполнения другому лицу (аутсорсинг)</w:t>
      </w:r>
    </w:p>
    <w:bookmarkEnd w:id="2810"/>
    <w:bookmarkStart w:name="z2913" w:id="2811"/>
    <w:p>
      <w:pPr>
        <w:spacing w:after="0"/>
        <w:ind w:left="0"/>
        <w:jc w:val="left"/>
      </w:pPr>
      <w:r>
        <w:rPr>
          <w:rFonts w:ascii="Times New Roman"/>
          <w:b/>
          <w:i w:val="false"/>
          <w:color w:val="000000"/>
        </w:rPr>
        <w:t xml:space="preserve"> Параграф 1. Принцип</w:t>
      </w:r>
    </w:p>
    <w:bookmarkEnd w:id="2811"/>
    <w:bookmarkStart w:name="z2914" w:id="2812"/>
    <w:p>
      <w:pPr>
        <w:spacing w:after="0"/>
        <w:ind w:left="0"/>
        <w:jc w:val="both"/>
      </w:pPr>
      <w:r>
        <w:rPr>
          <w:rFonts w:ascii="Times New Roman"/>
          <w:b w:val="false"/>
          <w:i w:val="false"/>
          <w:color w:val="000000"/>
          <w:sz w:val="28"/>
        </w:rPr>
        <w:t>
      234. Любая деятельность, на которую распространяются настоящий Стандарт и которая передана другому лицу (аутсорсинг), надлежащим образом определяется, согласуется и контролируется во избежание разночтений, способных привести к неудовлетворительному качеству продукции или выполняемых работ. Соглашение между заказчиком и исполнителем оформляется в письменном виде с указанием четко определенных обязанностей каждой из сторон. Система управления качеством заказчика точно устанавливает, каким образом уполномоченное лицо, подтверждающее выпуск каждой серии продукции, выполняет свои обязанности в полной мере.</w:t>
      </w:r>
    </w:p>
    <w:bookmarkEnd w:id="2812"/>
    <w:bookmarkStart w:name="z2915" w:id="2813"/>
    <w:p>
      <w:pPr>
        <w:spacing w:after="0"/>
        <w:ind w:left="0"/>
        <w:jc w:val="both"/>
      </w:pPr>
      <w:r>
        <w:rPr>
          <w:rFonts w:ascii="Times New Roman"/>
          <w:b w:val="false"/>
          <w:i w:val="false"/>
          <w:color w:val="000000"/>
          <w:sz w:val="28"/>
        </w:rPr>
        <w:t>
      Согласно требованиям, приведенные в данной главе, производителей отвечают перед уполномоченными органами в отношении регистрации лекарственных препаратов лицензирования производства. Они не отвечают функциям исполнителя и заказчика перед потребителем, которая регулируется другими нормативно-правовыми актами.</w:t>
      </w:r>
    </w:p>
    <w:bookmarkEnd w:id="2813"/>
    <w:bookmarkStart w:name="z2916" w:id="2814"/>
    <w:p>
      <w:pPr>
        <w:spacing w:after="0"/>
        <w:ind w:left="0"/>
        <w:jc w:val="both"/>
      </w:pPr>
      <w:r>
        <w:rPr>
          <w:rFonts w:ascii="Times New Roman"/>
          <w:b w:val="false"/>
          <w:i w:val="false"/>
          <w:color w:val="000000"/>
          <w:sz w:val="28"/>
        </w:rPr>
        <w:t>
      235. Деятельность, передаваемая для выполнения другому лицу (аутсорсинг), оформляется письменным соглашением, в котором указаны продукция, работы или услуги, с которыми связана указанная деятельность, и все связанные с такой деятельностью технические мероприятия.</w:t>
      </w:r>
    </w:p>
    <w:bookmarkEnd w:id="2814"/>
    <w:bookmarkStart w:name="z2917" w:id="2815"/>
    <w:p>
      <w:pPr>
        <w:spacing w:after="0"/>
        <w:ind w:left="0"/>
        <w:jc w:val="both"/>
      </w:pPr>
      <w:r>
        <w:rPr>
          <w:rFonts w:ascii="Times New Roman"/>
          <w:b w:val="false"/>
          <w:i w:val="false"/>
          <w:color w:val="000000"/>
          <w:sz w:val="28"/>
        </w:rPr>
        <w:t>
      236. Все мероприятия, проводимые в рамках деятельности, переданной для выполнения другому лицу (аутсорсинга), включая любые предложенные изменения технических или иных мероприятий, отвечает требованиям законодательства и регистрационному досье лекарственного препарата, где это применимо.</w:t>
      </w:r>
    </w:p>
    <w:bookmarkEnd w:id="2815"/>
    <w:bookmarkStart w:name="z2918" w:id="2816"/>
    <w:p>
      <w:pPr>
        <w:spacing w:after="0"/>
        <w:ind w:left="0"/>
        <w:jc w:val="both"/>
      </w:pPr>
      <w:r>
        <w:rPr>
          <w:rFonts w:ascii="Times New Roman"/>
          <w:b w:val="false"/>
          <w:i w:val="false"/>
          <w:color w:val="000000"/>
          <w:sz w:val="28"/>
        </w:rPr>
        <w:t>
      237. Если держатель регистрационного удостоверения лекарственного препарата и производитель не являются одной организацией, проводятся соответствующие мероприятия, учитывающие принципы настоящей главы.</w:t>
      </w:r>
    </w:p>
    <w:bookmarkEnd w:id="2816"/>
    <w:bookmarkStart w:name="z2919" w:id="2817"/>
    <w:p>
      <w:pPr>
        <w:spacing w:after="0"/>
        <w:ind w:left="0"/>
        <w:jc w:val="left"/>
      </w:pPr>
      <w:r>
        <w:rPr>
          <w:rFonts w:ascii="Times New Roman"/>
          <w:b/>
          <w:i w:val="false"/>
          <w:color w:val="000000"/>
        </w:rPr>
        <w:t xml:space="preserve"> Параграф 2. Заказчик</w:t>
      </w:r>
    </w:p>
    <w:bookmarkEnd w:id="2817"/>
    <w:bookmarkStart w:name="z2920" w:id="2818"/>
    <w:p>
      <w:pPr>
        <w:spacing w:after="0"/>
        <w:ind w:left="0"/>
        <w:jc w:val="both"/>
      </w:pPr>
      <w:r>
        <w:rPr>
          <w:rFonts w:ascii="Times New Roman"/>
          <w:b w:val="false"/>
          <w:i w:val="false"/>
          <w:color w:val="000000"/>
          <w:sz w:val="28"/>
        </w:rPr>
        <w:t>
      238. Фармацевтическая система качества заказчика включает в себя контроль и проверку любой деятельности, переданной для выполнения другому лицу (аутсорсинг). Заказчик гарантирует наличие процедур, обеспечивающих контроль указанной деятельности. Эти процедуры включают в себя принципы управления рисками для качества и учитывают нижеприведенные положения.</w:t>
      </w:r>
    </w:p>
    <w:bookmarkEnd w:id="2818"/>
    <w:bookmarkStart w:name="z2921" w:id="2819"/>
    <w:p>
      <w:pPr>
        <w:spacing w:after="0"/>
        <w:ind w:left="0"/>
        <w:jc w:val="both"/>
      </w:pPr>
      <w:r>
        <w:rPr>
          <w:rFonts w:ascii="Times New Roman"/>
          <w:b w:val="false"/>
          <w:i w:val="false"/>
          <w:color w:val="000000"/>
          <w:sz w:val="28"/>
        </w:rPr>
        <w:t>
      239. До передачи деятельности для выполнения исполнителю заказчик убеждается в правомочности, пригодности и компетентности исполнителя в отношении успешного выполнения соответствующих работ. Заказчик также отвечает за включение в соглашение положений, обеспечивающих выполнение требований настоящего Стандарта.</w:t>
      </w:r>
    </w:p>
    <w:bookmarkEnd w:id="2819"/>
    <w:bookmarkStart w:name="z2922" w:id="2820"/>
    <w:p>
      <w:pPr>
        <w:spacing w:after="0"/>
        <w:ind w:left="0"/>
        <w:jc w:val="both"/>
      </w:pPr>
      <w:r>
        <w:rPr>
          <w:rFonts w:ascii="Times New Roman"/>
          <w:b w:val="false"/>
          <w:i w:val="false"/>
          <w:color w:val="000000"/>
          <w:sz w:val="28"/>
        </w:rPr>
        <w:t>
      240. Заказчик представляет исполнителю всю информацию сведения, необходимые для правильного выполнения предусмотренных в соглашении работ в соответствии законодательством и регистрационным досье лекарственного препарата. Заказчик гарантирует, что исполнитель полностью осведомлен обо всех связанных с продукцией или работой проблемах, которые могут представлять опасность для его помещений, оборудования, персонала, других материалов или продукции.</w:t>
      </w:r>
    </w:p>
    <w:bookmarkEnd w:id="2820"/>
    <w:bookmarkStart w:name="z2923" w:id="2821"/>
    <w:p>
      <w:pPr>
        <w:spacing w:after="0"/>
        <w:ind w:left="0"/>
        <w:jc w:val="both"/>
      </w:pPr>
      <w:r>
        <w:rPr>
          <w:rFonts w:ascii="Times New Roman"/>
          <w:b w:val="false"/>
          <w:i w:val="false"/>
          <w:color w:val="000000"/>
          <w:sz w:val="28"/>
        </w:rPr>
        <w:t>
      241. Заказчик контролирует и проверяет действия исполнителя, включая внедрение исполнителем любого необходимого улучшения.</w:t>
      </w:r>
    </w:p>
    <w:bookmarkEnd w:id="2821"/>
    <w:bookmarkStart w:name="z2924" w:id="2822"/>
    <w:p>
      <w:pPr>
        <w:spacing w:after="0"/>
        <w:ind w:left="0"/>
        <w:jc w:val="both"/>
      </w:pPr>
      <w:r>
        <w:rPr>
          <w:rFonts w:ascii="Times New Roman"/>
          <w:b w:val="false"/>
          <w:i w:val="false"/>
          <w:color w:val="000000"/>
          <w:sz w:val="28"/>
        </w:rPr>
        <w:t>
      242. Заказчик является ответственным за проверку и оценку записей и результатов, связанных с деятельностью, переданной для выполнения другому лицу (аутсорсинг). Заказчик убеждается самостоятельно или на основании подтверждения уполномоченного лица исполнителя, что вся продукция и материалы, представленные ему исполнителем, были произведены в соответствии с настоящим Стандартом и регистрационным досье лекарственного препарата.</w:t>
      </w:r>
    </w:p>
    <w:bookmarkEnd w:id="2822"/>
    <w:bookmarkStart w:name="z2925" w:id="2823"/>
    <w:p>
      <w:pPr>
        <w:spacing w:after="0"/>
        <w:ind w:left="0"/>
        <w:jc w:val="left"/>
      </w:pPr>
      <w:r>
        <w:rPr>
          <w:rFonts w:ascii="Times New Roman"/>
          <w:b/>
          <w:i w:val="false"/>
          <w:color w:val="000000"/>
        </w:rPr>
        <w:t xml:space="preserve"> Параграф 3. Исполнитель</w:t>
      </w:r>
    </w:p>
    <w:bookmarkEnd w:id="2823"/>
    <w:bookmarkStart w:name="z2926" w:id="2824"/>
    <w:p>
      <w:pPr>
        <w:spacing w:after="0"/>
        <w:ind w:left="0"/>
        <w:jc w:val="both"/>
      </w:pPr>
      <w:r>
        <w:rPr>
          <w:rFonts w:ascii="Times New Roman"/>
          <w:b w:val="false"/>
          <w:i w:val="false"/>
          <w:color w:val="000000"/>
          <w:sz w:val="28"/>
        </w:rPr>
        <w:t>
      243. Исполнитель имеет необходимые помещения, оборудование, а также знания, опыт и компетентный персонал для надлежащего выполнения работ, порученных ему заказчиком.</w:t>
      </w:r>
    </w:p>
    <w:bookmarkEnd w:id="2824"/>
    <w:bookmarkStart w:name="z2927" w:id="2825"/>
    <w:p>
      <w:pPr>
        <w:spacing w:after="0"/>
        <w:ind w:left="0"/>
        <w:jc w:val="both"/>
      </w:pPr>
      <w:r>
        <w:rPr>
          <w:rFonts w:ascii="Times New Roman"/>
          <w:b w:val="false"/>
          <w:i w:val="false"/>
          <w:color w:val="000000"/>
          <w:sz w:val="28"/>
        </w:rPr>
        <w:t>
      244. Исполнитель удостоверяется, что все представленные ему продукция, исходные материалы и сведения пригодны для использования по назначению.</w:t>
      </w:r>
    </w:p>
    <w:bookmarkEnd w:id="2825"/>
    <w:bookmarkStart w:name="z2928" w:id="2826"/>
    <w:p>
      <w:pPr>
        <w:spacing w:after="0"/>
        <w:ind w:left="0"/>
        <w:jc w:val="both"/>
      </w:pPr>
      <w:r>
        <w:rPr>
          <w:rFonts w:ascii="Times New Roman"/>
          <w:b w:val="false"/>
          <w:i w:val="false"/>
          <w:color w:val="000000"/>
          <w:sz w:val="28"/>
        </w:rPr>
        <w:t>
      245. Исполнитель не передает третьей стороне работы или услуги, порученные ему по соглашению, без предварительного рассмотрения и согласования с заказчиком. При заключении соглашения между исполнителем и третьей стороной обеспечивается гарантия того, что информация, включая сведения об оценке соответствия третьей стороны, представляется таким же образом, как между первоначальными заказчиком и исполнителем.</w:t>
      </w:r>
    </w:p>
    <w:bookmarkEnd w:id="2826"/>
    <w:bookmarkStart w:name="z2929" w:id="2827"/>
    <w:p>
      <w:pPr>
        <w:spacing w:after="0"/>
        <w:ind w:left="0"/>
        <w:jc w:val="both"/>
      </w:pPr>
      <w:r>
        <w:rPr>
          <w:rFonts w:ascii="Times New Roman"/>
          <w:b w:val="false"/>
          <w:i w:val="false"/>
          <w:color w:val="000000"/>
          <w:sz w:val="28"/>
        </w:rPr>
        <w:t>
      246. Исполнитель не производит несанкционированные изменения, выходящие за рамки соглашения, поскольку это неблагоприятно повлияет на качество работ, проводимых для заказчика.</w:t>
      </w:r>
    </w:p>
    <w:bookmarkEnd w:id="2827"/>
    <w:bookmarkStart w:name="z2930" w:id="2828"/>
    <w:p>
      <w:pPr>
        <w:spacing w:after="0"/>
        <w:ind w:left="0"/>
        <w:jc w:val="both"/>
      </w:pPr>
      <w:r>
        <w:rPr>
          <w:rFonts w:ascii="Times New Roman"/>
          <w:b w:val="false"/>
          <w:i w:val="false"/>
          <w:color w:val="000000"/>
          <w:sz w:val="28"/>
        </w:rPr>
        <w:t>
      247. Исполнитель понимает, что работы, передаваемые для выполнения другому лицу (аутсорсинг), включая проведение анализа по контракту, подлежат проверке уполномоченными органами.</w:t>
      </w:r>
    </w:p>
    <w:bookmarkEnd w:id="2828"/>
    <w:bookmarkStart w:name="z2931" w:id="2829"/>
    <w:p>
      <w:pPr>
        <w:spacing w:after="0"/>
        <w:ind w:left="0"/>
        <w:jc w:val="left"/>
      </w:pPr>
      <w:r>
        <w:rPr>
          <w:rFonts w:ascii="Times New Roman"/>
          <w:b/>
          <w:i w:val="false"/>
          <w:color w:val="000000"/>
        </w:rPr>
        <w:t xml:space="preserve"> Параграф 4. Соглашение</w:t>
      </w:r>
    </w:p>
    <w:bookmarkEnd w:id="2829"/>
    <w:bookmarkStart w:name="z2932" w:id="2830"/>
    <w:p>
      <w:pPr>
        <w:spacing w:after="0"/>
        <w:ind w:left="0"/>
        <w:jc w:val="both"/>
      </w:pPr>
      <w:r>
        <w:rPr>
          <w:rFonts w:ascii="Times New Roman"/>
          <w:b w:val="false"/>
          <w:i w:val="false"/>
          <w:color w:val="000000"/>
          <w:sz w:val="28"/>
        </w:rPr>
        <w:t>
      248. Между заказчиком и исполнителем составляется соглашение, в котором определяют их взаимные обязательства и процедуры передачи информации, связанные с деятельностью, передаваемой для выполнения другому лицу (аутсорсинга). Технические аспекты соглашения составляется компетентными лицами, имеющими соответствующие знания, связанные с указанной деятельностью, согласно настоящего Стандарта. Все соглашения о деятельности, передаваемой на аутсорсинг, соответствуют законодательству, регистрационному досье лекарственного препарата и согласовываются обеими сторонами.</w:t>
      </w:r>
    </w:p>
    <w:bookmarkEnd w:id="2830"/>
    <w:bookmarkStart w:name="z2933" w:id="2831"/>
    <w:p>
      <w:pPr>
        <w:spacing w:after="0"/>
        <w:ind w:left="0"/>
        <w:jc w:val="both"/>
      </w:pPr>
      <w:r>
        <w:rPr>
          <w:rFonts w:ascii="Times New Roman"/>
          <w:b w:val="false"/>
          <w:i w:val="false"/>
          <w:color w:val="000000"/>
          <w:sz w:val="28"/>
        </w:rPr>
        <w:t>
      249. В соглашении однозначно указано, кто отвечает за каждый этап деятельности, передаваемой для выполнения другому лицу (например, управление знаниями, перенос технологии, обеспечение цепи поставки, заключение соглашения с третьей стороной, закупка исходного сырья, материалов и их качество, проведение испытаний и выдача разрешения на использование исходных и упаковочных материалов, проведение производства и контроля качества, включая контроль в процессе производства, отбор образцов и их анализ).</w:t>
      </w:r>
    </w:p>
    <w:bookmarkEnd w:id="2831"/>
    <w:bookmarkStart w:name="z2934" w:id="2832"/>
    <w:p>
      <w:pPr>
        <w:spacing w:after="0"/>
        <w:ind w:left="0"/>
        <w:jc w:val="both"/>
      </w:pPr>
      <w:r>
        <w:rPr>
          <w:rFonts w:ascii="Times New Roman"/>
          <w:b w:val="false"/>
          <w:i w:val="false"/>
          <w:color w:val="000000"/>
          <w:sz w:val="28"/>
        </w:rPr>
        <w:t>
      250. Все записи, связанные с деятельностью, передаваемой для выполнения другому лицу, например, записи производства, анализа и реализации продукции, а также соответствующие контрольные образцы хранятся у заказчика или ему доступны. Любые записи, относящиеся к оценке качества продукции, в случае предъявления претензий, предполагаемого несоответствия требованиям или при расследовании в случае предположения о фальсификации продукции доступны заказчику и точно определены в его соответствующих процедурах.</w:t>
      </w:r>
    </w:p>
    <w:bookmarkEnd w:id="2832"/>
    <w:bookmarkStart w:name="z2935" w:id="2833"/>
    <w:p>
      <w:pPr>
        <w:spacing w:after="0"/>
        <w:ind w:left="0"/>
        <w:jc w:val="both"/>
      </w:pPr>
      <w:r>
        <w:rPr>
          <w:rFonts w:ascii="Times New Roman"/>
          <w:b w:val="false"/>
          <w:i w:val="false"/>
          <w:color w:val="000000"/>
          <w:sz w:val="28"/>
        </w:rPr>
        <w:t>
      251. В соглашении предусмотрено право заказчика на аудит деятельности, которая выполняется исполнителем или взаимно согласованной третьей стороной.</w:t>
      </w:r>
    </w:p>
    <w:bookmarkEnd w:id="2833"/>
    <w:bookmarkStart w:name="z2936" w:id="2834"/>
    <w:p>
      <w:pPr>
        <w:spacing w:after="0"/>
        <w:ind w:left="0"/>
        <w:jc w:val="left"/>
      </w:pPr>
      <w:r>
        <w:rPr>
          <w:rFonts w:ascii="Times New Roman"/>
          <w:b/>
          <w:i w:val="false"/>
          <w:color w:val="000000"/>
        </w:rPr>
        <w:t xml:space="preserve"> Глава 9. Претензии, дефекты качества и отзывы продукции</w:t>
      </w:r>
    </w:p>
    <w:bookmarkEnd w:id="2834"/>
    <w:bookmarkStart w:name="z2937" w:id="2835"/>
    <w:p>
      <w:pPr>
        <w:spacing w:after="0"/>
        <w:ind w:left="0"/>
        <w:jc w:val="left"/>
      </w:pPr>
      <w:r>
        <w:rPr>
          <w:rFonts w:ascii="Times New Roman"/>
          <w:b/>
          <w:i w:val="false"/>
          <w:color w:val="000000"/>
        </w:rPr>
        <w:t xml:space="preserve"> Параграф 1. Принцип</w:t>
      </w:r>
    </w:p>
    <w:bookmarkEnd w:id="2835"/>
    <w:bookmarkStart w:name="z2938" w:id="2836"/>
    <w:p>
      <w:pPr>
        <w:spacing w:after="0"/>
        <w:ind w:left="0"/>
        <w:jc w:val="both"/>
      </w:pPr>
      <w:r>
        <w:rPr>
          <w:rFonts w:ascii="Times New Roman"/>
          <w:b w:val="false"/>
          <w:i w:val="false"/>
          <w:color w:val="000000"/>
          <w:sz w:val="28"/>
        </w:rPr>
        <w:t>
      252. В целях защиты здоровья людей в наличии системы и соответствующие процедуры по регистрации, оценке, расследованию и рассмотрению претензий, в том числе потенциальных дефектов качества, и (при необходимости) по эффективному и оперативному отзыву из сети распределения лекарственных средств. Принципы управления рисками для качества применяется при расследовании и оценке дефектов качества, а также в процессе принятия решений в отношении отзыва продукции, корректирующих и предупреждающих действий и других мер по снижению риска. Руководство в отношении этих принципов содержится в главе 1 настоящего Стандарта.</w:t>
      </w:r>
    </w:p>
    <w:bookmarkEnd w:id="2836"/>
    <w:bookmarkStart w:name="z2939" w:id="2837"/>
    <w:p>
      <w:pPr>
        <w:spacing w:after="0"/>
        <w:ind w:left="0"/>
        <w:jc w:val="both"/>
      </w:pPr>
      <w:r>
        <w:rPr>
          <w:rFonts w:ascii="Times New Roman"/>
          <w:b w:val="false"/>
          <w:i w:val="false"/>
          <w:color w:val="000000"/>
          <w:sz w:val="28"/>
        </w:rPr>
        <w:t>
      Все заинтересованные уполномоченные органы (организации) своевременно проинформированы в случае подтвержденного дефекта качества лекарственного средства или исследуемого лекарственного средства (производственного дефекта, порчи продукции, выявления фальсификации, несоответствия регистрационному досье или файлу спецификаций продукта или любых других серьезных проблем с качеством), который может привести к отзыву продукции или необычному сокращению поставок. В ситуациях, если продукт на рынке признается не соответствующим регистрационному досье лекарственного препарата, не требуется уведомлять заинтересованные уполномоченные органы (организации) при условии, что степень несоответствия удовлетворяет ограничениям, указанным в приложении № 16 к настоящего Стандарта, в отношении обращения с незапланированными отклонениями.</w:t>
      </w:r>
    </w:p>
    <w:bookmarkEnd w:id="2837"/>
    <w:bookmarkStart w:name="z2940" w:id="2838"/>
    <w:p>
      <w:pPr>
        <w:spacing w:after="0"/>
        <w:ind w:left="0"/>
        <w:jc w:val="both"/>
      </w:pPr>
      <w:r>
        <w:rPr>
          <w:rFonts w:ascii="Times New Roman"/>
          <w:b w:val="false"/>
          <w:i w:val="false"/>
          <w:color w:val="000000"/>
          <w:sz w:val="28"/>
        </w:rPr>
        <w:t>
      В случае деятельности, передаваемой для выполнения другому лицу (аутсорсинга), в соглашении описываются роли и обязанности производителя, владельца регистрационного досье и (или) спонсора и третьих сторон в отношении оценки, принятия решений, распространения информации и реализации действий по снижению потенциальной опасности, связанной с дефектной продукцией. Руководство в отношении деятельности, передаваемой для выполнения другому лицу (аутсорсинга), приведено в главе 7 настоящего Стандарта. Такие соглашения также содержат контактные данные ответственных лиц каждой стороны для осуществления связи с целью управления дефектами качества и вопросами, связанными с отзывом.</w:t>
      </w:r>
    </w:p>
    <w:bookmarkEnd w:id="2838"/>
    <w:bookmarkStart w:name="z2941" w:id="2839"/>
    <w:p>
      <w:pPr>
        <w:spacing w:after="0"/>
        <w:ind w:left="0"/>
        <w:jc w:val="left"/>
      </w:pPr>
      <w:r>
        <w:rPr>
          <w:rFonts w:ascii="Times New Roman"/>
          <w:b/>
          <w:i w:val="false"/>
          <w:color w:val="000000"/>
        </w:rPr>
        <w:t xml:space="preserve"> Параграф 2. Персонал и организация</w:t>
      </w:r>
    </w:p>
    <w:bookmarkEnd w:id="2839"/>
    <w:bookmarkStart w:name="z2942" w:id="2840"/>
    <w:p>
      <w:pPr>
        <w:spacing w:after="0"/>
        <w:ind w:left="0"/>
        <w:jc w:val="both"/>
      </w:pPr>
      <w:r>
        <w:rPr>
          <w:rFonts w:ascii="Times New Roman"/>
          <w:b w:val="false"/>
          <w:i w:val="false"/>
          <w:color w:val="000000"/>
          <w:sz w:val="28"/>
        </w:rPr>
        <w:t>
      253. За управление расследованием претензий и дефектов качества и принятие решений в отношении мер, которые приняты для управления любым потенциальным риском, включая отзывы, соответственно отвечает обученный и опытный персонал. Эти лица независимы от подразделений сбыта и маркетинга организации, если иное не обосновано. Если одним из этих лиц не является уполномоченное лицо, участвующее в сертификации для выпуска соответствующей серии (серий), уполномоченное лицо своевременно официально проинформировано о любых расследованиях, действиях по снижению риска и любых операциях по отзыву.</w:t>
      </w:r>
    </w:p>
    <w:bookmarkEnd w:id="2840"/>
    <w:bookmarkStart w:name="z2943" w:id="2841"/>
    <w:p>
      <w:pPr>
        <w:spacing w:after="0"/>
        <w:ind w:left="0"/>
        <w:jc w:val="both"/>
      </w:pPr>
      <w:r>
        <w:rPr>
          <w:rFonts w:ascii="Times New Roman"/>
          <w:b w:val="false"/>
          <w:i w:val="false"/>
          <w:color w:val="000000"/>
          <w:sz w:val="28"/>
        </w:rPr>
        <w:t>
      254. Имеются достаточное количество обученного персонала и ресурсов для обработки, оценки, расследования и рассмотрения претензий и дефектов качества, для реализации любых действий по снижению риска, а также для управления взаимодействием с уполномоченными органами.</w:t>
      </w:r>
    </w:p>
    <w:bookmarkEnd w:id="2841"/>
    <w:bookmarkStart w:name="z2944" w:id="2842"/>
    <w:p>
      <w:pPr>
        <w:spacing w:after="0"/>
        <w:ind w:left="0"/>
        <w:jc w:val="both"/>
      </w:pPr>
      <w:r>
        <w:rPr>
          <w:rFonts w:ascii="Times New Roman"/>
          <w:b w:val="false"/>
          <w:i w:val="false"/>
          <w:color w:val="000000"/>
          <w:sz w:val="28"/>
        </w:rPr>
        <w:t>
      255. Предусматривается использование специалистов различных подразделений, включая надлежащим образом обученный персонал по управлению качеством.</w:t>
      </w:r>
    </w:p>
    <w:bookmarkEnd w:id="2842"/>
    <w:bookmarkStart w:name="z2945" w:id="2843"/>
    <w:p>
      <w:pPr>
        <w:spacing w:after="0"/>
        <w:ind w:left="0"/>
        <w:jc w:val="both"/>
      </w:pPr>
      <w:r>
        <w:rPr>
          <w:rFonts w:ascii="Times New Roman"/>
          <w:b w:val="false"/>
          <w:i w:val="false"/>
          <w:color w:val="000000"/>
          <w:sz w:val="28"/>
        </w:rPr>
        <w:t>
      256. Если работа с претензиями и дефектами качества в организации управляется централизованно, распределение ролей и обязанностей заинтересованных сторон документируется. При этом централизованное управление не приводит к задержкам в расследовании претензий и дефектов качества и управлении ими.</w:t>
      </w:r>
    </w:p>
    <w:bookmarkEnd w:id="2843"/>
    <w:bookmarkStart w:name="z2946" w:id="2844"/>
    <w:p>
      <w:pPr>
        <w:spacing w:after="0"/>
        <w:ind w:left="0"/>
        <w:jc w:val="both"/>
      </w:pPr>
      <w:r>
        <w:rPr>
          <w:rFonts w:ascii="Times New Roman"/>
          <w:b w:val="false"/>
          <w:i w:val="false"/>
          <w:color w:val="000000"/>
          <w:sz w:val="28"/>
        </w:rPr>
        <w:t>
      257. В наличии письменные процедуры, описывающие действия, которые принимаются при получении претензии. Все претензии задокументированы и оценены, чтобы установить, представляют ли они собой потенциальный дефект качества или другую проблему.</w:t>
      </w:r>
    </w:p>
    <w:bookmarkEnd w:id="2844"/>
    <w:bookmarkStart w:name="z2947" w:id="2845"/>
    <w:p>
      <w:pPr>
        <w:spacing w:after="0"/>
        <w:ind w:left="0"/>
        <w:jc w:val="both"/>
      </w:pPr>
      <w:r>
        <w:rPr>
          <w:rFonts w:ascii="Times New Roman"/>
          <w:b w:val="false"/>
          <w:i w:val="false"/>
          <w:color w:val="000000"/>
          <w:sz w:val="28"/>
        </w:rPr>
        <w:t>
      258. Особое внимание уделяют установлению того, относится ли претензия или подозреваемый дефект качества к фальсификации.</w:t>
      </w:r>
    </w:p>
    <w:bookmarkEnd w:id="2845"/>
    <w:bookmarkStart w:name="z2948" w:id="2846"/>
    <w:p>
      <w:pPr>
        <w:spacing w:after="0"/>
        <w:ind w:left="0"/>
        <w:jc w:val="both"/>
      </w:pPr>
      <w:r>
        <w:rPr>
          <w:rFonts w:ascii="Times New Roman"/>
          <w:b w:val="false"/>
          <w:i w:val="false"/>
          <w:color w:val="000000"/>
          <w:sz w:val="28"/>
        </w:rPr>
        <w:t>
      259. Поскольку не все претензии, полученные компанией, представляют фактические дефекты качества, претензии, которые не свидетельствуют о потенциальном дефекте качества, надлежащим образом документируют и доводят до сведения соответствующей службы или лица, ответственных за расследование и управление претензиями подобного рода, такими как подозреваемые нежелательные явления.</w:t>
      </w:r>
    </w:p>
    <w:bookmarkEnd w:id="2846"/>
    <w:bookmarkStart w:name="z2949" w:id="2847"/>
    <w:p>
      <w:pPr>
        <w:spacing w:after="0"/>
        <w:ind w:left="0"/>
        <w:jc w:val="both"/>
      </w:pPr>
      <w:r>
        <w:rPr>
          <w:rFonts w:ascii="Times New Roman"/>
          <w:b w:val="false"/>
          <w:i w:val="false"/>
          <w:color w:val="000000"/>
          <w:sz w:val="28"/>
        </w:rPr>
        <w:t>
      260. В наличии письменные процедуры, чтобы облегчить запросы о расследовании качества серии лекарственного средства в целях содействия расследованию сообщений о подозреваемых побочных реакциях.</w:t>
      </w:r>
    </w:p>
    <w:bookmarkEnd w:id="2847"/>
    <w:bookmarkStart w:name="z2950" w:id="2848"/>
    <w:p>
      <w:pPr>
        <w:spacing w:after="0"/>
        <w:ind w:left="0"/>
        <w:jc w:val="both"/>
      </w:pPr>
      <w:r>
        <w:rPr>
          <w:rFonts w:ascii="Times New Roman"/>
          <w:b w:val="false"/>
          <w:i w:val="false"/>
          <w:color w:val="000000"/>
          <w:sz w:val="28"/>
        </w:rPr>
        <w:t>
      261. Если инициируется расследование дефекта качества, в наличии процедуры, предусматривающие следующее описание сообщенного дефекта качества:</w:t>
      </w:r>
    </w:p>
    <w:bookmarkEnd w:id="2848"/>
    <w:bookmarkStart w:name="z2951" w:id="2849"/>
    <w:p>
      <w:pPr>
        <w:spacing w:after="0"/>
        <w:ind w:left="0"/>
        <w:jc w:val="both"/>
      </w:pPr>
      <w:r>
        <w:rPr>
          <w:rFonts w:ascii="Times New Roman"/>
          <w:b w:val="false"/>
          <w:i w:val="false"/>
          <w:color w:val="000000"/>
          <w:sz w:val="28"/>
        </w:rPr>
        <w:t>
      1) определение значимости дефекта качества. В рамках этого предусматривают проверку или испытания арбитражных и (или) архивных образцов, и в некоторых случаях выполняется обзор записей производства серии, записей о сертификации серии и записей о распределении серии (особенно для чувствительной к температуре продукции);</w:t>
      </w:r>
    </w:p>
    <w:bookmarkEnd w:id="2849"/>
    <w:bookmarkStart w:name="z2952" w:id="2850"/>
    <w:p>
      <w:pPr>
        <w:spacing w:after="0"/>
        <w:ind w:left="0"/>
        <w:jc w:val="both"/>
      </w:pPr>
      <w:r>
        <w:rPr>
          <w:rFonts w:ascii="Times New Roman"/>
          <w:b w:val="false"/>
          <w:i w:val="false"/>
          <w:color w:val="000000"/>
          <w:sz w:val="28"/>
        </w:rPr>
        <w:t>
      2) необходимость запросить образец или возвратить всю дефектную продукцию от заявителя и, если образец получен, необходимость выполнения соответствующей оценки;</w:t>
      </w:r>
    </w:p>
    <w:bookmarkEnd w:id="2850"/>
    <w:bookmarkStart w:name="z2953" w:id="2851"/>
    <w:p>
      <w:pPr>
        <w:spacing w:after="0"/>
        <w:ind w:left="0"/>
        <w:jc w:val="both"/>
      </w:pPr>
      <w:r>
        <w:rPr>
          <w:rFonts w:ascii="Times New Roman"/>
          <w:b w:val="false"/>
          <w:i w:val="false"/>
          <w:color w:val="000000"/>
          <w:sz w:val="28"/>
        </w:rPr>
        <w:t>
      3) оценка риска, который представляет дефект качества в зависимости от серьезности и значимости этого дефекта;</w:t>
      </w:r>
    </w:p>
    <w:bookmarkEnd w:id="2851"/>
    <w:bookmarkStart w:name="z2954" w:id="2852"/>
    <w:p>
      <w:pPr>
        <w:spacing w:after="0"/>
        <w:ind w:left="0"/>
        <w:jc w:val="both"/>
      </w:pPr>
      <w:r>
        <w:rPr>
          <w:rFonts w:ascii="Times New Roman"/>
          <w:b w:val="false"/>
          <w:i w:val="false"/>
          <w:color w:val="000000"/>
          <w:sz w:val="28"/>
        </w:rPr>
        <w:t>
      4) процесс принятия решений в отношении потенциальной необходимости мер по снижению риска, которые принимаются в сети распределения (отзыв серии или продукта или другие действия);</w:t>
      </w:r>
    </w:p>
    <w:bookmarkEnd w:id="2852"/>
    <w:bookmarkStart w:name="z2955" w:id="2853"/>
    <w:p>
      <w:pPr>
        <w:spacing w:after="0"/>
        <w:ind w:left="0"/>
        <w:jc w:val="both"/>
      </w:pPr>
      <w:r>
        <w:rPr>
          <w:rFonts w:ascii="Times New Roman"/>
          <w:b w:val="false"/>
          <w:i w:val="false"/>
          <w:color w:val="000000"/>
          <w:sz w:val="28"/>
        </w:rPr>
        <w:t>
      5) оценка влияния, которое оказывают любое действие по отзыву на доступность лекарственного средства для пациентов на любом рынке, где обращается данное лекарственное средство, а также необходимость уведомить соответствующие уполномоченные органы о таком влиянии;</w:t>
      </w:r>
    </w:p>
    <w:bookmarkEnd w:id="2853"/>
    <w:bookmarkStart w:name="z2956" w:id="2854"/>
    <w:p>
      <w:pPr>
        <w:spacing w:after="0"/>
        <w:ind w:left="0"/>
        <w:jc w:val="both"/>
      </w:pPr>
      <w:r>
        <w:rPr>
          <w:rFonts w:ascii="Times New Roman"/>
          <w:b w:val="false"/>
          <w:i w:val="false"/>
          <w:color w:val="000000"/>
          <w:sz w:val="28"/>
        </w:rPr>
        <w:t>
      6) внутренний и внешний обмен информацией, который осуществляется в отношении дефекта качества и его расследования;</w:t>
      </w:r>
    </w:p>
    <w:bookmarkEnd w:id="2854"/>
    <w:bookmarkStart w:name="z2957" w:id="2855"/>
    <w:p>
      <w:pPr>
        <w:spacing w:after="0"/>
        <w:ind w:left="0"/>
        <w:jc w:val="both"/>
      </w:pPr>
      <w:r>
        <w:rPr>
          <w:rFonts w:ascii="Times New Roman"/>
          <w:b w:val="false"/>
          <w:i w:val="false"/>
          <w:color w:val="000000"/>
          <w:sz w:val="28"/>
        </w:rPr>
        <w:t>
      7) идентификация потенциальной причины дефекта качества;</w:t>
      </w:r>
    </w:p>
    <w:bookmarkEnd w:id="2855"/>
    <w:bookmarkStart w:name="z2958" w:id="2856"/>
    <w:p>
      <w:pPr>
        <w:spacing w:after="0"/>
        <w:ind w:left="0"/>
        <w:jc w:val="both"/>
      </w:pPr>
      <w:r>
        <w:rPr>
          <w:rFonts w:ascii="Times New Roman"/>
          <w:b w:val="false"/>
          <w:i w:val="false"/>
          <w:color w:val="000000"/>
          <w:sz w:val="28"/>
        </w:rPr>
        <w:t>
      8) необходимость в определении и осуществлении соответствующих корректирующих и предупреждающих действий, а также в оценке их результативности.</w:t>
      </w:r>
    </w:p>
    <w:bookmarkEnd w:id="2856"/>
    <w:bookmarkStart w:name="z2959" w:id="2857"/>
    <w:p>
      <w:pPr>
        <w:spacing w:after="0"/>
        <w:ind w:left="0"/>
        <w:jc w:val="left"/>
      </w:pPr>
      <w:r>
        <w:rPr>
          <w:rFonts w:ascii="Times New Roman"/>
          <w:b/>
          <w:i w:val="false"/>
          <w:color w:val="000000"/>
        </w:rPr>
        <w:t xml:space="preserve"> Параграф 3. Расследование и принятие решений</w:t>
      </w:r>
    </w:p>
    <w:bookmarkEnd w:id="2857"/>
    <w:bookmarkStart w:name="z2960" w:id="2858"/>
    <w:p>
      <w:pPr>
        <w:spacing w:after="0"/>
        <w:ind w:left="0"/>
        <w:jc w:val="both"/>
      </w:pPr>
      <w:r>
        <w:rPr>
          <w:rFonts w:ascii="Times New Roman"/>
          <w:b w:val="false"/>
          <w:i w:val="false"/>
          <w:color w:val="000000"/>
          <w:sz w:val="28"/>
        </w:rPr>
        <w:t>
      262. Информация, свидетельствующая о возможных дефектах качества, зарегистрирована со всеми исходными подробностями. Обоснованность и значимость всех зарегистрированных дефектов качества документированы оценены в соответствии с принципами управления рисками для качества с целью обоснования решений, принятых в отношении объема проводимого расследования и предпринимаемых действий.</w:t>
      </w:r>
    </w:p>
    <w:bookmarkEnd w:id="2858"/>
    <w:bookmarkStart w:name="z2961" w:id="2859"/>
    <w:p>
      <w:pPr>
        <w:spacing w:after="0"/>
        <w:ind w:left="0"/>
        <w:jc w:val="both"/>
      </w:pPr>
      <w:r>
        <w:rPr>
          <w:rFonts w:ascii="Times New Roman"/>
          <w:b w:val="false"/>
          <w:i w:val="false"/>
          <w:color w:val="000000"/>
          <w:sz w:val="28"/>
        </w:rPr>
        <w:t>
      263. Если дефект качества обнаружен или подозревается в какой-то одной серии, уделяется внимание проверке других серий и в некоторых случаях других продуктов, чтобы определить, не оказались ли они также затронуты. В частности, исследуются другие серии, которые содержат части дефектной серии или дефектных компонентов.</w:t>
      </w:r>
    </w:p>
    <w:bookmarkEnd w:id="2859"/>
    <w:bookmarkStart w:name="z2962" w:id="2860"/>
    <w:p>
      <w:pPr>
        <w:spacing w:after="0"/>
        <w:ind w:left="0"/>
        <w:jc w:val="both"/>
      </w:pPr>
      <w:r>
        <w:rPr>
          <w:rFonts w:ascii="Times New Roman"/>
          <w:b w:val="false"/>
          <w:i w:val="false"/>
          <w:color w:val="000000"/>
          <w:sz w:val="28"/>
        </w:rPr>
        <w:t>
      264. Расследование дефекта качества включает обзор предыдущих отчетов о дефектах качества или любую другую соответствующую информацию о любых признаках специфических или повторяющихся проблем, требующих внимания и, возможно, дальнейших регуляторных действий.</w:t>
      </w:r>
    </w:p>
    <w:bookmarkEnd w:id="2860"/>
    <w:bookmarkStart w:name="z2963" w:id="2861"/>
    <w:p>
      <w:pPr>
        <w:spacing w:after="0"/>
        <w:ind w:left="0"/>
        <w:jc w:val="both"/>
      </w:pPr>
      <w:r>
        <w:rPr>
          <w:rFonts w:ascii="Times New Roman"/>
          <w:b w:val="false"/>
          <w:i w:val="false"/>
          <w:color w:val="000000"/>
          <w:sz w:val="28"/>
        </w:rPr>
        <w:t>
      265. Решения, принятые во время и после расследования дефектов качества, отражает уровень риска, который представляет дефект качества, а также серьезность любого несоответствия регистрационному досье (досье исследуемого продукта) или требованиям надлежащей производственной практики. Такие решения своевременны, чтобы обеспечить поддержание безопасности пациентов соразмерно уровню риска, который представляет эта проблема.</w:t>
      </w:r>
    </w:p>
    <w:bookmarkEnd w:id="2861"/>
    <w:bookmarkStart w:name="z2964" w:id="2862"/>
    <w:p>
      <w:pPr>
        <w:spacing w:after="0"/>
        <w:ind w:left="0"/>
        <w:jc w:val="both"/>
      </w:pPr>
      <w:r>
        <w:rPr>
          <w:rFonts w:ascii="Times New Roman"/>
          <w:b w:val="false"/>
          <w:i w:val="false"/>
          <w:color w:val="000000"/>
          <w:sz w:val="28"/>
        </w:rPr>
        <w:t>
      266. Хотя на ранних стадиях расследования полная информация о характере и значимости дефекта качества не всегда доступна, процессы принятия решений обеспечивают, чтобы соответствующие действия по снижению риска принимались в соответствующих временных точках в ходе таких расследований. Все принятые решения и меры в отношении дефекта качества документируют.</w:t>
      </w:r>
    </w:p>
    <w:bookmarkEnd w:id="2862"/>
    <w:bookmarkStart w:name="z2965" w:id="2863"/>
    <w:p>
      <w:pPr>
        <w:spacing w:after="0"/>
        <w:ind w:left="0"/>
        <w:jc w:val="both"/>
      </w:pPr>
      <w:r>
        <w:rPr>
          <w:rFonts w:ascii="Times New Roman"/>
          <w:b w:val="false"/>
          <w:i w:val="false"/>
          <w:color w:val="000000"/>
          <w:sz w:val="28"/>
        </w:rPr>
        <w:t>
      267. В случаях, если дефект качества может привести к отзыву продукции или необычному сокращению поставок продукции, производитель своевременно информирует об этом держателя регистрационного удостоверения (спонсора) и все заинтересованные уполномоченные органы (организации).</w:t>
      </w:r>
    </w:p>
    <w:bookmarkEnd w:id="2863"/>
    <w:bookmarkStart w:name="z2966" w:id="2864"/>
    <w:p>
      <w:pPr>
        <w:spacing w:after="0"/>
        <w:ind w:left="0"/>
        <w:jc w:val="left"/>
      </w:pPr>
      <w:r>
        <w:rPr>
          <w:rFonts w:ascii="Times New Roman"/>
          <w:b/>
          <w:i w:val="false"/>
          <w:color w:val="000000"/>
        </w:rPr>
        <w:t xml:space="preserve"> Параграф 4. Анализ основных причин, корректирующиеи предупреждающие действия</w:t>
      </w:r>
    </w:p>
    <w:bookmarkEnd w:id="2864"/>
    <w:bookmarkStart w:name="z2967" w:id="2865"/>
    <w:p>
      <w:pPr>
        <w:spacing w:after="0"/>
        <w:ind w:left="0"/>
        <w:jc w:val="both"/>
      </w:pPr>
      <w:r>
        <w:rPr>
          <w:rFonts w:ascii="Times New Roman"/>
          <w:b w:val="false"/>
          <w:i w:val="false"/>
          <w:color w:val="000000"/>
          <w:sz w:val="28"/>
        </w:rPr>
        <w:t>
      268. В ходе расследования дефектов качества применяется соответствующий уровень работы по анализу основных причин. В случаях, если истинная причина дефекта качества не определена, уделено внимание идентификации наиболее вероятной причины и обращению с ней.</w:t>
      </w:r>
    </w:p>
    <w:bookmarkEnd w:id="2865"/>
    <w:bookmarkStart w:name="z2968" w:id="2866"/>
    <w:p>
      <w:pPr>
        <w:spacing w:after="0"/>
        <w:ind w:left="0"/>
        <w:jc w:val="both"/>
      </w:pPr>
      <w:r>
        <w:rPr>
          <w:rFonts w:ascii="Times New Roman"/>
          <w:b w:val="false"/>
          <w:i w:val="false"/>
          <w:color w:val="000000"/>
          <w:sz w:val="28"/>
        </w:rPr>
        <w:t>
      269. Если в качестве причины дефекта качества подозревается или определена человеческая ошибка, это официально обосновано и тщательно рассмотрено, для того чтобы не были упущены из виду возможные процессные, процедурные или системные ошибки или проблемы.</w:t>
      </w:r>
    </w:p>
    <w:bookmarkEnd w:id="2866"/>
    <w:bookmarkStart w:name="z2969" w:id="2867"/>
    <w:p>
      <w:pPr>
        <w:spacing w:after="0"/>
        <w:ind w:left="0"/>
        <w:jc w:val="both"/>
      </w:pPr>
      <w:r>
        <w:rPr>
          <w:rFonts w:ascii="Times New Roman"/>
          <w:b w:val="false"/>
          <w:i w:val="false"/>
          <w:color w:val="000000"/>
          <w:sz w:val="28"/>
        </w:rPr>
        <w:t>
      270. В отношении дефекта качества определяются и принимаются соответствующие корректирующие и предупреждающие действия. Результативность таких действий проверяют и оценивают.</w:t>
      </w:r>
    </w:p>
    <w:bookmarkEnd w:id="2867"/>
    <w:bookmarkStart w:name="z2970" w:id="2868"/>
    <w:p>
      <w:pPr>
        <w:spacing w:after="0"/>
        <w:ind w:left="0"/>
        <w:jc w:val="both"/>
      </w:pPr>
      <w:r>
        <w:rPr>
          <w:rFonts w:ascii="Times New Roman"/>
          <w:b w:val="false"/>
          <w:i w:val="false"/>
          <w:color w:val="000000"/>
          <w:sz w:val="28"/>
        </w:rPr>
        <w:t>
      271. Записи о дефектах качества регулярно просматривают анализируют тенденции для выявления любых специфических или повторяющихся проблем, требующих внимания.</w:t>
      </w:r>
    </w:p>
    <w:bookmarkEnd w:id="2868"/>
    <w:bookmarkStart w:name="z2971" w:id="2869"/>
    <w:p>
      <w:pPr>
        <w:spacing w:after="0"/>
        <w:ind w:left="0"/>
        <w:jc w:val="left"/>
      </w:pPr>
      <w:r>
        <w:rPr>
          <w:rFonts w:ascii="Times New Roman"/>
          <w:b/>
          <w:i w:val="false"/>
          <w:color w:val="000000"/>
        </w:rPr>
        <w:t xml:space="preserve"> Параграф 5. Отзыв продукции и другие действия по снижению потенциального риска</w:t>
      </w:r>
    </w:p>
    <w:bookmarkEnd w:id="2869"/>
    <w:bookmarkStart w:name="z2972" w:id="2870"/>
    <w:p>
      <w:pPr>
        <w:spacing w:after="0"/>
        <w:ind w:left="0"/>
        <w:jc w:val="both"/>
      </w:pPr>
      <w:r>
        <w:rPr>
          <w:rFonts w:ascii="Times New Roman"/>
          <w:b w:val="false"/>
          <w:i w:val="false"/>
          <w:color w:val="000000"/>
          <w:sz w:val="28"/>
        </w:rPr>
        <w:t>
      272. Устанавливаются письменные процедуры, регулярно пересматриваемые и обновляемые по мере необходимости, в целях осуществления любой деятельности по отзыву или осуществлению любых других действий по снижению риска.</w:t>
      </w:r>
    </w:p>
    <w:bookmarkEnd w:id="2870"/>
    <w:bookmarkStart w:name="z2973" w:id="2871"/>
    <w:p>
      <w:pPr>
        <w:spacing w:after="0"/>
        <w:ind w:left="0"/>
        <w:jc w:val="both"/>
      </w:pPr>
      <w:r>
        <w:rPr>
          <w:rFonts w:ascii="Times New Roman"/>
          <w:b w:val="false"/>
          <w:i w:val="false"/>
          <w:color w:val="000000"/>
          <w:sz w:val="28"/>
        </w:rPr>
        <w:t>
      273. После размещения продукции на рынке любой возврат ее из сети распределения из-за дефекта качества рассматривается и управляется как отзыв. Это положение не применяется к изъятию (возврату) образцов продукции из сети распределения для содействия расследованию отчетности по дефектам качества.</w:t>
      </w:r>
    </w:p>
    <w:bookmarkEnd w:id="2871"/>
    <w:bookmarkStart w:name="z2974" w:id="2872"/>
    <w:p>
      <w:pPr>
        <w:spacing w:after="0"/>
        <w:ind w:left="0"/>
        <w:jc w:val="both"/>
      </w:pPr>
      <w:r>
        <w:rPr>
          <w:rFonts w:ascii="Times New Roman"/>
          <w:b w:val="false"/>
          <w:i w:val="false"/>
          <w:color w:val="000000"/>
          <w:sz w:val="28"/>
        </w:rPr>
        <w:t>
      274. Инициируются операции по отзыву оперативно и в любое время. В некоторых случаях в целях защиты здоровья населения, потребуются начать операции по отзыву до установления истинной причины и значимости дефекта качества.</w:t>
      </w:r>
    </w:p>
    <w:bookmarkEnd w:id="2872"/>
    <w:bookmarkStart w:name="z2975" w:id="2873"/>
    <w:p>
      <w:pPr>
        <w:spacing w:after="0"/>
        <w:ind w:left="0"/>
        <w:jc w:val="both"/>
      </w:pPr>
      <w:r>
        <w:rPr>
          <w:rFonts w:ascii="Times New Roman"/>
          <w:b w:val="false"/>
          <w:i w:val="false"/>
          <w:color w:val="000000"/>
          <w:sz w:val="28"/>
        </w:rPr>
        <w:t>
      275. Записи о дистрибьюции серии (продукции) легко доступны для лиц, ответственных за отзыв, и содержать достаточную информацию об оптовых покупателях и заказчиках, непосредственно получивших продукцию (с указанием адреса, номеров телефона и (или) факса, работающих круглосуточно, номера серии и количества поставленной продукции), в том числе в отношении экспортируемой продукции и медицинских образцов.</w:t>
      </w:r>
    </w:p>
    <w:bookmarkEnd w:id="2873"/>
    <w:bookmarkStart w:name="z2976" w:id="2874"/>
    <w:p>
      <w:pPr>
        <w:spacing w:after="0"/>
        <w:ind w:left="0"/>
        <w:jc w:val="both"/>
      </w:pPr>
      <w:r>
        <w:rPr>
          <w:rFonts w:ascii="Times New Roman"/>
          <w:b w:val="false"/>
          <w:i w:val="false"/>
          <w:color w:val="000000"/>
          <w:sz w:val="28"/>
        </w:rPr>
        <w:t>
      276. В отношении исследуемых лекарственных средств идентифицированы все исследовательские площадки и указаны страны назначения. В отношении исследуемого лекарственного средства, на которое было выдано регистрационное удостоверение, производитель исследуемого лекарственного средства в сотрудничестве со спонсором информирует держателя регистрационного удостоверения о любом дефекте качества, который связан с зарегистрированным лекарственным средством. Спонсор внедряет процедуру быстрого раскодирования ослепленного продукта, для оперативного отзыва. Спонсор обеспечивает, чтобы процедура раскрывала идентичность ослепленного продукта только в той мере, которая необходима.</w:t>
      </w:r>
    </w:p>
    <w:bookmarkEnd w:id="2874"/>
    <w:bookmarkStart w:name="z2977" w:id="2875"/>
    <w:p>
      <w:pPr>
        <w:spacing w:after="0"/>
        <w:ind w:left="0"/>
        <w:jc w:val="both"/>
      </w:pPr>
      <w:r>
        <w:rPr>
          <w:rFonts w:ascii="Times New Roman"/>
          <w:b w:val="false"/>
          <w:i w:val="false"/>
          <w:color w:val="000000"/>
          <w:sz w:val="28"/>
        </w:rPr>
        <w:t>
      277. Уделяют внимание последующим консультациям с заинтересованными уполномоченными органами по вопросу, насколько далеко распространяются действия по отзыву в сети распределения, учитывая потенциальный риск для здоровья населения и любого воздействия, которое могут оказать предлагаемые действия по отзыву. Уполномоченные органы (организации) также проинформированы в ситуациях, когда не ведется никаких действий по отзыву, предложенных для дефектной серии, в связи с истечением срока годности (например, для продукции с коротким сроком годности).</w:t>
      </w:r>
    </w:p>
    <w:bookmarkEnd w:id="2875"/>
    <w:bookmarkStart w:name="z2978" w:id="2876"/>
    <w:p>
      <w:pPr>
        <w:spacing w:after="0"/>
        <w:ind w:left="0"/>
        <w:jc w:val="both"/>
      </w:pPr>
      <w:r>
        <w:rPr>
          <w:rFonts w:ascii="Times New Roman"/>
          <w:b w:val="false"/>
          <w:i w:val="false"/>
          <w:color w:val="000000"/>
          <w:sz w:val="28"/>
        </w:rPr>
        <w:t>
      278. В случае намерения отозвать продукцию об этом заранее проинформированы все заинтересованные уполномоченные органы (организации). Для очень серьезных проблем (то есть с возможным серьезным влиянием на здоровье пациентов, можно принимать срочные действия по снижению риска (например, отзыв продукции), предварительно уведомив об этом уполномоченные органы (организации). Везде, где возможно, стремятся к тому, чтобы такие действия были заблаговременно, до их выполнения, согласованы с заинтересованными уполномоченные органы (организациями).</w:t>
      </w:r>
    </w:p>
    <w:bookmarkEnd w:id="2876"/>
    <w:bookmarkStart w:name="z2979" w:id="2877"/>
    <w:p>
      <w:pPr>
        <w:spacing w:after="0"/>
        <w:ind w:left="0"/>
        <w:jc w:val="both"/>
      </w:pPr>
      <w:r>
        <w:rPr>
          <w:rFonts w:ascii="Times New Roman"/>
          <w:b w:val="false"/>
          <w:i w:val="false"/>
          <w:color w:val="000000"/>
          <w:sz w:val="28"/>
        </w:rPr>
        <w:t>
      279. Также учитывают, предлагаемые действия по отзыву по-разному влияют на различные рынки, и, если это так, разрабатываются и обсуждаются с заинтересованными уполномоченными органами (организациями) соответствующие действия по снижению риска для конкретного рынка. До принятия решения о таких мерах по снижению риска, как отзыв, рассматривается риск нехватки лекарственного средства, не имеющего зарегистрированной альтернативы, с учетом его терапевтического назначения. Любые решения о непринятии ожидаемых мер по снижению риска предварительно согласовываются с уполномоченными органами (организациями).</w:t>
      </w:r>
    </w:p>
    <w:bookmarkEnd w:id="2877"/>
    <w:bookmarkStart w:name="z2980" w:id="2878"/>
    <w:p>
      <w:pPr>
        <w:spacing w:after="0"/>
        <w:ind w:left="0"/>
        <w:jc w:val="both"/>
      </w:pPr>
      <w:r>
        <w:rPr>
          <w:rFonts w:ascii="Times New Roman"/>
          <w:b w:val="false"/>
          <w:i w:val="false"/>
          <w:color w:val="000000"/>
          <w:sz w:val="28"/>
        </w:rPr>
        <w:t>
      280. Отозванная продукция идентифицируется и хранится отдельно в надежном месте до принятия решения о том, как с ней поступить. Документально оформляется официальное распоряжение в отношении всех отозванных серий продукции. Основание для принятия любого решения о переработке отозванной продукции документируется и обсуждается с соответствующим уполномоченным органом (организацией). Также учитывается остаточный срок годности любых переработанных серий, которые предполагается разместить на рынке.</w:t>
      </w:r>
    </w:p>
    <w:bookmarkEnd w:id="2878"/>
    <w:bookmarkStart w:name="z2981" w:id="2879"/>
    <w:p>
      <w:pPr>
        <w:spacing w:after="0"/>
        <w:ind w:left="0"/>
        <w:jc w:val="both"/>
      </w:pPr>
      <w:r>
        <w:rPr>
          <w:rFonts w:ascii="Times New Roman"/>
          <w:b w:val="false"/>
          <w:i w:val="false"/>
          <w:color w:val="000000"/>
          <w:sz w:val="28"/>
        </w:rPr>
        <w:t>
      281. Ход процесса отзыва регистрируется до момента завершения и выпуска окончательного отчета, включающего в себя баланс между количеством поставленной и возвращенной продукции (серии продукции).</w:t>
      </w:r>
    </w:p>
    <w:bookmarkEnd w:id="2879"/>
    <w:bookmarkStart w:name="z2982" w:id="2880"/>
    <w:p>
      <w:pPr>
        <w:spacing w:after="0"/>
        <w:ind w:left="0"/>
        <w:jc w:val="both"/>
      </w:pPr>
      <w:r>
        <w:rPr>
          <w:rFonts w:ascii="Times New Roman"/>
          <w:b w:val="false"/>
          <w:i w:val="false"/>
          <w:color w:val="000000"/>
          <w:sz w:val="28"/>
        </w:rPr>
        <w:t>
      282. Эффективность мероприятий по отзыву регулярно оценивают для подтверждения того, что они остаются надежными и пригодными для использования. Такие оценки распространяются на ситуации, возникающие как в рабочее, так и в нерабочее время. При выполнении таких оценок рассматривают необходимость выполнения имитации действий по отзыву. Эта оценка документально оформляется и обосновывается.</w:t>
      </w:r>
    </w:p>
    <w:bookmarkEnd w:id="2880"/>
    <w:bookmarkStart w:name="z2983" w:id="2881"/>
    <w:p>
      <w:pPr>
        <w:spacing w:after="0"/>
        <w:ind w:left="0"/>
        <w:jc w:val="both"/>
      </w:pPr>
      <w:r>
        <w:rPr>
          <w:rFonts w:ascii="Times New Roman"/>
          <w:b w:val="false"/>
          <w:i w:val="false"/>
          <w:color w:val="000000"/>
          <w:sz w:val="28"/>
        </w:rPr>
        <w:t>
      283. В дополнение к отзыву существуют и другие возможные действия по снижению риска, которые могут предприниматься в целях управления рисками, создаваемыми дефектами качества. Такие действия могут включать в себя выпуск предупредительных сообщений для медицинских работников в отношении использования ими потенциально дефектной серии продукции. Их рассматривают в индивидуальном порядке и обсуждают с заинтересованными уполномоченными органами (организациями).</w:t>
      </w:r>
    </w:p>
    <w:bookmarkEnd w:id="2881"/>
    <w:bookmarkStart w:name="z2984" w:id="2882"/>
    <w:p>
      <w:pPr>
        <w:spacing w:after="0"/>
        <w:ind w:left="0"/>
        <w:jc w:val="left"/>
      </w:pPr>
      <w:r>
        <w:rPr>
          <w:rFonts w:ascii="Times New Roman"/>
          <w:b/>
          <w:i w:val="false"/>
          <w:color w:val="000000"/>
        </w:rPr>
        <w:t xml:space="preserve"> Глава 10. Самоинспекция</w:t>
      </w:r>
    </w:p>
    <w:bookmarkEnd w:id="2882"/>
    <w:bookmarkStart w:name="z2985" w:id="2883"/>
    <w:p>
      <w:pPr>
        <w:spacing w:after="0"/>
        <w:ind w:left="0"/>
        <w:jc w:val="left"/>
      </w:pPr>
      <w:r>
        <w:rPr>
          <w:rFonts w:ascii="Times New Roman"/>
          <w:b/>
          <w:i w:val="false"/>
          <w:color w:val="000000"/>
        </w:rPr>
        <w:t xml:space="preserve"> Параграф 1. Принцип</w:t>
      </w:r>
    </w:p>
    <w:bookmarkEnd w:id="2883"/>
    <w:bookmarkStart w:name="z2986" w:id="2884"/>
    <w:p>
      <w:pPr>
        <w:spacing w:after="0"/>
        <w:ind w:left="0"/>
        <w:jc w:val="both"/>
      </w:pPr>
      <w:r>
        <w:rPr>
          <w:rFonts w:ascii="Times New Roman"/>
          <w:b w:val="false"/>
          <w:i w:val="false"/>
          <w:color w:val="000000"/>
          <w:sz w:val="28"/>
        </w:rPr>
        <w:t>
      284. Самоинспекция проводится с целью проверки выполнения предприятием требований настоящего Стандарта и предложения необходимых корректирующих действий.</w:t>
      </w:r>
    </w:p>
    <w:bookmarkEnd w:id="2884"/>
    <w:bookmarkStart w:name="z2987" w:id="2885"/>
    <w:p>
      <w:pPr>
        <w:spacing w:after="0"/>
        <w:ind w:left="0"/>
        <w:jc w:val="both"/>
      </w:pPr>
      <w:r>
        <w:rPr>
          <w:rFonts w:ascii="Times New Roman"/>
          <w:b w:val="false"/>
          <w:i w:val="false"/>
          <w:color w:val="000000"/>
          <w:sz w:val="28"/>
        </w:rPr>
        <w:t>
      285. Регулярно анализируют вопросы, касающиеся персонала, помещений, оборудования, документации, технологического процесса, контроля качества, реализации лекарственных препаратов, мероприятий по работе с претензиями и в отношении отзывов продукции и деятельности по проведению самоинспекций соответствии с заранее утвержденной программой в соответствии с определенным графиком проверки их соответствия принципам обеспечения качества.</w:t>
      </w:r>
    </w:p>
    <w:bookmarkEnd w:id="2885"/>
    <w:bookmarkStart w:name="z2988" w:id="2886"/>
    <w:p>
      <w:pPr>
        <w:spacing w:after="0"/>
        <w:ind w:left="0"/>
        <w:jc w:val="both"/>
      </w:pPr>
      <w:r>
        <w:rPr>
          <w:rFonts w:ascii="Times New Roman"/>
          <w:b w:val="false"/>
          <w:i w:val="false"/>
          <w:color w:val="000000"/>
          <w:sz w:val="28"/>
        </w:rPr>
        <w:t>
      286. Самоинспекция проводится независимо и тщательно специально назначенным квалифицированным лицом (лицами), состоящим в штате предприятия. При необходимости проводятся независимый аудит экспертами сторонних организаций.</w:t>
      </w:r>
    </w:p>
    <w:bookmarkEnd w:id="2886"/>
    <w:bookmarkStart w:name="z2989" w:id="2887"/>
    <w:p>
      <w:pPr>
        <w:spacing w:after="0"/>
        <w:ind w:left="0"/>
        <w:jc w:val="both"/>
      </w:pPr>
      <w:r>
        <w:rPr>
          <w:rFonts w:ascii="Times New Roman"/>
          <w:b w:val="false"/>
          <w:i w:val="false"/>
          <w:color w:val="000000"/>
          <w:sz w:val="28"/>
        </w:rPr>
        <w:t>
      287. Результаты самоинспекций оформляются документально. Отчеты содержат в себе все наблюдения, сделанные в ходе проверки, и, где применимо, предложения по корректирующим действиям. Действия, предпринимаемые по результатам проведенных самоинспекций, также оформляют документально.</w:t>
      </w:r>
    </w:p>
    <w:bookmarkEnd w:id="2887"/>
    <w:bookmarkStart w:name="z2990" w:id="2888"/>
    <w:p>
      <w:pPr>
        <w:spacing w:after="0"/>
        <w:ind w:left="0"/>
        <w:jc w:val="both"/>
      </w:pPr>
      <w:r>
        <w:rPr>
          <w:rFonts w:ascii="Times New Roman"/>
          <w:b w:val="false"/>
          <w:i w:val="false"/>
          <w:color w:val="000000"/>
          <w:sz w:val="28"/>
        </w:rPr>
        <w:t>
      Основные требования к активным фармацевтическим субстанциям, используемым в качестве исходных материалов.</w:t>
      </w:r>
    </w:p>
    <w:bookmarkEnd w:id="2888"/>
    <w:bookmarkStart w:name="z2991" w:id="2889"/>
    <w:p>
      <w:pPr>
        <w:spacing w:after="0"/>
        <w:ind w:left="0"/>
        <w:jc w:val="left"/>
      </w:pPr>
      <w:r>
        <w:rPr>
          <w:rFonts w:ascii="Times New Roman"/>
          <w:b/>
          <w:i w:val="false"/>
          <w:color w:val="000000"/>
        </w:rPr>
        <w:t xml:space="preserve"> Параграф 2. Введение</w:t>
      </w:r>
    </w:p>
    <w:bookmarkEnd w:id="2889"/>
    <w:bookmarkStart w:name="z2992" w:id="2890"/>
    <w:p>
      <w:pPr>
        <w:spacing w:after="0"/>
        <w:ind w:left="0"/>
        <w:jc w:val="both"/>
      </w:pPr>
      <w:r>
        <w:rPr>
          <w:rFonts w:ascii="Times New Roman"/>
          <w:b w:val="false"/>
          <w:i w:val="false"/>
          <w:color w:val="000000"/>
          <w:sz w:val="28"/>
        </w:rPr>
        <w:t>
      288. Держатели регистрационных удостоверений и производители лекарственных препаратов используют в качестве исходных материалов только те активные фармацевтические субстанции (далее - АФС), которые произведены с соблюдением настоящего Стандарта. Эти принципы производства АФС изложены в настоящей части Стандарта.</w:t>
      </w:r>
    </w:p>
    <w:bookmarkEnd w:id="2890"/>
    <w:bookmarkStart w:name="z2993" w:id="2891"/>
    <w:p>
      <w:pPr>
        <w:spacing w:after="0"/>
        <w:ind w:left="0"/>
        <w:jc w:val="left"/>
      </w:pPr>
      <w:r>
        <w:rPr>
          <w:rFonts w:ascii="Times New Roman"/>
          <w:b/>
          <w:i w:val="false"/>
          <w:color w:val="000000"/>
        </w:rPr>
        <w:t xml:space="preserve"> Параграф 3. Цель</w:t>
      </w:r>
    </w:p>
    <w:bookmarkEnd w:id="2891"/>
    <w:bookmarkStart w:name="z2994" w:id="2892"/>
    <w:p>
      <w:pPr>
        <w:spacing w:after="0"/>
        <w:ind w:left="0"/>
        <w:jc w:val="both"/>
      </w:pPr>
      <w:r>
        <w:rPr>
          <w:rFonts w:ascii="Times New Roman"/>
          <w:b w:val="false"/>
          <w:i w:val="false"/>
          <w:color w:val="000000"/>
          <w:sz w:val="28"/>
        </w:rPr>
        <w:t>
      289. Настоящая часть Стандарта представляет собой руководящие указания, касающиеся надлежащего производства АФС с соответствующей системой управления качеством. Она также предназначена для помощи в обеспечении качества и чистоты АФС соответствии с предъявляемыми к ним требованиями.</w:t>
      </w:r>
    </w:p>
    <w:bookmarkEnd w:id="2892"/>
    <w:bookmarkStart w:name="z2995" w:id="2893"/>
    <w:p>
      <w:pPr>
        <w:spacing w:after="0"/>
        <w:ind w:left="0"/>
        <w:jc w:val="both"/>
      </w:pPr>
      <w:r>
        <w:rPr>
          <w:rFonts w:ascii="Times New Roman"/>
          <w:b w:val="false"/>
          <w:i w:val="false"/>
          <w:color w:val="000000"/>
          <w:sz w:val="28"/>
        </w:rPr>
        <w:t>
      В настоящей части Стандарта понятие "производство" включает в себя все виды операций с АФС: приемку материалов, производство, упаковку, переупаковку, маркировку, перемаркировку, контроль качества, выдачу разрешения на выпуск, хранение и реализацию, а также соответствующие меры контроля. Настоящий Стандарт в целом не распространяются на вопросы охраны труда персонала, занятого в производстве, а также не затрагивают вопросы защиты окружающей среды. Контроль, осуществляемый в этом случае, является непосредственной обязанностью производителя и регламентируется законодательством.</w:t>
      </w:r>
    </w:p>
    <w:bookmarkEnd w:id="2893"/>
    <w:bookmarkStart w:name="z2996" w:id="2894"/>
    <w:p>
      <w:pPr>
        <w:spacing w:after="0"/>
        <w:ind w:left="0"/>
        <w:jc w:val="both"/>
      </w:pPr>
      <w:r>
        <w:rPr>
          <w:rFonts w:ascii="Times New Roman"/>
          <w:b w:val="false"/>
          <w:i w:val="false"/>
          <w:color w:val="000000"/>
          <w:sz w:val="28"/>
        </w:rPr>
        <w:t>
      Настоящий Стандарт не устанавливают требования, предъявляемые при включении АФС в государственный реестр, и не заменяют фармакопейных требований. Они не затрагивают функции уполномоченных органов устанавливать особенные требования к включению в государственный реестр лекарственных средств (к получению разрешения (лицензии) на производство) АФС.</w:t>
      </w:r>
    </w:p>
    <w:bookmarkEnd w:id="2894"/>
    <w:bookmarkStart w:name="z2997" w:id="2895"/>
    <w:p>
      <w:pPr>
        <w:spacing w:after="0"/>
        <w:ind w:left="0"/>
        <w:jc w:val="left"/>
      </w:pPr>
      <w:r>
        <w:rPr>
          <w:rFonts w:ascii="Times New Roman"/>
          <w:b/>
          <w:i w:val="false"/>
          <w:color w:val="000000"/>
        </w:rPr>
        <w:t xml:space="preserve"> Параграф 4 Область применения</w:t>
      </w:r>
    </w:p>
    <w:bookmarkEnd w:id="2895"/>
    <w:bookmarkStart w:name="z2998" w:id="2896"/>
    <w:p>
      <w:pPr>
        <w:spacing w:after="0"/>
        <w:ind w:left="0"/>
        <w:jc w:val="both"/>
      </w:pPr>
      <w:r>
        <w:rPr>
          <w:rFonts w:ascii="Times New Roman"/>
          <w:b w:val="false"/>
          <w:i w:val="false"/>
          <w:color w:val="000000"/>
          <w:sz w:val="28"/>
        </w:rPr>
        <w:t>
      290. Настоящая часть Стандарта устанавливает требования к производству АФС, используемых производстве лекарственных препаратов для медицинского. К производству стерильных АФС она применима только до стадии стерилизации и не распространяется на процессы стерилизации и производства стерильных АФС в асептических условиях. Эти процессы проводят соответствии с принципами, предусмотренными настоящим Стандартом, и требованиями, предусмотренными приложением № 1 настоящего Стандарта.</w:t>
      </w:r>
    </w:p>
    <w:bookmarkEnd w:id="2896"/>
    <w:bookmarkStart w:name="z2999" w:id="2897"/>
    <w:p>
      <w:pPr>
        <w:spacing w:after="0"/>
        <w:ind w:left="0"/>
        <w:jc w:val="both"/>
      </w:pPr>
      <w:r>
        <w:rPr>
          <w:rFonts w:ascii="Times New Roman"/>
          <w:b w:val="false"/>
          <w:i w:val="false"/>
          <w:color w:val="000000"/>
          <w:sz w:val="28"/>
        </w:rPr>
        <w:t>
      Настоящая часть Стандарта не распространяется на цельную донорскую кровь и плазму, поскольку требования по забору и испытанию крови регулируются соответствующими нормативными правовыми актами, однако распространяется на АФС, получаемые с использованием донорской крови или плазмы в качестве исходного сырья. Настоящая часть Стандарта не распространяется на нерасфасованные лекарственные средства и применяется ко всем другим активным исходным материалам с учетом любых отступлений, предусмотренных приложениями к настоящего Стандарта, в частности приложениями № 2 - 7, где указаны дополнительные требования к АФС.</w:t>
      </w:r>
    </w:p>
    <w:bookmarkEnd w:id="2897"/>
    <w:bookmarkStart w:name="z3000" w:id="2898"/>
    <w:p>
      <w:pPr>
        <w:spacing w:after="0"/>
        <w:ind w:left="0"/>
        <w:jc w:val="both"/>
      </w:pPr>
      <w:r>
        <w:rPr>
          <w:rFonts w:ascii="Times New Roman"/>
          <w:b w:val="false"/>
          <w:i w:val="false"/>
          <w:color w:val="000000"/>
          <w:sz w:val="28"/>
        </w:rPr>
        <w:t>
      Раздел 19 настоящей части Стандарта содержит требования, распространяющиеся только на производство АФС, используемых для получения лекарственных препаратов, предназначенных для клинических исследований.</w:t>
      </w:r>
    </w:p>
    <w:bookmarkEnd w:id="2898"/>
    <w:bookmarkStart w:name="z3001" w:id="2899"/>
    <w:p>
      <w:pPr>
        <w:spacing w:after="0"/>
        <w:ind w:left="0"/>
        <w:jc w:val="both"/>
      </w:pPr>
      <w:r>
        <w:rPr>
          <w:rFonts w:ascii="Times New Roman"/>
          <w:b w:val="false"/>
          <w:i w:val="false"/>
          <w:color w:val="000000"/>
          <w:sz w:val="28"/>
        </w:rPr>
        <w:t>
      Под исходными материалами для производства АФС понимаются сырье, промежуточные продукты или другие активные фармацевтические субстанции, которые используются в производстве АФС и которые как важный структурный фрагмент вводятся в структуру АФС. Исходные материалы для производства АФС закупаются по соглашению у одного или нескольких поставщиков либо производиться самостоятельно. Исходные материалы для производства АФС, как правило, имеют установленные химические свойства и структуру.</w:t>
      </w:r>
    </w:p>
    <w:bookmarkEnd w:id="2899"/>
    <w:bookmarkStart w:name="z3002" w:id="2900"/>
    <w:p>
      <w:pPr>
        <w:spacing w:after="0"/>
        <w:ind w:left="0"/>
        <w:jc w:val="both"/>
      </w:pPr>
      <w:r>
        <w:rPr>
          <w:rFonts w:ascii="Times New Roman"/>
          <w:b w:val="false"/>
          <w:i w:val="false"/>
          <w:color w:val="000000"/>
          <w:sz w:val="28"/>
        </w:rPr>
        <w:t>
      Производитель определяет и документально обосновать стадию, с которой начинается производство АФС. Для процессов синтеза эта стадия определяется как стадия ввода в технологический процесс исходных материалов для производства АФС. Для других процессов (ферментации, экстракции, очистки и пр.) данную стадию определяют с учетом конкретных особенностей производства. В таблице "Применение положений части II настоящего Стандарта к производству АФС" приведены руководящие указания относительно момента, когда обычно вводят в процесс исходные материалы для производства активных фармацевтических субстанций. Начиная с этой стадии, на данные промежуточные продукты и (или) стадии производства АФС действуют требования настоящей части Стандарта. Они включают в себя валидацию критических стадий производственного процесса, оказывающих влияние на качество АФС. В то же время выбор производителем стадии технологического процесса для проведения валидации не обязательно означает, что эта стадия является критической. Требования настоящей части Стандарта распространяются, как правило, на стадии, выделенные в указанной таблице серым цветом. Это не означает, что в процессе производства выполняется все стадии, указанные в данной таблице. Строгость следования требованиям настоящей части Стандарта возрастает от ранних стадий производства АФС к завершающим стадиям технологического процесса, очистки и упаковки. Такую обработку физическими методами АФС, как гранулирование, покрытие оболочкой или физическое изменение размера частиц (например, грубый и тонкий помол), проводят соответствии с требованиями настоящего Стандарта. Настоящая часть Стандарта не применяется к стадиям, которые предшествуют введению в процесс веществ, определенных как исходные материалы для производства активных фармацевтических субстанций.</w:t>
      </w:r>
    </w:p>
    <w:bookmarkEnd w:id="2900"/>
    <w:bookmarkStart w:name="z3003" w:id="2901"/>
    <w:p>
      <w:pPr>
        <w:spacing w:after="0"/>
        <w:ind w:left="0"/>
        <w:jc w:val="both"/>
      </w:pPr>
      <w:r>
        <w:rPr>
          <w:rFonts w:ascii="Times New Roman"/>
          <w:b w:val="false"/>
          <w:i w:val="false"/>
          <w:color w:val="000000"/>
          <w:sz w:val="28"/>
        </w:rPr>
        <w:t>
      части II Стандарта используется понятие "активная фармацевтическая субстанция", которое рассматривают как синоним понятия "активный фармацевтический ингредиент" (АФИ). Понятия, употребляемые в настоящей части Стандарта, и их определения (которые приведены в разделе 20 "Термины и определения") применяют только в части II настоящего Стандарта. Для аналогичных понятий, употребляемых в части I настоящих Правил, приведены определения в общем разделе "Термины и определения" настоящего Стандарта, следовательно, их применяют только в контексте части I настоящего Стандарта.</w:t>
      </w:r>
    </w:p>
    <w:bookmarkEnd w:id="2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005" w:id="2902"/>
    <w:p>
      <w:pPr>
        <w:spacing w:after="0"/>
        <w:ind w:left="0"/>
        <w:jc w:val="both"/>
      </w:pPr>
      <w:r>
        <w:rPr>
          <w:rFonts w:ascii="Times New Roman"/>
          <w:b w:val="false"/>
          <w:i w:val="false"/>
          <w:color w:val="000000"/>
          <w:sz w:val="28"/>
        </w:rPr>
        <w:t>
      Применение положений части II настоящего Стандарта к производству АФС</w:t>
      </w:r>
    </w:p>
    <w:bookmarkEnd w:id="2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стадии производства АФС, на которые распространяется действие положений части II настоящего Стандарта (выделены серым цветом)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исходного сырья для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 сырья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промежуточного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получаемые из сырья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органов, жидкостей или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смешивание и (или) первичная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 сырья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получаемые из сырья растительного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и первичная экстракция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процесс исходного сырья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экстракты, используемые в качестве АФС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и первичная экстракция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экстракция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состоящие из размельченных или растертых в порошок растений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 и (или) культивирование и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(растирание, дробление)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ферментация (культивирование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главного и рабочего банков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рабочего банка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клеток и (или)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ферментация для производства АФС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банка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банка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клеток в процесс ферментации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физическими методами и упаковка</w:t>
            </w:r>
          </w:p>
        </w:tc>
      </w:tr>
    </w:tbl>
    <w:bookmarkStart w:name="z3006" w:id="2903"/>
    <w:p>
      <w:pPr>
        <w:spacing w:after="0"/>
        <w:ind w:left="0"/>
        <w:jc w:val="both"/>
      </w:pPr>
      <w:r>
        <w:rPr>
          <w:rFonts w:ascii="Times New Roman"/>
          <w:b w:val="false"/>
          <w:i w:val="false"/>
          <w:color w:val="000000"/>
          <w:sz w:val="28"/>
        </w:rPr>
        <w:t xml:space="preserve">
      </w:t>
      </w:r>
    </w:p>
    <w:bookmarkEnd w:id="2903"/>
    <w:p>
      <w:pPr>
        <w:spacing w:after="0"/>
        <w:ind w:left="0"/>
        <w:jc w:val="both"/>
      </w:pPr>
      <w:r>
        <w:drawing>
          <wp:inline distT="0" distB="0" distL="0" distR="0">
            <wp:extent cx="7810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7" w:id="2904"/>
    <w:p>
      <w:pPr>
        <w:spacing w:after="0"/>
        <w:ind w:left="0"/>
        <w:jc w:val="left"/>
      </w:pPr>
      <w:r>
        <w:rPr>
          <w:rFonts w:ascii="Times New Roman"/>
          <w:b/>
          <w:i w:val="false"/>
          <w:color w:val="000000"/>
        </w:rPr>
        <w:t xml:space="preserve"> Параграф 5. Управление качеством</w:t>
      </w:r>
    </w:p>
    <w:bookmarkEnd w:id="2904"/>
    <w:bookmarkStart w:name="z3008" w:id="2905"/>
    <w:p>
      <w:pPr>
        <w:spacing w:after="0"/>
        <w:ind w:left="0"/>
        <w:jc w:val="both"/>
      </w:pPr>
      <w:r>
        <w:rPr>
          <w:rFonts w:ascii="Times New Roman"/>
          <w:b w:val="false"/>
          <w:i w:val="false"/>
          <w:color w:val="000000"/>
          <w:sz w:val="28"/>
        </w:rPr>
        <w:t>
      291. За качество отвечает весь персонал, занятый в производстве.</w:t>
      </w:r>
    </w:p>
    <w:bookmarkEnd w:id="2905"/>
    <w:bookmarkStart w:name="z3009" w:id="2906"/>
    <w:p>
      <w:pPr>
        <w:spacing w:after="0"/>
        <w:ind w:left="0"/>
        <w:jc w:val="both"/>
      </w:pPr>
      <w:r>
        <w:rPr>
          <w:rFonts w:ascii="Times New Roman"/>
          <w:b w:val="false"/>
          <w:i w:val="false"/>
          <w:color w:val="000000"/>
          <w:sz w:val="28"/>
        </w:rPr>
        <w:t>
      292. Каждый производитель разрабатывает, документально оформляет и внедряет эффективную систему управления качеством при активном участии руководящего и соответствующего производственного персонала.</w:t>
      </w:r>
    </w:p>
    <w:bookmarkEnd w:id="2906"/>
    <w:bookmarkStart w:name="z3010" w:id="2907"/>
    <w:p>
      <w:pPr>
        <w:spacing w:after="0"/>
        <w:ind w:left="0"/>
        <w:jc w:val="both"/>
      </w:pPr>
      <w:r>
        <w:rPr>
          <w:rFonts w:ascii="Times New Roman"/>
          <w:b w:val="false"/>
          <w:i w:val="false"/>
          <w:color w:val="000000"/>
          <w:sz w:val="28"/>
        </w:rPr>
        <w:t>
      293. Система управления качеством охватывает организационную структуру, процедуры, процессы и ресурсы, а также деятельность, необходимую для обеспечения гарантии соответствия АФС всем требованиям соответствующих спецификаций в отношении качества и чистоты. Определяют и оформляют документально все виды деятельности, имеющие отношение к качеству.</w:t>
      </w:r>
    </w:p>
    <w:bookmarkEnd w:id="2907"/>
    <w:bookmarkStart w:name="z3011" w:id="2908"/>
    <w:p>
      <w:pPr>
        <w:spacing w:after="0"/>
        <w:ind w:left="0"/>
        <w:jc w:val="both"/>
      </w:pPr>
      <w:r>
        <w:rPr>
          <w:rFonts w:ascii="Times New Roman"/>
          <w:b w:val="false"/>
          <w:i w:val="false"/>
          <w:color w:val="000000"/>
          <w:sz w:val="28"/>
        </w:rPr>
        <w:t>
      294. Имеются независимый от производственного отдела отдел (отделы) качества, который выполняет функции обеспечения качества и контроля качества. Это могут быть либо отдельные службы обеспечения качества и контроля качества, либо одно лицо или группа лиц в зависимости от размеров и структуры организации.</w:t>
      </w:r>
    </w:p>
    <w:bookmarkEnd w:id="2908"/>
    <w:bookmarkStart w:name="z3012" w:id="2909"/>
    <w:p>
      <w:pPr>
        <w:spacing w:after="0"/>
        <w:ind w:left="0"/>
        <w:jc w:val="both"/>
      </w:pPr>
      <w:r>
        <w:rPr>
          <w:rFonts w:ascii="Times New Roman"/>
          <w:b w:val="false"/>
          <w:i w:val="false"/>
          <w:color w:val="000000"/>
          <w:sz w:val="28"/>
        </w:rPr>
        <w:t>
      295. Точно определяют лиц, уполномоченных выдавать разрешение на выпуск промежуточной продукции и АФС.</w:t>
      </w:r>
    </w:p>
    <w:bookmarkEnd w:id="2909"/>
    <w:bookmarkStart w:name="z3013" w:id="2910"/>
    <w:p>
      <w:pPr>
        <w:spacing w:after="0"/>
        <w:ind w:left="0"/>
        <w:jc w:val="both"/>
      </w:pPr>
      <w:r>
        <w:rPr>
          <w:rFonts w:ascii="Times New Roman"/>
          <w:b w:val="false"/>
          <w:i w:val="false"/>
          <w:color w:val="000000"/>
          <w:sz w:val="28"/>
        </w:rPr>
        <w:t>
      296. Все действия, имеющие отношение к качеству, оформляют документально непосредственно при их выполнении.</w:t>
      </w:r>
    </w:p>
    <w:bookmarkEnd w:id="2910"/>
    <w:bookmarkStart w:name="z3014" w:id="2911"/>
    <w:p>
      <w:pPr>
        <w:spacing w:after="0"/>
        <w:ind w:left="0"/>
        <w:jc w:val="both"/>
      </w:pPr>
      <w:r>
        <w:rPr>
          <w:rFonts w:ascii="Times New Roman"/>
          <w:b w:val="false"/>
          <w:i w:val="false"/>
          <w:color w:val="000000"/>
          <w:sz w:val="28"/>
        </w:rPr>
        <w:t>
      297. Любое отклонение от установленных процедур оформляют документально и обосновывают. Проводится расследование критических отклонений, а также оформляют документально это расследование и сделанные выводы.</w:t>
      </w:r>
    </w:p>
    <w:bookmarkEnd w:id="2911"/>
    <w:bookmarkStart w:name="z3015" w:id="2912"/>
    <w:p>
      <w:pPr>
        <w:spacing w:after="0"/>
        <w:ind w:left="0"/>
        <w:jc w:val="both"/>
      </w:pPr>
      <w:r>
        <w:rPr>
          <w:rFonts w:ascii="Times New Roman"/>
          <w:b w:val="false"/>
          <w:i w:val="false"/>
          <w:color w:val="000000"/>
          <w:sz w:val="28"/>
        </w:rPr>
        <w:t>
      298. Материалы не разрешены к выпуску или использованию до получения удовлетворительного заключения по результатам оценки, проведенной отделом (отделами) качества, если на предприятии не существует соответствующих систем, разрешающих такое использование (например, выпуск в статусе карантина, как описано в пункте 474- настоящей части Стандарта, либо использование сырья или промежуточной продукции, оценка качества которых еще не завершена).</w:t>
      </w:r>
    </w:p>
    <w:bookmarkEnd w:id="2912"/>
    <w:bookmarkStart w:name="z3016" w:id="2913"/>
    <w:p>
      <w:pPr>
        <w:spacing w:after="0"/>
        <w:ind w:left="0"/>
        <w:jc w:val="both"/>
      </w:pPr>
      <w:r>
        <w:rPr>
          <w:rFonts w:ascii="Times New Roman"/>
          <w:b w:val="false"/>
          <w:i w:val="false"/>
          <w:color w:val="000000"/>
          <w:sz w:val="28"/>
        </w:rPr>
        <w:t>
      299. Разрабатывают процедуры своевременного оповещения ответственных руководящих лиц о результатах инспекций уполномоченных органов, серьезных недостатках в отношении соблюдения требований настоящего Стандарта, дефектах продукции и о принятии соответствующих мер (например, о претензиях в отношении качества, отзывах, действиях уполномоченных органов и др.).</w:t>
      </w:r>
    </w:p>
    <w:bookmarkEnd w:id="2913"/>
    <w:bookmarkStart w:name="z3017" w:id="2914"/>
    <w:p>
      <w:pPr>
        <w:spacing w:after="0"/>
        <w:ind w:left="0"/>
        <w:jc w:val="both"/>
      </w:pPr>
      <w:r>
        <w:rPr>
          <w:rFonts w:ascii="Times New Roman"/>
          <w:b w:val="false"/>
          <w:i w:val="false"/>
          <w:color w:val="000000"/>
          <w:sz w:val="28"/>
        </w:rPr>
        <w:t>
      300. Для достижения цели управления качеством внедряется всесторонне разработанная и правильно функционирующая система качества, включающая в себя надлежащую производственную практику, контроль качества и управление рисками для качества.</w:t>
      </w:r>
    </w:p>
    <w:bookmarkEnd w:id="2914"/>
    <w:bookmarkStart w:name="z3018" w:id="2915"/>
    <w:p>
      <w:pPr>
        <w:spacing w:after="0"/>
        <w:ind w:left="0"/>
        <w:jc w:val="left"/>
      </w:pPr>
      <w:r>
        <w:rPr>
          <w:rFonts w:ascii="Times New Roman"/>
          <w:b/>
          <w:i w:val="false"/>
          <w:color w:val="000000"/>
        </w:rPr>
        <w:t xml:space="preserve"> Параграф 6. Управление рисками для качества</w:t>
      </w:r>
    </w:p>
    <w:bookmarkEnd w:id="2915"/>
    <w:bookmarkStart w:name="z3019" w:id="2916"/>
    <w:p>
      <w:pPr>
        <w:spacing w:after="0"/>
        <w:ind w:left="0"/>
        <w:jc w:val="both"/>
      </w:pPr>
      <w:r>
        <w:rPr>
          <w:rFonts w:ascii="Times New Roman"/>
          <w:b w:val="false"/>
          <w:i w:val="false"/>
          <w:color w:val="000000"/>
          <w:sz w:val="28"/>
        </w:rPr>
        <w:t>
      301. Управление рисками для качества является систематическим процессом оценки, контроля, передачи информации и обзора рисков для качества АФС. Этот процесс можно осуществлять как перспективно, так и ретроспективно.</w:t>
      </w:r>
    </w:p>
    <w:bookmarkEnd w:id="2916"/>
    <w:bookmarkStart w:name="z3020" w:id="2917"/>
    <w:p>
      <w:pPr>
        <w:spacing w:after="0"/>
        <w:ind w:left="0"/>
        <w:jc w:val="both"/>
      </w:pPr>
      <w:r>
        <w:rPr>
          <w:rFonts w:ascii="Times New Roman"/>
          <w:b w:val="false"/>
          <w:i w:val="false"/>
          <w:color w:val="000000"/>
          <w:sz w:val="28"/>
        </w:rPr>
        <w:t>
      302. Система управления рисками для качества гарантирует, что:</w:t>
      </w:r>
    </w:p>
    <w:bookmarkEnd w:id="2917"/>
    <w:bookmarkStart w:name="z3021" w:id="2918"/>
    <w:p>
      <w:pPr>
        <w:spacing w:after="0"/>
        <w:ind w:left="0"/>
        <w:jc w:val="both"/>
      </w:pPr>
      <w:r>
        <w:rPr>
          <w:rFonts w:ascii="Times New Roman"/>
          <w:b w:val="false"/>
          <w:i w:val="false"/>
          <w:color w:val="000000"/>
          <w:sz w:val="28"/>
        </w:rPr>
        <w:t>
      оценка рисков базируется на научных знаниях, опыте производства и в конечном счете связана с защитой пациента путем обмена информацией с потребителем АФС;</w:t>
      </w:r>
    </w:p>
    <w:bookmarkEnd w:id="2918"/>
    <w:bookmarkStart w:name="z3022" w:id="2919"/>
    <w:p>
      <w:pPr>
        <w:spacing w:after="0"/>
        <w:ind w:left="0"/>
        <w:jc w:val="both"/>
      </w:pPr>
      <w:r>
        <w:rPr>
          <w:rFonts w:ascii="Times New Roman"/>
          <w:b w:val="false"/>
          <w:i w:val="false"/>
          <w:color w:val="000000"/>
          <w:sz w:val="28"/>
        </w:rPr>
        <w:t>
      уровень усилий, формализации и документального оформления процесса управления рисками для качества соизмерим с уровнем рисков.</w:t>
      </w:r>
    </w:p>
    <w:bookmarkEnd w:id="2919"/>
    <w:bookmarkStart w:name="z3023" w:id="2920"/>
    <w:p>
      <w:pPr>
        <w:spacing w:after="0"/>
        <w:ind w:left="0"/>
        <w:jc w:val="both"/>
      </w:pPr>
      <w:r>
        <w:rPr>
          <w:rFonts w:ascii="Times New Roman"/>
          <w:b w:val="false"/>
          <w:i w:val="false"/>
          <w:color w:val="000000"/>
          <w:sz w:val="28"/>
        </w:rPr>
        <w:t>
      Примеры процессов и применения управления рисками для качества приведены в части III настоящего Стандарта.</w:t>
      </w:r>
    </w:p>
    <w:bookmarkEnd w:id="2920"/>
    <w:bookmarkStart w:name="z3024" w:id="2921"/>
    <w:p>
      <w:pPr>
        <w:spacing w:after="0"/>
        <w:ind w:left="0"/>
        <w:jc w:val="left"/>
      </w:pPr>
      <w:r>
        <w:rPr>
          <w:rFonts w:ascii="Times New Roman"/>
          <w:b/>
          <w:i w:val="false"/>
          <w:color w:val="000000"/>
        </w:rPr>
        <w:t xml:space="preserve"> Параграф 7. Обязанности отдела (отделов) качества</w:t>
      </w:r>
    </w:p>
    <w:bookmarkEnd w:id="2921"/>
    <w:bookmarkStart w:name="z3025" w:id="2922"/>
    <w:p>
      <w:pPr>
        <w:spacing w:after="0"/>
        <w:ind w:left="0"/>
        <w:jc w:val="both"/>
      </w:pPr>
      <w:r>
        <w:rPr>
          <w:rFonts w:ascii="Times New Roman"/>
          <w:b w:val="false"/>
          <w:i w:val="false"/>
          <w:color w:val="000000"/>
          <w:sz w:val="28"/>
        </w:rPr>
        <w:t>
      303. Отдел качества вовлечен в решение всех вопросов, относящихся к качеству.</w:t>
      </w:r>
    </w:p>
    <w:bookmarkEnd w:id="2922"/>
    <w:bookmarkStart w:name="z3026" w:id="2923"/>
    <w:p>
      <w:pPr>
        <w:spacing w:after="0"/>
        <w:ind w:left="0"/>
        <w:jc w:val="both"/>
      </w:pPr>
      <w:r>
        <w:rPr>
          <w:rFonts w:ascii="Times New Roman"/>
          <w:b w:val="false"/>
          <w:i w:val="false"/>
          <w:color w:val="000000"/>
          <w:sz w:val="28"/>
        </w:rPr>
        <w:t>
      304. Отдел качества рассматривает и согласовывает все документы, имеющие отношение к качеству продукции.</w:t>
      </w:r>
    </w:p>
    <w:bookmarkEnd w:id="2923"/>
    <w:bookmarkStart w:name="z3027" w:id="2924"/>
    <w:p>
      <w:pPr>
        <w:spacing w:after="0"/>
        <w:ind w:left="0"/>
        <w:jc w:val="both"/>
      </w:pPr>
      <w:r>
        <w:rPr>
          <w:rFonts w:ascii="Times New Roman"/>
          <w:b w:val="false"/>
          <w:i w:val="false"/>
          <w:color w:val="000000"/>
          <w:sz w:val="28"/>
        </w:rPr>
        <w:t>
      305. Основные обязанности независимого отдела качества не подлежат передаче другим службам. Эти обязанности представляют в письменном виде и включают следующее (но не обязательно ограничиваться этим):</w:t>
      </w:r>
    </w:p>
    <w:bookmarkEnd w:id="2924"/>
    <w:bookmarkStart w:name="z3028" w:id="2925"/>
    <w:p>
      <w:pPr>
        <w:spacing w:after="0"/>
        <w:ind w:left="0"/>
        <w:jc w:val="both"/>
      </w:pPr>
      <w:r>
        <w:rPr>
          <w:rFonts w:ascii="Times New Roman"/>
          <w:b w:val="false"/>
          <w:i w:val="false"/>
          <w:color w:val="000000"/>
          <w:sz w:val="28"/>
        </w:rPr>
        <w:t>
      выдача разрешения на выпуск или отклонение всех АФС. Выдача разрешения на выпуск или отклонение промежуточной продукции, предназначенной для использования вне сферы контроля предприятия-производителя;</w:t>
      </w:r>
    </w:p>
    <w:bookmarkEnd w:id="2925"/>
    <w:bookmarkStart w:name="z3029" w:id="2926"/>
    <w:p>
      <w:pPr>
        <w:spacing w:after="0"/>
        <w:ind w:left="0"/>
        <w:jc w:val="both"/>
      </w:pPr>
      <w:r>
        <w:rPr>
          <w:rFonts w:ascii="Times New Roman"/>
          <w:b w:val="false"/>
          <w:i w:val="false"/>
          <w:color w:val="000000"/>
          <w:sz w:val="28"/>
        </w:rPr>
        <w:t>
      создание системы выдачи разрешения на выпуск или отклонения исходного сырья, промежуточной продукции, материалов для упаковки и маркировки;</w:t>
      </w:r>
    </w:p>
    <w:bookmarkEnd w:id="2926"/>
    <w:bookmarkStart w:name="z3030" w:id="2927"/>
    <w:p>
      <w:pPr>
        <w:spacing w:after="0"/>
        <w:ind w:left="0"/>
        <w:jc w:val="both"/>
      </w:pPr>
      <w:r>
        <w:rPr>
          <w:rFonts w:ascii="Times New Roman"/>
          <w:b w:val="false"/>
          <w:i w:val="false"/>
          <w:color w:val="000000"/>
          <w:sz w:val="28"/>
        </w:rPr>
        <w:t>
      проверка заполненных записей по производству серии и документов лабораторного контроля в отношении критических стадий процесса перед выдачей разрешения на выпуск АФС для реализации;</w:t>
      </w:r>
    </w:p>
    <w:bookmarkEnd w:id="2927"/>
    <w:bookmarkStart w:name="z3031" w:id="2928"/>
    <w:p>
      <w:pPr>
        <w:spacing w:after="0"/>
        <w:ind w:left="0"/>
        <w:jc w:val="both"/>
      </w:pPr>
      <w:r>
        <w:rPr>
          <w:rFonts w:ascii="Times New Roman"/>
          <w:b w:val="false"/>
          <w:i w:val="false"/>
          <w:color w:val="000000"/>
          <w:sz w:val="28"/>
        </w:rPr>
        <w:t>
      обеспечение расследования причин критических отклонений и их устранение;</w:t>
      </w:r>
    </w:p>
    <w:bookmarkEnd w:id="2928"/>
    <w:bookmarkStart w:name="z3032" w:id="2929"/>
    <w:p>
      <w:pPr>
        <w:spacing w:after="0"/>
        <w:ind w:left="0"/>
        <w:jc w:val="both"/>
      </w:pPr>
      <w:r>
        <w:rPr>
          <w:rFonts w:ascii="Times New Roman"/>
          <w:b w:val="false"/>
          <w:i w:val="false"/>
          <w:color w:val="000000"/>
          <w:sz w:val="28"/>
        </w:rPr>
        <w:t>
      согласование или утверждение всех спецификаций и основных производственных инструкций;</w:t>
      </w:r>
    </w:p>
    <w:bookmarkEnd w:id="2929"/>
    <w:bookmarkStart w:name="z3033" w:id="2930"/>
    <w:p>
      <w:pPr>
        <w:spacing w:after="0"/>
        <w:ind w:left="0"/>
        <w:jc w:val="both"/>
      </w:pPr>
      <w:r>
        <w:rPr>
          <w:rFonts w:ascii="Times New Roman"/>
          <w:b w:val="false"/>
          <w:i w:val="false"/>
          <w:color w:val="000000"/>
          <w:sz w:val="28"/>
        </w:rPr>
        <w:t>
      согласование или утверждение всех процедур, которые могут оказывать влияние на качество промежуточной продукции или АФС;</w:t>
      </w:r>
    </w:p>
    <w:bookmarkEnd w:id="2930"/>
    <w:bookmarkStart w:name="z3034" w:id="2931"/>
    <w:p>
      <w:pPr>
        <w:spacing w:after="0"/>
        <w:ind w:left="0"/>
        <w:jc w:val="both"/>
      </w:pPr>
      <w:r>
        <w:rPr>
          <w:rFonts w:ascii="Times New Roman"/>
          <w:b w:val="false"/>
          <w:i w:val="false"/>
          <w:color w:val="000000"/>
          <w:sz w:val="28"/>
        </w:rPr>
        <w:t>
      обеспечение проведения внутренних аудитов (самоинспекций); одобрение производителей промежуточной продукции и АФС, работающих по контракту;</w:t>
      </w:r>
    </w:p>
    <w:bookmarkEnd w:id="2931"/>
    <w:bookmarkStart w:name="z3035" w:id="2932"/>
    <w:p>
      <w:pPr>
        <w:spacing w:after="0"/>
        <w:ind w:left="0"/>
        <w:jc w:val="both"/>
      </w:pPr>
      <w:r>
        <w:rPr>
          <w:rFonts w:ascii="Times New Roman"/>
          <w:b w:val="false"/>
          <w:i w:val="false"/>
          <w:color w:val="000000"/>
          <w:sz w:val="28"/>
        </w:rPr>
        <w:t>
      утверждение изменений, которые потенциально могут повлиять на качество промежуточной продукции или АФС;</w:t>
      </w:r>
    </w:p>
    <w:bookmarkEnd w:id="2932"/>
    <w:bookmarkStart w:name="z3036" w:id="2933"/>
    <w:p>
      <w:pPr>
        <w:spacing w:after="0"/>
        <w:ind w:left="0"/>
        <w:jc w:val="both"/>
      </w:pPr>
      <w:r>
        <w:rPr>
          <w:rFonts w:ascii="Times New Roman"/>
          <w:b w:val="false"/>
          <w:i w:val="false"/>
          <w:color w:val="000000"/>
          <w:sz w:val="28"/>
        </w:rPr>
        <w:t>
      рассмотрение и утверждение протоколов и отчетов по валидации;</w:t>
      </w:r>
    </w:p>
    <w:bookmarkEnd w:id="2933"/>
    <w:bookmarkStart w:name="z3037" w:id="2934"/>
    <w:p>
      <w:pPr>
        <w:spacing w:after="0"/>
        <w:ind w:left="0"/>
        <w:jc w:val="both"/>
      </w:pPr>
      <w:r>
        <w:rPr>
          <w:rFonts w:ascii="Times New Roman"/>
          <w:b w:val="false"/>
          <w:i w:val="false"/>
          <w:color w:val="000000"/>
          <w:sz w:val="28"/>
        </w:rPr>
        <w:t>
      обеспечение проведения расследования и принятия решений по претензиям, связанным с качеством;</w:t>
      </w:r>
    </w:p>
    <w:bookmarkEnd w:id="2934"/>
    <w:bookmarkStart w:name="z3038" w:id="2935"/>
    <w:p>
      <w:pPr>
        <w:spacing w:after="0"/>
        <w:ind w:left="0"/>
        <w:jc w:val="both"/>
      </w:pPr>
      <w:r>
        <w:rPr>
          <w:rFonts w:ascii="Times New Roman"/>
          <w:b w:val="false"/>
          <w:i w:val="false"/>
          <w:color w:val="000000"/>
          <w:sz w:val="28"/>
        </w:rPr>
        <w:t>
      подтверждение того, что системы, использующиеся для технического обслуживания, калибровки и поверки критического оборудования, являются эффективными;</w:t>
      </w:r>
    </w:p>
    <w:bookmarkEnd w:id="2935"/>
    <w:bookmarkStart w:name="z3039" w:id="2936"/>
    <w:p>
      <w:pPr>
        <w:spacing w:after="0"/>
        <w:ind w:left="0"/>
        <w:jc w:val="both"/>
      </w:pPr>
      <w:r>
        <w:rPr>
          <w:rFonts w:ascii="Times New Roman"/>
          <w:b w:val="false"/>
          <w:i w:val="false"/>
          <w:color w:val="000000"/>
          <w:sz w:val="28"/>
        </w:rPr>
        <w:t>
      обеспечение испытаний исходного сырья и материалов и документального оформления результатов;</w:t>
      </w:r>
    </w:p>
    <w:bookmarkEnd w:id="2936"/>
    <w:bookmarkStart w:name="z3040" w:id="2937"/>
    <w:p>
      <w:pPr>
        <w:spacing w:after="0"/>
        <w:ind w:left="0"/>
        <w:jc w:val="both"/>
      </w:pPr>
      <w:r>
        <w:rPr>
          <w:rFonts w:ascii="Times New Roman"/>
          <w:b w:val="false"/>
          <w:i w:val="false"/>
          <w:color w:val="000000"/>
          <w:sz w:val="28"/>
        </w:rPr>
        <w:t>
      обеспечение наличия данных о стабильности для подтверждения устанавливаемых дат проведения повторных испытаний или истечения сроков годности, а также условий хранения АФС и (или) промежуточной продукции в тех случаях, когда это целесообразно;</w:t>
      </w:r>
    </w:p>
    <w:bookmarkEnd w:id="2937"/>
    <w:bookmarkStart w:name="z3041" w:id="2938"/>
    <w:p>
      <w:pPr>
        <w:spacing w:after="0"/>
        <w:ind w:left="0"/>
        <w:jc w:val="both"/>
      </w:pPr>
      <w:r>
        <w:rPr>
          <w:rFonts w:ascii="Times New Roman"/>
          <w:b w:val="false"/>
          <w:i w:val="false"/>
          <w:color w:val="000000"/>
          <w:sz w:val="28"/>
        </w:rPr>
        <w:t>
      проведение обзоров качества продукции (согласно указаниям, приведенным в пункте 309 настоящей части Стандарта).</w:t>
      </w:r>
    </w:p>
    <w:bookmarkEnd w:id="2938"/>
    <w:bookmarkStart w:name="z3042" w:id="2939"/>
    <w:p>
      <w:pPr>
        <w:spacing w:after="0"/>
        <w:ind w:left="0"/>
        <w:jc w:val="left"/>
      </w:pPr>
      <w:r>
        <w:rPr>
          <w:rFonts w:ascii="Times New Roman"/>
          <w:b/>
          <w:i w:val="false"/>
          <w:color w:val="000000"/>
        </w:rPr>
        <w:t xml:space="preserve"> Параграф 8. Обязанности по производственной деятельности</w:t>
      </w:r>
    </w:p>
    <w:bookmarkEnd w:id="2939"/>
    <w:bookmarkStart w:name="z3043" w:id="2940"/>
    <w:p>
      <w:pPr>
        <w:spacing w:after="0"/>
        <w:ind w:left="0"/>
        <w:jc w:val="both"/>
      </w:pPr>
      <w:r>
        <w:rPr>
          <w:rFonts w:ascii="Times New Roman"/>
          <w:b w:val="false"/>
          <w:i w:val="false"/>
          <w:color w:val="000000"/>
          <w:sz w:val="28"/>
        </w:rPr>
        <w:t>
      306. Обязанности по производственной деятельности представляют в письменном виде и включают следующее (но не обязательно ограничиваться этим):</w:t>
      </w:r>
    </w:p>
    <w:bookmarkEnd w:id="2940"/>
    <w:bookmarkStart w:name="z3044" w:id="2941"/>
    <w:p>
      <w:pPr>
        <w:spacing w:after="0"/>
        <w:ind w:left="0"/>
        <w:jc w:val="both"/>
      </w:pPr>
      <w:r>
        <w:rPr>
          <w:rFonts w:ascii="Times New Roman"/>
          <w:b w:val="false"/>
          <w:i w:val="false"/>
          <w:color w:val="000000"/>
          <w:sz w:val="28"/>
        </w:rPr>
        <w:t>
      1) разработка, пересмотр, утверждение и распределение инструкций по производству промежуточной продукции или АФС в соответствии с утвержденной процедурой;</w:t>
      </w:r>
    </w:p>
    <w:bookmarkEnd w:id="2941"/>
    <w:bookmarkStart w:name="z3045" w:id="2942"/>
    <w:p>
      <w:pPr>
        <w:spacing w:after="0"/>
        <w:ind w:left="0"/>
        <w:jc w:val="both"/>
      </w:pPr>
      <w:r>
        <w:rPr>
          <w:rFonts w:ascii="Times New Roman"/>
          <w:b w:val="false"/>
          <w:i w:val="false"/>
          <w:color w:val="000000"/>
          <w:sz w:val="28"/>
        </w:rPr>
        <w:t>
      2) производство АФС и, при необходимости, промежуточной продукции в соответствии с заранее утвержденными инструкциями;</w:t>
      </w:r>
    </w:p>
    <w:bookmarkEnd w:id="2942"/>
    <w:bookmarkStart w:name="z3046" w:id="2943"/>
    <w:p>
      <w:pPr>
        <w:spacing w:after="0"/>
        <w:ind w:left="0"/>
        <w:jc w:val="both"/>
      </w:pPr>
      <w:r>
        <w:rPr>
          <w:rFonts w:ascii="Times New Roman"/>
          <w:b w:val="false"/>
          <w:i w:val="false"/>
          <w:color w:val="000000"/>
          <w:sz w:val="28"/>
        </w:rPr>
        <w:t>
      3) рассмотрение всех записей по производству серии продукции и подтверждение их заполнения и подписания;</w:t>
      </w:r>
    </w:p>
    <w:bookmarkEnd w:id="2943"/>
    <w:bookmarkStart w:name="z3047" w:id="2944"/>
    <w:p>
      <w:pPr>
        <w:spacing w:after="0"/>
        <w:ind w:left="0"/>
        <w:jc w:val="both"/>
      </w:pPr>
      <w:r>
        <w:rPr>
          <w:rFonts w:ascii="Times New Roman"/>
          <w:b w:val="false"/>
          <w:i w:val="false"/>
          <w:color w:val="000000"/>
          <w:sz w:val="28"/>
        </w:rPr>
        <w:t>
      4) обеспечение обязательного документирования всех отклонений от процесса производства и проведения их оценки, а также расследования всех критических отклонений и документального оформления полученных выводов;</w:t>
      </w:r>
    </w:p>
    <w:bookmarkEnd w:id="2944"/>
    <w:bookmarkStart w:name="z3048" w:id="2945"/>
    <w:p>
      <w:pPr>
        <w:spacing w:after="0"/>
        <w:ind w:left="0"/>
        <w:jc w:val="both"/>
      </w:pPr>
      <w:r>
        <w:rPr>
          <w:rFonts w:ascii="Times New Roman"/>
          <w:b w:val="false"/>
          <w:i w:val="false"/>
          <w:color w:val="000000"/>
          <w:sz w:val="28"/>
        </w:rPr>
        <w:t>
      5) обеспечение чистоты производственных помещений и, при необходимости, их дезинфекции;</w:t>
      </w:r>
    </w:p>
    <w:bookmarkEnd w:id="2945"/>
    <w:bookmarkStart w:name="z3049" w:id="2946"/>
    <w:p>
      <w:pPr>
        <w:spacing w:after="0"/>
        <w:ind w:left="0"/>
        <w:jc w:val="both"/>
      </w:pPr>
      <w:r>
        <w:rPr>
          <w:rFonts w:ascii="Times New Roman"/>
          <w:b w:val="false"/>
          <w:i w:val="false"/>
          <w:color w:val="000000"/>
          <w:sz w:val="28"/>
        </w:rPr>
        <w:t>
      6) обеспечение выполнения необходимых калибровок, а также ведения и хранения записей;</w:t>
      </w:r>
    </w:p>
    <w:bookmarkEnd w:id="2946"/>
    <w:bookmarkStart w:name="z3050" w:id="2947"/>
    <w:p>
      <w:pPr>
        <w:spacing w:after="0"/>
        <w:ind w:left="0"/>
        <w:jc w:val="both"/>
      </w:pPr>
      <w:r>
        <w:rPr>
          <w:rFonts w:ascii="Times New Roman"/>
          <w:b w:val="false"/>
          <w:i w:val="false"/>
          <w:color w:val="000000"/>
          <w:sz w:val="28"/>
        </w:rPr>
        <w:t>
      7) обеспечение обслуживания помещений и оборудования, а также ведения и хранения записей;</w:t>
      </w:r>
    </w:p>
    <w:bookmarkEnd w:id="2947"/>
    <w:bookmarkStart w:name="z3051" w:id="2948"/>
    <w:p>
      <w:pPr>
        <w:spacing w:after="0"/>
        <w:ind w:left="0"/>
        <w:jc w:val="both"/>
      </w:pPr>
      <w:r>
        <w:rPr>
          <w:rFonts w:ascii="Times New Roman"/>
          <w:b w:val="false"/>
          <w:i w:val="false"/>
          <w:color w:val="000000"/>
          <w:sz w:val="28"/>
        </w:rPr>
        <w:t>
      8) обеспечение проверки и согласования протоколов валидации и отчетов;</w:t>
      </w:r>
    </w:p>
    <w:bookmarkEnd w:id="2948"/>
    <w:bookmarkStart w:name="z3052" w:id="2949"/>
    <w:p>
      <w:pPr>
        <w:spacing w:after="0"/>
        <w:ind w:left="0"/>
        <w:jc w:val="both"/>
      </w:pPr>
      <w:r>
        <w:rPr>
          <w:rFonts w:ascii="Times New Roman"/>
          <w:b w:val="false"/>
          <w:i w:val="false"/>
          <w:color w:val="000000"/>
          <w:sz w:val="28"/>
        </w:rPr>
        <w:t>
      9) оценка предлагаемых изменений в отношении продукции, процесса или оборудования;</w:t>
      </w:r>
    </w:p>
    <w:bookmarkEnd w:id="2949"/>
    <w:bookmarkStart w:name="z3053" w:id="2950"/>
    <w:p>
      <w:pPr>
        <w:spacing w:after="0"/>
        <w:ind w:left="0"/>
        <w:jc w:val="both"/>
      </w:pPr>
      <w:r>
        <w:rPr>
          <w:rFonts w:ascii="Times New Roman"/>
          <w:b w:val="false"/>
          <w:i w:val="false"/>
          <w:color w:val="000000"/>
          <w:sz w:val="28"/>
        </w:rPr>
        <w:t>
      10) обеспечение квалификации новых и, при необходимости, модернизированных помещений и оборудования.</w:t>
      </w:r>
    </w:p>
    <w:bookmarkEnd w:id="2950"/>
    <w:bookmarkStart w:name="z3054" w:id="2951"/>
    <w:p>
      <w:pPr>
        <w:spacing w:after="0"/>
        <w:ind w:left="0"/>
        <w:jc w:val="left"/>
      </w:pPr>
      <w:r>
        <w:rPr>
          <w:rFonts w:ascii="Times New Roman"/>
          <w:b/>
          <w:i w:val="false"/>
          <w:color w:val="000000"/>
        </w:rPr>
        <w:t xml:space="preserve"> Параграф 9. Внутренние аудиты (самоинспекция)</w:t>
      </w:r>
    </w:p>
    <w:bookmarkEnd w:id="2951"/>
    <w:bookmarkStart w:name="z3055" w:id="2952"/>
    <w:p>
      <w:pPr>
        <w:spacing w:after="0"/>
        <w:ind w:left="0"/>
        <w:jc w:val="both"/>
      </w:pPr>
      <w:r>
        <w:rPr>
          <w:rFonts w:ascii="Times New Roman"/>
          <w:b w:val="false"/>
          <w:i w:val="false"/>
          <w:color w:val="000000"/>
          <w:sz w:val="28"/>
        </w:rPr>
        <w:t>
      307. Для подтверждения соответствия производства АФС требованиям настоящего Стандарта регулярно проводят внутренние аудиты согласно утвержденному графику.</w:t>
      </w:r>
    </w:p>
    <w:bookmarkEnd w:id="2952"/>
    <w:bookmarkStart w:name="z3056" w:id="2953"/>
    <w:p>
      <w:pPr>
        <w:spacing w:after="0"/>
        <w:ind w:left="0"/>
        <w:jc w:val="both"/>
      </w:pPr>
      <w:r>
        <w:rPr>
          <w:rFonts w:ascii="Times New Roman"/>
          <w:b w:val="false"/>
          <w:i w:val="false"/>
          <w:color w:val="000000"/>
          <w:sz w:val="28"/>
        </w:rPr>
        <w:t>
      308. Результаты внутреннего аудита и последующие корректирующие действия оформляют документально и доводят до сведения ответственных руководителей предприятия. Согласованные корректирующие действия выполняют своевременно и эффективно.</w:t>
      </w:r>
    </w:p>
    <w:bookmarkEnd w:id="2953"/>
    <w:bookmarkStart w:name="z3057" w:id="2954"/>
    <w:p>
      <w:pPr>
        <w:spacing w:after="0"/>
        <w:ind w:left="0"/>
        <w:jc w:val="left"/>
      </w:pPr>
      <w:r>
        <w:rPr>
          <w:rFonts w:ascii="Times New Roman"/>
          <w:b/>
          <w:i w:val="false"/>
          <w:color w:val="000000"/>
        </w:rPr>
        <w:t xml:space="preserve"> Параграф 10. Обзор качества продукции</w:t>
      </w:r>
    </w:p>
    <w:bookmarkEnd w:id="2954"/>
    <w:bookmarkStart w:name="z3058" w:id="2955"/>
    <w:p>
      <w:pPr>
        <w:spacing w:after="0"/>
        <w:ind w:left="0"/>
        <w:jc w:val="both"/>
      </w:pPr>
      <w:r>
        <w:rPr>
          <w:rFonts w:ascii="Times New Roman"/>
          <w:b w:val="false"/>
          <w:i w:val="false"/>
          <w:color w:val="000000"/>
          <w:sz w:val="28"/>
        </w:rPr>
        <w:t>
      309. Для подтверждения постоянства процесса регулярно проводят обзор качества АФС. Такие обзоры качества проводят, как правило, ежегодно с последующим документальным оформлением. Они включают в себя, по крайней мере, следующее:</w:t>
      </w:r>
    </w:p>
    <w:bookmarkEnd w:id="2955"/>
    <w:bookmarkStart w:name="z3059" w:id="2956"/>
    <w:p>
      <w:pPr>
        <w:spacing w:after="0"/>
        <w:ind w:left="0"/>
        <w:jc w:val="both"/>
      </w:pPr>
      <w:r>
        <w:rPr>
          <w:rFonts w:ascii="Times New Roman"/>
          <w:b w:val="false"/>
          <w:i w:val="false"/>
          <w:color w:val="000000"/>
          <w:sz w:val="28"/>
        </w:rPr>
        <w:t>
      1) обзор результатов контроля в процессе производства по критическим точкам и испытаний АФС по критическим показателям;</w:t>
      </w:r>
    </w:p>
    <w:bookmarkEnd w:id="2956"/>
    <w:bookmarkStart w:name="z3060" w:id="2957"/>
    <w:p>
      <w:pPr>
        <w:spacing w:after="0"/>
        <w:ind w:left="0"/>
        <w:jc w:val="both"/>
      </w:pPr>
      <w:r>
        <w:rPr>
          <w:rFonts w:ascii="Times New Roman"/>
          <w:b w:val="false"/>
          <w:i w:val="false"/>
          <w:color w:val="000000"/>
          <w:sz w:val="28"/>
        </w:rPr>
        <w:t>
      2) обзор всех серий, не соответствующих утвержденным спецификациям; обзор всех критических отклонений или несоответствий и связанных с ними расследований;</w:t>
      </w:r>
    </w:p>
    <w:bookmarkEnd w:id="2957"/>
    <w:bookmarkStart w:name="z3061" w:id="2958"/>
    <w:p>
      <w:pPr>
        <w:spacing w:after="0"/>
        <w:ind w:left="0"/>
        <w:jc w:val="both"/>
      </w:pPr>
      <w:r>
        <w:rPr>
          <w:rFonts w:ascii="Times New Roman"/>
          <w:b w:val="false"/>
          <w:i w:val="false"/>
          <w:color w:val="000000"/>
          <w:sz w:val="28"/>
        </w:rPr>
        <w:t>
      3) обзор любых изменений, внесенных в процессы или аналитические методики;</w:t>
      </w:r>
    </w:p>
    <w:bookmarkEnd w:id="2958"/>
    <w:bookmarkStart w:name="z3062" w:id="2959"/>
    <w:p>
      <w:pPr>
        <w:spacing w:after="0"/>
        <w:ind w:left="0"/>
        <w:jc w:val="both"/>
      </w:pPr>
      <w:r>
        <w:rPr>
          <w:rFonts w:ascii="Times New Roman"/>
          <w:b w:val="false"/>
          <w:i w:val="false"/>
          <w:color w:val="000000"/>
          <w:sz w:val="28"/>
        </w:rPr>
        <w:t>
      4) обзор результатов программы изучения стабильности;</w:t>
      </w:r>
    </w:p>
    <w:bookmarkEnd w:id="2959"/>
    <w:bookmarkStart w:name="z3063" w:id="2960"/>
    <w:p>
      <w:pPr>
        <w:spacing w:after="0"/>
        <w:ind w:left="0"/>
        <w:jc w:val="both"/>
      </w:pPr>
      <w:r>
        <w:rPr>
          <w:rFonts w:ascii="Times New Roman"/>
          <w:b w:val="false"/>
          <w:i w:val="false"/>
          <w:color w:val="000000"/>
          <w:sz w:val="28"/>
        </w:rPr>
        <w:t>
      5) обзор всех возвратов, претензий и отзывов, связанных с качеством;</w:t>
      </w:r>
    </w:p>
    <w:bookmarkEnd w:id="2960"/>
    <w:bookmarkStart w:name="z3064" w:id="2961"/>
    <w:p>
      <w:pPr>
        <w:spacing w:after="0"/>
        <w:ind w:left="0"/>
        <w:jc w:val="both"/>
      </w:pPr>
      <w:r>
        <w:rPr>
          <w:rFonts w:ascii="Times New Roman"/>
          <w:b w:val="false"/>
          <w:i w:val="false"/>
          <w:color w:val="000000"/>
          <w:sz w:val="28"/>
        </w:rPr>
        <w:t>
      6) обзор адекватности корректирующих действий.</w:t>
      </w:r>
    </w:p>
    <w:bookmarkEnd w:id="2961"/>
    <w:bookmarkStart w:name="z3065" w:id="2962"/>
    <w:p>
      <w:pPr>
        <w:spacing w:after="0"/>
        <w:ind w:left="0"/>
        <w:jc w:val="both"/>
      </w:pPr>
      <w:r>
        <w:rPr>
          <w:rFonts w:ascii="Times New Roman"/>
          <w:b w:val="false"/>
          <w:i w:val="false"/>
          <w:color w:val="000000"/>
          <w:sz w:val="28"/>
        </w:rPr>
        <w:t>
      310. Анализируются результаты этого обзора и оцениваются, предпринимают корректирующее действие или проводят повторную валидацию. Обоснование необходимости такого корректирующего действия оформляются документально. Согласованные корректирующие действия осуществляют своевременно и эффективно.</w:t>
      </w:r>
    </w:p>
    <w:bookmarkEnd w:id="2962"/>
    <w:bookmarkStart w:name="z3066" w:id="2963"/>
    <w:p>
      <w:pPr>
        <w:spacing w:after="0"/>
        <w:ind w:left="0"/>
        <w:jc w:val="left"/>
      </w:pPr>
      <w:r>
        <w:rPr>
          <w:rFonts w:ascii="Times New Roman"/>
          <w:b/>
          <w:i w:val="false"/>
          <w:color w:val="000000"/>
        </w:rPr>
        <w:t xml:space="preserve"> Параграф 11. Персонал</w:t>
      </w:r>
    </w:p>
    <w:bookmarkEnd w:id="2963"/>
    <w:bookmarkStart w:name="z3067" w:id="2964"/>
    <w:p>
      <w:pPr>
        <w:spacing w:after="0"/>
        <w:ind w:left="0"/>
        <w:jc w:val="both"/>
      </w:pPr>
      <w:r>
        <w:rPr>
          <w:rFonts w:ascii="Times New Roman"/>
          <w:b w:val="false"/>
          <w:i w:val="false"/>
          <w:color w:val="000000"/>
          <w:sz w:val="28"/>
        </w:rPr>
        <w:t>
      311. Достаточное количество персонала, имеющего соответствующее образование, подготовку и (или) практический опыт для осуществления производства промежуточной продукции и АФС, а также надзора за их производством.</w:t>
      </w:r>
    </w:p>
    <w:bookmarkEnd w:id="2964"/>
    <w:bookmarkStart w:name="z3068" w:id="2965"/>
    <w:p>
      <w:pPr>
        <w:spacing w:after="0"/>
        <w:ind w:left="0"/>
        <w:jc w:val="both"/>
      </w:pPr>
      <w:r>
        <w:rPr>
          <w:rFonts w:ascii="Times New Roman"/>
          <w:b w:val="false"/>
          <w:i w:val="false"/>
          <w:color w:val="000000"/>
          <w:sz w:val="28"/>
        </w:rPr>
        <w:t>
      312. Обязанности всего персонала, занятого в производстве промежуточной продукции и АФС, точно определены и изложены в письменной форме.</w:t>
      </w:r>
    </w:p>
    <w:bookmarkEnd w:id="2965"/>
    <w:bookmarkStart w:name="z3069" w:id="2966"/>
    <w:p>
      <w:pPr>
        <w:spacing w:after="0"/>
        <w:ind w:left="0"/>
        <w:jc w:val="both"/>
      </w:pPr>
      <w:r>
        <w:rPr>
          <w:rFonts w:ascii="Times New Roman"/>
          <w:b w:val="false"/>
          <w:i w:val="false"/>
          <w:color w:val="000000"/>
          <w:sz w:val="28"/>
        </w:rPr>
        <w:t>
      313. Регулярно проводится обучение персонала с привлечением квалифицированных специалистов, как минимум, по вопросам, связанным с конкретными операциями, выполняемыми сотрудником, а также с требованиями настоящих Стандарта, имеющими отношение к функциональным обязанностям сотрудника. Ведутся записи обучения, а само обучение периодически оценивают.</w:t>
      </w:r>
    </w:p>
    <w:bookmarkEnd w:id="2966"/>
    <w:bookmarkStart w:name="z3070" w:id="2967"/>
    <w:p>
      <w:pPr>
        <w:spacing w:after="0"/>
        <w:ind w:left="0"/>
        <w:jc w:val="left"/>
      </w:pPr>
      <w:r>
        <w:rPr>
          <w:rFonts w:ascii="Times New Roman"/>
          <w:b/>
          <w:i w:val="false"/>
          <w:color w:val="000000"/>
        </w:rPr>
        <w:t xml:space="preserve"> Параграф 12. Гигиена персонала</w:t>
      </w:r>
    </w:p>
    <w:bookmarkEnd w:id="2967"/>
    <w:bookmarkStart w:name="z3071" w:id="2968"/>
    <w:p>
      <w:pPr>
        <w:spacing w:after="0"/>
        <w:ind w:left="0"/>
        <w:jc w:val="both"/>
      </w:pPr>
      <w:r>
        <w:rPr>
          <w:rFonts w:ascii="Times New Roman"/>
          <w:b w:val="false"/>
          <w:i w:val="false"/>
          <w:color w:val="000000"/>
          <w:sz w:val="28"/>
        </w:rPr>
        <w:t>
      314. Персонал соблюдает правила гигиены.</w:t>
      </w:r>
    </w:p>
    <w:bookmarkEnd w:id="2968"/>
    <w:bookmarkStart w:name="z3072" w:id="2969"/>
    <w:p>
      <w:pPr>
        <w:spacing w:after="0"/>
        <w:ind w:left="0"/>
        <w:jc w:val="both"/>
      </w:pPr>
      <w:r>
        <w:rPr>
          <w:rFonts w:ascii="Times New Roman"/>
          <w:b w:val="false"/>
          <w:i w:val="false"/>
          <w:color w:val="000000"/>
          <w:sz w:val="28"/>
        </w:rPr>
        <w:t>
      315. Персонал носить чистую, соответствующую его производственной деятельности одежду, которую при необходимости меняет. Чтобы защитить промежуточную продукцию и АФС от контаминации, при необходимости используют дополнительную защитную одежду, закрывающую голову, лицо, руки и кисти рук.</w:t>
      </w:r>
    </w:p>
    <w:bookmarkEnd w:id="2969"/>
    <w:bookmarkStart w:name="z3073" w:id="2970"/>
    <w:p>
      <w:pPr>
        <w:spacing w:after="0"/>
        <w:ind w:left="0"/>
        <w:jc w:val="both"/>
      </w:pPr>
      <w:r>
        <w:rPr>
          <w:rFonts w:ascii="Times New Roman"/>
          <w:b w:val="false"/>
          <w:i w:val="false"/>
          <w:color w:val="000000"/>
          <w:sz w:val="28"/>
        </w:rPr>
        <w:t>
      316. Персонал избегает непосредственного контакта с промежуточной продукцией или АФС.</w:t>
      </w:r>
    </w:p>
    <w:bookmarkEnd w:id="2970"/>
    <w:bookmarkStart w:name="z3074" w:id="2971"/>
    <w:p>
      <w:pPr>
        <w:spacing w:after="0"/>
        <w:ind w:left="0"/>
        <w:jc w:val="both"/>
      </w:pPr>
      <w:r>
        <w:rPr>
          <w:rFonts w:ascii="Times New Roman"/>
          <w:b w:val="false"/>
          <w:i w:val="false"/>
          <w:color w:val="000000"/>
          <w:sz w:val="28"/>
        </w:rPr>
        <w:t>
      317. Курение, жевание, прием пищи, питье и хранение пищевых продуктов допускаются только в специально предназначенных зонах, отделенных от производственных зон.</w:t>
      </w:r>
    </w:p>
    <w:bookmarkEnd w:id="2971"/>
    <w:bookmarkStart w:name="z3075" w:id="2972"/>
    <w:p>
      <w:pPr>
        <w:spacing w:after="0"/>
        <w:ind w:left="0"/>
        <w:jc w:val="both"/>
      </w:pPr>
      <w:r>
        <w:rPr>
          <w:rFonts w:ascii="Times New Roman"/>
          <w:b w:val="false"/>
          <w:i w:val="false"/>
          <w:color w:val="000000"/>
          <w:sz w:val="28"/>
        </w:rPr>
        <w:t>
      318. При наличии у сотрудников инфекционных заболеваний или открытых повреждений на незащищенных участках поверхности тела их отстраняют от участия в работе, поскольку при этом качество АФС подвергается риску. Любого сотрудника с явными признаками заболевания или открытыми повреждениями кожи (по результатам медицинского обследования или наблюдения) отстраняют от работ, при выполнении которых состояние его здоровья оказывают неблагоприятное воздействие на качество АФС, до выздоровления или получения медицинского заключения о том, что сотрудник допущен к работе.</w:t>
      </w:r>
    </w:p>
    <w:bookmarkEnd w:id="2972"/>
    <w:bookmarkStart w:name="z3076" w:id="2973"/>
    <w:p>
      <w:pPr>
        <w:spacing w:after="0"/>
        <w:ind w:left="0"/>
        <w:jc w:val="left"/>
      </w:pPr>
      <w:r>
        <w:rPr>
          <w:rFonts w:ascii="Times New Roman"/>
          <w:b/>
          <w:i w:val="false"/>
          <w:color w:val="000000"/>
        </w:rPr>
        <w:t xml:space="preserve"> Параграф 13. Консультанты</w:t>
      </w:r>
    </w:p>
    <w:bookmarkEnd w:id="2973"/>
    <w:bookmarkStart w:name="z3077" w:id="2974"/>
    <w:p>
      <w:pPr>
        <w:spacing w:after="0"/>
        <w:ind w:left="0"/>
        <w:jc w:val="both"/>
      </w:pPr>
      <w:r>
        <w:rPr>
          <w:rFonts w:ascii="Times New Roman"/>
          <w:b w:val="false"/>
          <w:i w:val="false"/>
          <w:color w:val="000000"/>
          <w:sz w:val="28"/>
        </w:rPr>
        <w:t>
      319. Консультанты по вопросам производства и контроля промежуточной продукции или АФС имеют соответствующее образование, подготовку, практический опыт или любое их сочетание для того, чтобы консультировать по вопросам, для решения которых их пригласили.</w:t>
      </w:r>
    </w:p>
    <w:bookmarkEnd w:id="2974"/>
    <w:bookmarkStart w:name="z3078" w:id="2975"/>
    <w:p>
      <w:pPr>
        <w:spacing w:after="0"/>
        <w:ind w:left="0"/>
        <w:jc w:val="both"/>
      </w:pPr>
      <w:r>
        <w:rPr>
          <w:rFonts w:ascii="Times New Roman"/>
          <w:b w:val="false"/>
          <w:i w:val="false"/>
          <w:color w:val="000000"/>
          <w:sz w:val="28"/>
        </w:rPr>
        <w:t>
      320. Ведется учет с указанием личных данных, адреса проживания, квалификации и вида услуг, предоставляемых этими консультантами.</w:t>
      </w:r>
    </w:p>
    <w:bookmarkEnd w:id="2975"/>
    <w:bookmarkStart w:name="z3079" w:id="2976"/>
    <w:p>
      <w:pPr>
        <w:spacing w:after="0"/>
        <w:ind w:left="0"/>
        <w:jc w:val="left"/>
      </w:pPr>
      <w:r>
        <w:rPr>
          <w:rFonts w:ascii="Times New Roman"/>
          <w:b/>
          <w:i w:val="false"/>
          <w:color w:val="000000"/>
        </w:rPr>
        <w:t xml:space="preserve"> Параграф 14. Здания и помещения</w:t>
      </w:r>
    </w:p>
    <w:bookmarkEnd w:id="2976"/>
    <w:bookmarkStart w:name="z3080" w:id="2977"/>
    <w:p>
      <w:pPr>
        <w:spacing w:after="0"/>
        <w:ind w:left="0"/>
        <w:jc w:val="both"/>
      </w:pPr>
      <w:r>
        <w:rPr>
          <w:rFonts w:ascii="Times New Roman"/>
          <w:b w:val="false"/>
          <w:i w:val="false"/>
          <w:color w:val="000000"/>
          <w:sz w:val="28"/>
        </w:rPr>
        <w:t>
      321. Здания и помещения, используемые при производстве промежуточной продукции и АФС, располагают, проектируют и конструируют таким образом, чтобы обеспечить возможность их очистки, обслуживания и функционирования в соответствии с типом и стадией производства. Помещения проектируют таким образом, чтобы свести к минимуму возможную контаминацию. Если установлены спецификации в отношении микробиологических показателей промежуточной продукции или АФС, помещения проектируют таким образом, чтобы по возможности ограничить риск нежелательной микробной контаминации.</w:t>
      </w:r>
    </w:p>
    <w:bookmarkEnd w:id="2977"/>
    <w:bookmarkStart w:name="z3081" w:id="2978"/>
    <w:p>
      <w:pPr>
        <w:spacing w:after="0"/>
        <w:ind w:left="0"/>
        <w:jc w:val="both"/>
      </w:pPr>
      <w:r>
        <w:rPr>
          <w:rFonts w:ascii="Times New Roman"/>
          <w:b w:val="false"/>
          <w:i w:val="false"/>
          <w:color w:val="000000"/>
          <w:sz w:val="28"/>
        </w:rPr>
        <w:t>
      322. Здания и помещения достаточно просторные для правильного расположения оборудования, хранения и перемещения материалов, чтобы предотвратить перепутывание и контаминацию.</w:t>
      </w:r>
    </w:p>
    <w:bookmarkEnd w:id="2978"/>
    <w:bookmarkStart w:name="z3082" w:id="2979"/>
    <w:p>
      <w:pPr>
        <w:spacing w:after="0"/>
        <w:ind w:left="0"/>
        <w:jc w:val="both"/>
      </w:pPr>
      <w:r>
        <w:rPr>
          <w:rFonts w:ascii="Times New Roman"/>
          <w:b w:val="false"/>
          <w:i w:val="false"/>
          <w:color w:val="000000"/>
          <w:sz w:val="28"/>
        </w:rPr>
        <w:t>
      323. Если оборудование (например, закрытые или изолированные системы) обеспечивает надежную защиту материалов, оно расположено вне помещения.</w:t>
      </w:r>
    </w:p>
    <w:bookmarkEnd w:id="2979"/>
    <w:bookmarkStart w:name="z3083" w:id="2980"/>
    <w:p>
      <w:pPr>
        <w:spacing w:after="0"/>
        <w:ind w:left="0"/>
        <w:jc w:val="both"/>
      </w:pPr>
      <w:r>
        <w:rPr>
          <w:rFonts w:ascii="Times New Roman"/>
          <w:b w:val="false"/>
          <w:i w:val="false"/>
          <w:color w:val="000000"/>
          <w:sz w:val="28"/>
        </w:rPr>
        <w:t>
      324. Перемещение материалов и передвижение персонала в здании и помещениях предусмотрено таким образом, чтобы предотвратить перепутывание или контаминацию.</w:t>
      </w:r>
    </w:p>
    <w:bookmarkEnd w:id="2980"/>
    <w:bookmarkStart w:name="z3084" w:id="2981"/>
    <w:p>
      <w:pPr>
        <w:spacing w:after="0"/>
        <w:ind w:left="0"/>
        <w:jc w:val="both"/>
      </w:pPr>
      <w:r>
        <w:rPr>
          <w:rFonts w:ascii="Times New Roman"/>
          <w:b w:val="false"/>
          <w:i w:val="false"/>
          <w:color w:val="000000"/>
          <w:sz w:val="28"/>
        </w:rPr>
        <w:t>
      325. Определяют конкретные зоны или другие системы контроля для следующих операций:</w:t>
      </w:r>
    </w:p>
    <w:bookmarkEnd w:id="2981"/>
    <w:bookmarkStart w:name="z3085" w:id="2982"/>
    <w:p>
      <w:pPr>
        <w:spacing w:after="0"/>
        <w:ind w:left="0"/>
        <w:jc w:val="both"/>
      </w:pPr>
      <w:r>
        <w:rPr>
          <w:rFonts w:ascii="Times New Roman"/>
          <w:b w:val="false"/>
          <w:i w:val="false"/>
          <w:color w:val="000000"/>
          <w:sz w:val="28"/>
        </w:rPr>
        <w:t>
      1) приемка, идентификация, отбор проб и карантин поступающих материалов до выдачи разрешения на использование или до отклонения;</w:t>
      </w:r>
    </w:p>
    <w:bookmarkEnd w:id="2982"/>
    <w:bookmarkStart w:name="z3086" w:id="2983"/>
    <w:p>
      <w:pPr>
        <w:spacing w:after="0"/>
        <w:ind w:left="0"/>
        <w:jc w:val="both"/>
      </w:pPr>
      <w:r>
        <w:rPr>
          <w:rFonts w:ascii="Times New Roman"/>
          <w:b w:val="false"/>
          <w:i w:val="false"/>
          <w:color w:val="000000"/>
          <w:sz w:val="28"/>
        </w:rPr>
        <w:t>
      2) хранение промежуточной продукции и АФС в карантине до выдачи разрешения на выпуск или до отклонения;</w:t>
      </w:r>
    </w:p>
    <w:bookmarkEnd w:id="2983"/>
    <w:bookmarkStart w:name="z3087" w:id="2984"/>
    <w:p>
      <w:pPr>
        <w:spacing w:after="0"/>
        <w:ind w:left="0"/>
        <w:jc w:val="both"/>
      </w:pPr>
      <w:r>
        <w:rPr>
          <w:rFonts w:ascii="Times New Roman"/>
          <w:b w:val="false"/>
          <w:i w:val="false"/>
          <w:color w:val="000000"/>
          <w:sz w:val="28"/>
        </w:rPr>
        <w:t>
      3) отбор проб промежуточной продукции и АФС;</w:t>
      </w:r>
    </w:p>
    <w:bookmarkEnd w:id="2984"/>
    <w:bookmarkStart w:name="z3088" w:id="2985"/>
    <w:p>
      <w:pPr>
        <w:spacing w:after="0"/>
        <w:ind w:left="0"/>
        <w:jc w:val="both"/>
      </w:pPr>
      <w:r>
        <w:rPr>
          <w:rFonts w:ascii="Times New Roman"/>
          <w:b w:val="false"/>
          <w:i w:val="false"/>
          <w:color w:val="000000"/>
          <w:sz w:val="28"/>
        </w:rPr>
        <w:t>
      4) хранение отклоненных материалов до избавления от них (например, возврат, повторная обработка или уничтожение);</w:t>
      </w:r>
    </w:p>
    <w:bookmarkEnd w:id="2985"/>
    <w:bookmarkStart w:name="z3089" w:id="2986"/>
    <w:p>
      <w:pPr>
        <w:spacing w:after="0"/>
        <w:ind w:left="0"/>
        <w:jc w:val="both"/>
      </w:pPr>
      <w:r>
        <w:rPr>
          <w:rFonts w:ascii="Times New Roman"/>
          <w:b w:val="false"/>
          <w:i w:val="false"/>
          <w:color w:val="000000"/>
          <w:sz w:val="28"/>
        </w:rPr>
        <w:t>
      5) хранение материалов, которые разрешены к использованию;</w:t>
      </w:r>
    </w:p>
    <w:bookmarkEnd w:id="2986"/>
    <w:bookmarkStart w:name="z3090" w:id="2987"/>
    <w:p>
      <w:pPr>
        <w:spacing w:after="0"/>
        <w:ind w:left="0"/>
        <w:jc w:val="both"/>
      </w:pPr>
      <w:r>
        <w:rPr>
          <w:rFonts w:ascii="Times New Roman"/>
          <w:b w:val="false"/>
          <w:i w:val="false"/>
          <w:color w:val="000000"/>
          <w:sz w:val="28"/>
        </w:rPr>
        <w:t>
      6) технологические операции;</w:t>
      </w:r>
    </w:p>
    <w:bookmarkEnd w:id="2987"/>
    <w:bookmarkStart w:name="z3091" w:id="2988"/>
    <w:p>
      <w:pPr>
        <w:spacing w:after="0"/>
        <w:ind w:left="0"/>
        <w:jc w:val="both"/>
      </w:pPr>
      <w:r>
        <w:rPr>
          <w:rFonts w:ascii="Times New Roman"/>
          <w:b w:val="false"/>
          <w:i w:val="false"/>
          <w:color w:val="000000"/>
          <w:sz w:val="28"/>
        </w:rPr>
        <w:t>
      7) операции по упаковке и маркировке;</w:t>
      </w:r>
    </w:p>
    <w:bookmarkEnd w:id="2988"/>
    <w:bookmarkStart w:name="z3092" w:id="2989"/>
    <w:p>
      <w:pPr>
        <w:spacing w:after="0"/>
        <w:ind w:left="0"/>
        <w:jc w:val="both"/>
      </w:pPr>
      <w:r>
        <w:rPr>
          <w:rFonts w:ascii="Times New Roman"/>
          <w:b w:val="false"/>
          <w:i w:val="false"/>
          <w:color w:val="000000"/>
          <w:sz w:val="28"/>
        </w:rPr>
        <w:t>
      8) роведение лабораторных анализов.</w:t>
      </w:r>
    </w:p>
    <w:bookmarkEnd w:id="2989"/>
    <w:bookmarkStart w:name="z3093" w:id="2990"/>
    <w:p>
      <w:pPr>
        <w:spacing w:after="0"/>
        <w:ind w:left="0"/>
        <w:jc w:val="both"/>
      </w:pPr>
      <w:r>
        <w:rPr>
          <w:rFonts w:ascii="Times New Roman"/>
          <w:b w:val="false"/>
          <w:i w:val="false"/>
          <w:color w:val="000000"/>
          <w:sz w:val="28"/>
        </w:rPr>
        <w:t>
      326. Предусмотрено наличие необходимых помещений для подготовки персонала (мытье рук и др.) в и туалетных комнат в достаточном количестве и поддерживать в них чистоту. К ним подведена горячая и холодная вода, в наличии мыло или иное моющее средство, воздушные сушилки или одноразовые полотенца. Умывальники и туалетные комнаты отделены от производственных зон, но легкодоступны. Обеспечивают наличие помещений для переодевания и при необходимости для принятия душа.</w:t>
      </w:r>
    </w:p>
    <w:bookmarkEnd w:id="2990"/>
    <w:bookmarkStart w:name="z3094" w:id="2991"/>
    <w:p>
      <w:pPr>
        <w:spacing w:after="0"/>
        <w:ind w:left="0"/>
        <w:jc w:val="both"/>
      </w:pPr>
      <w:r>
        <w:rPr>
          <w:rFonts w:ascii="Times New Roman"/>
          <w:b w:val="false"/>
          <w:i w:val="false"/>
          <w:color w:val="000000"/>
          <w:sz w:val="28"/>
        </w:rPr>
        <w:t>
      327. Лабораторные зоны (работы), как правило, отделяют от производственных зон. Некоторые лабораторные зоны, в частности, зоны, используемые для контроля в процессе производства, можно размещать в производственных зонах при условии, что операции технологического процесса не оказывают неблагоприятного влияния на точность лабораторных измерений, а лабораторные работы не оказывают неблагоприятного воздействия на технологический процесс, промежуточную продукцию или АФС.</w:t>
      </w:r>
    </w:p>
    <w:bookmarkEnd w:id="2991"/>
    <w:bookmarkStart w:name="z3095" w:id="2992"/>
    <w:p>
      <w:pPr>
        <w:spacing w:after="0"/>
        <w:ind w:left="0"/>
        <w:jc w:val="left"/>
      </w:pPr>
      <w:r>
        <w:rPr>
          <w:rFonts w:ascii="Times New Roman"/>
          <w:b/>
          <w:i w:val="false"/>
          <w:color w:val="000000"/>
        </w:rPr>
        <w:t xml:space="preserve"> Параграф 15. Инженерные системы</w:t>
      </w:r>
    </w:p>
    <w:bookmarkEnd w:id="2992"/>
    <w:bookmarkStart w:name="z3096" w:id="2993"/>
    <w:p>
      <w:pPr>
        <w:spacing w:after="0"/>
        <w:ind w:left="0"/>
        <w:jc w:val="both"/>
      </w:pPr>
      <w:r>
        <w:rPr>
          <w:rFonts w:ascii="Times New Roman"/>
          <w:b w:val="false"/>
          <w:i w:val="false"/>
          <w:color w:val="000000"/>
          <w:sz w:val="28"/>
        </w:rPr>
        <w:t>
      328. Все инженерные системы, которые могут повлиять на качество продукции (например, пар, газы, сжатый воздух, а также системы нагревания, вентиляции и кондиционирования воздуха), проходят квалификацию. Их соответствующим образом контролируют и предпринимают меры, если превышены допустимые пределы. Имеется в наличии чертежи этих инженерных систем.</w:t>
      </w:r>
    </w:p>
    <w:bookmarkEnd w:id="2993"/>
    <w:bookmarkStart w:name="z3097" w:id="2994"/>
    <w:p>
      <w:pPr>
        <w:spacing w:after="0"/>
        <w:ind w:left="0"/>
        <w:jc w:val="both"/>
      </w:pPr>
      <w:r>
        <w:rPr>
          <w:rFonts w:ascii="Times New Roman"/>
          <w:b w:val="false"/>
          <w:i w:val="false"/>
          <w:color w:val="000000"/>
          <w:sz w:val="28"/>
        </w:rPr>
        <w:t>
      329. При необходимости предусмотреть соответствующие системы вентиляции и фильтрации воздуха, а также вытяжные устройства. Эти системы спроектированы и сконструированы таким образом, чтобы свести к минимуму риск контаминации и перекрестной контаминации. Они также снабжены оборудованием для контроля давления воздуха, наличия микроорганизмов (если это необходимо), запыленности, влажности и температуры, если это требуется для данной стадии производства. Особое внимание следует уделять зонам, в которых АФС подвергаются воздействию производственной среды.</w:t>
      </w:r>
    </w:p>
    <w:bookmarkEnd w:id="2994"/>
    <w:bookmarkStart w:name="z3098" w:id="2995"/>
    <w:p>
      <w:pPr>
        <w:spacing w:after="0"/>
        <w:ind w:left="0"/>
        <w:jc w:val="both"/>
      </w:pPr>
      <w:r>
        <w:rPr>
          <w:rFonts w:ascii="Times New Roman"/>
          <w:b w:val="false"/>
          <w:i w:val="false"/>
          <w:color w:val="000000"/>
          <w:sz w:val="28"/>
        </w:rPr>
        <w:t>
      330. В производственных помещениях с рециркуляцией воздуха следует предусмотреть меры по предотвращению риска контаминации и перекрестной контаминации.</w:t>
      </w:r>
    </w:p>
    <w:bookmarkEnd w:id="2995"/>
    <w:bookmarkStart w:name="z3099" w:id="2996"/>
    <w:p>
      <w:pPr>
        <w:spacing w:after="0"/>
        <w:ind w:left="0"/>
        <w:jc w:val="both"/>
      </w:pPr>
      <w:r>
        <w:rPr>
          <w:rFonts w:ascii="Times New Roman"/>
          <w:b w:val="false"/>
          <w:i w:val="false"/>
          <w:color w:val="000000"/>
          <w:sz w:val="28"/>
        </w:rPr>
        <w:t>
      331. Стационарные трубопроводы идентифицируются. Это можно сделать с помощью маркировки отдельных трубопроводов, соответствующей документации, систем компьютерного контроля или иными способами. Трубопроводы следует располагать таким образом, чтобы избежать риск контаминации промежуточной продукции или АФС.</w:t>
      </w:r>
    </w:p>
    <w:bookmarkEnd w:id="2996"/>
    <w:bookmarkStart w:name="z3100" w:id="2997"/>
    <w:p>
      <w:pPr>
        <w:spacing w:after="0"/>
        <w:ind w:left="0"/>
        <w:jc w:val="both"/>
      </w:pPr>
      <w:r>
        <w:rPr>
          <w:rFonts w:ascii="Times New Roman"/>
          <w:b w:val="false"/>
          <w:i w:val="false"/>
          <w:color w:val="000000"/>
          <w:sz w:val="28"/>
        </w:rPr>
        <w:t>
      332. Стоки имеют соответствующие размеры и обеспечивать разрыв струи или, если это необходимо, иметь устройство для предотвращения обратного потока.</w:t>
      </w:r>
    </w:p>
    <w:bookmarkEnd w:id="2997"/>
    <w:bookmarkStart w:name="z3101" w:id="2998"/>
    <w:p>
      <w:pPr>
        <w:spacing w:after="0"/>
        <w:ind w:left="0"/>
        <w:jc w:val="left"/>
      </w:pPr>
      <w:r>
        <w:rPr>
          <w:rFonts w:ascii="Times New Roman"/>
          <w:b/>
          <w:i w:val="false"/>
          <w:color w:val="000000"/>
        </w:rPr>
        <w:t xml:space="preserve"> Параграф 16. Вода</w:t>
      </w:r>
    </w:p>
    <w:bookmarkEnd w:id="2998"/>
    <w:bookmarkStart w:name="z3102" w:id="2999"/>
    <w:p>
      <w:pPr>
        <w:spacing w:after="0"/>
        <w:ind w:left="0"/>
        <w:jc w:val="both"/>
      </w:pPr>
      <w:r>
        <w:rPr>
          <w:rFonts w:ascii="Times New Roman"/>
          <w:b w:val="false"/>
          <w:i w:val="false"/>
          <w:color w:val="000000"/>
          <w:sz w:val="28"/>
        </w:rPr>
        <w:t>
      333. Вода, используемая в производстве АФС, соответствует предполагаемому назначению.</w:t>
      </w:r>
    </w:p>
    <w:bookmarkEnd w:id="2999"/>
    <w:bookmarkStart w:name="z3103" w:id="3000"/>
    <w:p>
      <w:pPr>
        <w:spacing w:after="0"/>
        <w:ind w:left="0"/>
        <w:jc w:val="both"/>
      </w:pPr>
      <w:r>
        <w:rPr>
          <w:rFonts w:ascii="Times New Roman"/>
          <w:b w:val="false"/>
          <w:i w:val="false"/>
          <w:color w:val="000000"/>
          <w:sz w:val="28"/>
        </w:rPr>
        <w:t>
      334. Если нет других указаний, качество воды, используемой в производственном процессе, как минимум соответствовать требованиям нормативных документов к питьевой воде.</w:t>
      </w:r>
    </w:p>
    <w:bookmarkEnd w:id="3000"/>
    <w:bookmarkStart w:name="z3104" w:id="3001"/>
    <w:p>
      <w:pPr>
        <w:spacing w:after="0"/>
        <w:ind w:left="0"/>
        <w:jc w:val="both"/>
      </w:pPr>
      <w:r>
        <w:rPr>
          <w:rFonts w:ascii="Times New Roman"/>
          <w:b w:val="false"/>
          <w:i w:val="false"/>
          <w:color w:val="000000"/>
          <w:sz w:val="28"/>
        </w:rPr>
        <w:t>
      335. Если для обеспечения качества АФС характеристик питьевой воды недостаточно и необходимы более жесткие требования к химическим и (или) микробиологическим характеристикам воды, разработаны соответствующие спецификации на воду по физическим (химическим) свойствам, общему числу микроорганизмов, недопустимым микроорганизмам и (или) содержанию эндотоксинов в воде.</w:t>
      </w:r>
    </w:p>
    <w:bookmarkEnd w:id="3001"/>
    <w:bookmarkStart w:name="z3105" w:id="3002"/>
    <w:p>
      <w:pPr>
        <w:spacing w:after="0"/>
        <w:ind w:left="0"/>
        <w:jc w:val="both"/>
      </w:pPr>
      <w:r>
        <w:rPr>
          <w:rFonts w:ascii="Times New Roman"/>
          <w:b w:val="false"/>
          <w:i w:val="false"/>
          <w:color w:val="000000"/>
          <w:sz w:val="28"/>
        </w:rPr>
        <w:t>
      336. Если производитель подвергает воду, используемую в производстве, специальной обработке для достижения определенного качества, то процесс обработки проходит валидацию и его следует контролировать с учетом установленных пределов.</w:t>
      </w:r>
    </w:p>
    <w:bookmarkEnd w:id="3002"/>
    <w:bookmarkStart w:name="z3106" w:id="3003"/>
    <w:p>
      <w:pPr>
        <w:spacing w:after="0"/>
        <w:ind w:left="0"/>
        <w:jc w:val="both"/>
      </w:pPr>
      <w:r>
        <w:rPr>
          <w:rFonts w:ascii="Times New Roman"/>
          <w:b w:val="false"/>
          <w:i w:val="false"/>
          <w:color w:val="000000"/>
          <w:sz w:val="28"/>
        </w:rPr>
        <w:t>
      337. Если производитель нестерильной АФС намеревается использовать свою продукцию для последующего производства стерильного лекарственного препарата или утверждает, что его продукция пригодна для получения стерильного лекарственного препарата, то воду, используемую на последних стадиях выделения и очистки, следует подвергать мониторингу и контролировать отношении общего количества микроорганизмов, недопустимых микроорганизмов и эндотоксинов.</w:t>
      </w:r>
    </w:p>
    <w:bookmarkEnd w:id="3003"/>
    <w:bookmarkStart w:name="z3107" w:id="3004"/>
    <w:p>
      <w:pPr>
        <w:spacing w:after="0"/>
        <w:ind w:left="0"/>
        <w:jc w:val="left"/>
      </w:pPr>
      <w:r>
        <w:rPr>
          <w:rFonts w:ascii="Times New Roman"/>
          <w:b/>
          <w:i w:val="false"/>
          <w:color w:val="000000"/>
        </w:rPr>
        <w:t xml:space="preserve"> Параграф 17. Разделение зон</w:t>
      </w:r>
    </w:p>
    <w:bookmarkEnd w:id="3004"/>
    <w:bookmarkStart w:name="z3108" w:id="3005"/>
    <w:p>
      <w:pPr>
        <w:spacing w:after="0"/>
        <w:ind w:left="0"/>
        <w:jc w:val="both"/>
      </w:pPr>
      <w:r>
        <w:rPr>
          <w:rFonts w:ascii="Times New Roman"/>
          <w:b w:val="false"/>
          <w:i w:val="false"/>
          <w:color w:val="000000"/>
          <w:sz w:val="28"/>
        </w:rPr>
        <w:t>
      338. Производство продукции с высокой сенсибилизирующей активностью, такой как пенициллины или цефалоспорины, следует осуществлять в специально выделенных производственных зонах, которые могут включать помещения, оборудование для обработки воздуха и технологическое оборудование.</w:t>
      </w:r>
    </w:p>
    <w:bookmarkEnd w:id="3005"/>
    <w:bookmarkStart w:name="z3109" w:id="3006"/>
    <w:p>
      <w:pPr>
        <w:spacing w:after="0"/>
        <w:ind w:left="0"/>
        <w:jc w:val="both"/>
      </w:pPr>
      <w:r>
        <w:rPr>
          <w:rFonts w:ascii="Times New Roman"/>
          <w:b w:val="false"/>
          <w:i w:val="false"/>
          <w:color w:val="000000"/>
          <w:sz w:val="28"/>
        </w:rPr>
        <w:t>
      339. Специально выделенные производственные зоны предусмотрены также для веществ с инфицирующими свойствами, высокой фармакологической активностью или токсичностью (например, некоторые стероиды или цитотоксические противоопухолевые средства), за исключением тех случаев, когда установлены и осуществляются валидированные процедуры инактивации и (или) очистки.</w:t>
      </w:r>
    </w:p>
    <w:bookmarkEnd w:id="3006"/>
    <w:bookmarkStart w:name="z3110" w:id="3007"/>
    <w:p>
      <w:pPr>
        <w:spacing w:after="0"/>
        <w:ind w:left="0"/>
        <w:jc w:val="both"/>
      </w:pPr>
      <w:r>
        <w:rPr>
          <w:rFonts w:ascii="Times New Roman"/>
          <w:b w:val="false"/>
          <w:i w:val="false"/>
          <w:color w:val="000000"/>
          <w:sz w:val="28"/>
        </w:rPr>
        <w:t>
      340. Следует разработать и ввести в действие соответствующие меры для предотвращения перекрестной контаминации со стороны персонала, материалов и иных объектов, перемещающихся из одной выделенной зоны в другую.</w:t>
      </w:r>
    </w:p>
    <w:bookmarkEnd w:id="3007"/>
    <w:bookmarkStart w:name="z3111" w:id="3008"/>
    <w:p>
      <w:pPr>
        <w:spacing w:after="0"/>
        <w:ind w:left="0"/>
        <w:jc w:val="both"/>
      </w:pPr>
      <w:r>
        <w:rPr>
          <w:rFonts w:ascii="Times New Roman"/>
          <w:b w:val="false"/>
          <w:i w:val="false"/>
          <w:color w:val="000000"/>
          <w:sz w:val="28"/>
        </w:rPr>
        <w:t>
      341. Любые технологические операции (включая взвешивание, размол или упаковку) с высокотоксичными нефармацевтическими веществами, такими как гербициды и пестициды, не допускается проводить в тех же зданиях и (или) на том же оборудовании, которые используются для производства АФС. Работу с такими высокотоксичными нефармацевтическими веществами и их хранение следует осуществлять отдельно от АФС.</w:t>
      </w:r>
    </w:p>
    <w:bookmarkEnd w:id="3008"/>
    <w:bookmarkStart w:name="z3112" w:id="3009"/>
    <w:p>
      <w:pPr>
        <w:spacing w:after="0"/>
        <w:ind w:left="0"/>
        <w:jc w:val="left"/>
      </w:pPr>
      <w:r>
        <w:rPr>
          <w:rFonts w:ascii="Times New Roman"/>
          <w:b/>
          <w:i w:val="false"/>
          <w:color w:val="000000"/>
        </w:rPr>
        <w:t xml:space="preserve"> Параграф 18. Освещение</w:t>
      </w:r>
    </w:p>
    <w:bookmarkEnd w:id="3009"/>
    <w:bookmarkStart w:name="z3113" w:id="3010"/>
    <w:p>
      <w:pPr>
        <w:spacing w:after="0"/>
        <w:ind w:left="0"/>
        <w:jc w:val="both"/>
      </w:pPr>
      <w:r>
        <w:rPr>
          <w:rFonts w:ascii="Times New Roman"/>
          <w:b w:val="false"/>
          <w:i w:val="false"/>
          <w:color w:val="000000"/>
          <w:sz w:val="28"/>
        </w:rPr>
        <w:t>
      342. Во всех зонах обеспечивается соответствующее освещение для того, чтобы проводить очистку, техническое обслуживание и надлежащее выполнение операций.</w:t>
      </w:r>
    </w:p>
    <w:bookmarkEnd w:id="3010"/>
    <w:bookmarkStart w:name="z3114" w:id="3011"/>
    <w:p>
      <w:pPr>
        <w:spacing w:after="0"/>
        <w:ind w:left="0"/>
        <w:jc w:val="left"/>
      </w:pPr>
      <w:r>
        <w:rPr>
          <w:rFonts w:ascii="Times New Roman"/>
          <w:b/>
          <w:i w:val="false"/>
          <w:color w:val="000000"/>
        </w:rPr>
        <w:t xml:space="preserve"> Параграф 19. Стоки и отходы</w:t>
      </w:r>
    </w:p>
    <w:bookmarkEnd w:id="3011"/>
    <w:bookmarkStart w:name="z3115" w:id="3012"/>
    <w:p>
      <w:pPr>
        <w:spacing w:after="0"/>
        <w:ind w:left="0"/>
        <w:jc w:val="both"/>
      </w:pPr>
      <w:r>
        <w:rPr>
          <w:rFonts w:ascii="Times New Roman"/>
          <w:b w:val="false"/>
          <w:i w:val="false"/>
          <w:color w:val="000000"/>
          <w:sz w:val="28"/>
        </w:rPr>
        <w:t>
      343. Стоки, отходы и другие отработанные материалы (например, твердые, жидкие и газообразные побочные продукты производства) внутри и снаружи зданий, а также на непосредственно прилегающей территории следует удалять своевременно, обеспечивая безопасность и соблюдая санитарно-гигиенические нормы. Контейнеры для мусора и (или) сточные трубы четко промаркированы.</w:t>
      </w:r>
    </w:p>
    <w:bookmarkEnd w:id="3012"/>
    <w:bookmarkStart w:name="z3116" w:id="3013"/>
    <w:p>
      <w:pPr>
        <w:spacing w:after="0"/>
        <w:ind w:left="0"/>
        <w:jc w:val="left"/>
      </w:pPr>
      <w:r>
        <w:rPr>
          <w:rFonts w:ascii="Times New Roman"/>
          <w:b/>
          <w:i w:val="false"/>
          <w:color w:val="000000"/>
        </w:rPr>
        <w:t xml:space="preserve"> Параграф 20. Санитарная обработка и техническое обслуживание</w:t>
      </w:r>
    </w:p>
    <w:bookmarkEnd w:id="3013"/>
    <w:bookmarkStart w:name="z3117" w:id="3014"/>
    <w:p>
      <w:pPr>
        <w:spacing w:after="0"/>
        <w:ind w:left="0"/>
        <w:jc w:val="both"/>
      </w:pPr>
      <w:r>
        <w:rPr>
          <w:rFonts w:ascii="Times New Roman"/>
          <w:b w:val="false"/>
          <w:i w:val="false"/>
          <w:color w:val="000000"/>
          <w:sz w:val="28"/>
        </w:rPr>
        <w:t>
      344. Здания, используемые при производстве промежуточной продукции и АФС, следует надлежащим образом обслуживать, ремонтировать и содержать в чистоте.</w:t>
      </w:r>
    </w:p>
    <w:bookmarkEnd w:id="3014"/>
    <w:bookmarkStart w:name="z3118" w:id="3015"/>
    <w:p>
      <w:pPr>
        <w:spacing w:after="0"/>
        <w:ind w:left="0"/>
        <w:jc w:val="both"/>
      </w:pPr>
      <w:r>
        <w:rPr>
          <w:rFonts w:ascii="Times New Roman"/>
          <w:b w:val="false"/>
          <w:i w:val="false"/>
          <w:color w:val="000000"/>
          <w:sz w:val="28"/>
        </w:rPr>
        <w:t>
      345. Следует разработать письменные процедуры, в которых определен отвечающий за проведение санитарной обработки, приведены графики проведения очистки, перечислены методы, оборудование и материалы, используемые при очистке зданий и помещений.</w:t>
      </w:r>
    </w:p>
    <w:bookmarkEnd w:id="3015"/>
    <w:bookmarkStart w:name="z3119" w:id="3016"/>
    <w:p>
      <w:pPr>
        <w:spacing w:after="0"/>
        <w:ind w:left="0"/>
        <w:jc w:val="both"/>
      </w:pPr>
      <w:r>
        <w:rPr>
          <w:rFonts w:ascii="Times New Roman"/>
          <w:b w:val="false"/>
          <w:i w:val="false"/>
          <w:color w:val="000000"/>
          <w:sz w:val="28"/>
        </w:rPr>
        <w:t>
      346. Следует также разработать письменные процедуры по использованию соответствующих средств против грызунов, инсектицидов, фунгицидов, фумигантов и средств очистки и дезинфекции, чтобы избежать контаминации оборудования, исходного сырья, упаковочных и маркировочных материалов, промежуточной продукции и АФС.</w:t>
      </w:r>
    </w:p>
    <w:bookmarkEnd w:id="3016"/>
    <w:bookmarkStart w:name="z3120" w:id="3017"/>
    <w:p>
      <w:pPr>
        <w:spacing w:after="0"/>
        <w:ind w:left="0"/>
        <w:jc w:val="left"/>
      </w:pPr>
      <w:r>
        <w:rPr>
          <w:rFonts w:ascii="Times New Roman"/>
          <w:b/>
          <w:i w:val="false"/>
          <w:color w:val="000000"/>
        </w:rPr>
        <w:t xml:space="preserve"> Параграф 21. Проектирование и монтаж</w:t>
      </w:r>
    </w:p>
    <w:bookmarkEnd w:id="3017"/>
    <w:bookmarkStart w:name="z3121" w:id="3018"/>
    <w:p>
      <w:pPr>
        <w:spacing w:after="0"/>
        <w:ind w:left="0"/>
        <w:jc w:val="both"/>
      </w:pPr>
      <w:r>
        <w:rPr>
          <w:rFonts w:ascii="Times New Roman"/>
          <w:b w:val="false"/>
          <w:i w:val="false"/>
          <w:color w:val="000000"/>
          <w:sz w:val="28"/>
        </w:rPr>
        <w:t>
      347. Оборудование, используемое при производстве промежуточной продукции и АФС, имеет соответствующую конструкцию, соответствующие размеры и располагаться соответствии со своим назначением и таким образом, чтобы персонал мог осуществлять очистку, дезинфекцию (при необходимости) и техническое обслуживание.</w:t>
      </w:r>
    </w:p>
    <w:bookmarkEnd w:id="3018"/>
    <w:bookmarkStart w:name="z3122" w:id="3019"/>
    <w:p>
      <w:pPr>
        <w:spacing w:after="0"/>
        <w:ind w:left="0"/>
        <w:jc w:val="both"/>
      </w:pPr>
      <w:r>
        <w:rPr>
          <w:rFonts w:ascii="Times New Roman"/>
          <w:b w:val="false"/>
          <w:i w:val="false"/>
          <w:color w:val="000000"/>
          <w:sz w:val="28"/>
        </w:rPr>
        <w:t>
      348. Поверхности оборудования, контактирующие с сырьем, промежуточными продуктами или АФС, не влияют на качество промежуточных продуктов и АФС и не приводят к выходу показателей их качества за пределы допустимых значений, установленных в утвержденных спецификациях.</w:t>
      </w:r>
    </w:p>
    <w:bookmarkEnd w:id="3019"/>
    <w:bookmarkStart w:name="z3123" w:id="3020"/>
    <w:p>
      <w:pPr>
        <w:spacing w:after="0"/>
        <w:ind w:left="0"/>
        <w:jc w:val="both"/>
      </w:pPr>
      <w:r>
        <w:rPr>
          <w:rFonts w:ascii="Times New Roman"/>
          <w:b w:val="false"/>
          <w:i w:val="false"/>
          <w:color w:val="000000"/>
          <w:sz w:val="28"/>
        </w:rPr>
        <w:t>
      349. Технологическое оборудование следует использовать только пределах рабочих диапазонов, установленных при квалификации.</w:t>
      </w:r>
    </w:p>
    <w:bookmarkEnd w:id="3020"/>
    <w:bookmarkStart w:name="z3124" w:id="3021"/>
    <w:p>
      <w:pPr>
        <w:spacing w:after="0"/>
        <w:ind w:left="0"/>
        <w:jc w:val="both"/>
      </w:pPr>
      <w:r>
        <w:rPr>
          <w:rFonts w:ascii="Times New Roman"/>
          <w:b w:val="false"/>
          <w:i w:val="false"/>
          <w:color w:val="000000"/>
          <w:sz w:val="28"/>
        </w:rPr>
        <w:t>
      350. Основное оборудование (например, реакторы, емкости для хранения) и стационарные технологические линии, используемые в производстве промежуточной продукции или АФС, следует соответствующим образом идентифицировать.</w:t>
      </w:r>
    </w:p>
    <w:bookmarkEnd w:id="3021"/>
    <w:bookmarkStart w:name="z3125" w:id="3022"/>
    <w:p>
      <w:pPr>
        <w:spacing w:after="0"/>
        <w:ind w:left="0"/>
        <w:jc w:val="both"/>
      </w:pPr>
      <w:r>
        <w:rPr>
          <w:rFonts w:ascii="Times New Roman"/>
          <w:b w:val="false"/>
          <w:i w:val="false"/>
          <w:color w:val="000000"/>
          <w:sz w:val="28"/>
        </w:rPr>
        <w:t>
      351. Любые вещества, необходимые для функционирования оборудования, такие как смазки, жидкости для нагрева или хладагенты, не контактирует с промежуточной продукцией или АФС, чтобы не изменять качество промежуточной продукцией или АФС за пределы допустимых значений, установленных в спецификациях.</w:t>
      </w:r>
    </w:p>
    <w:bookmarkEnd w:id="3022"/>
    <w:bookmarkStart w:name="z3126" w:id="3023"/>
    <w:p>
      <w:pPr>
        <w:spacing w:after="0"/>
        <w:ind w:left="0"/>
        <w:jc w:val="both"/>
      </w:pPr>
      <w:r>
        <w:rPr>
          <w:rFonts w:ascii="Times New Roman"/>
          <w:b w:val="false"/>
          <w:i w:val="false"/>
          <w:color w:val="000000"/>
          <w:sz w:val="28"/>
        </w:rPr>
        <w:t>
      Следует провести оценку любых отклонений от этого требования, чтобы убедиться, что отсутствует неблагоприятное воздействие этих материалов, влияющее на их пригодность для использования. При возможности следует использовать смазки и масла, предназначенные для пищевой промышленности.</w:t>
      </w:r>
    </w:p>
    <w:bookmarkEnd w:id="3023"/>
    <w:bookmarkStart w:name="z3127" w:id="3024"/>
    <w:p>
      <w:pPr>
        <w:spacing w:after="0"/>
        <w:ind w:left="0"/>
        <w:jc w:val="both"/>
      </w:pPr>
      <w:r>
        <w:rPr>
          <w:rFonts w:ascii="Times New Roman"/>
          <w:b w:val="false"/>
          <w:i w:val="false"/>
          <w:color w:val="000000"/>
          <w:sz w:val="28"/>
        </w:rPr>
        <w:t>
      352. Во всех случаях, когда это применимо, следует использовать закрытое или герметично закрывающееся оборудование. При использовании открытого оборудования или его открытии принимаются меры предосторожности, чтобы свести к минимуму риск контаминации.</w:t>
      </w:r>
    </w:p>
    <w:bookmarkEnd w:id="3024"/>
    <w:bookmarkStart w:name="z3128" w:id="3025"/>
    <w:p>
      <w:pPr>
        <w:spacing w:after="0"/>
        <w:ind w:left="0"/>
        <w:jc w:val="both"/>
      </w:pPr>
      <w:r>
        <w:rPr>
          <w:rFonts w:ascii="Times New Roman"/>
          <w:b w:val="false"/>
          <w:i w:val="false"/>
          <w:color w:val="000000"/>
          <w:sz w:val="28"/>
        </w:rPr>
        <w:t>
      353. Имеется в наличии актуальный комплект чертежей используемого оборудования, а также критических систем обвязки (например, контрольно-измерительных приборов, вспомогательных систем).</w:t>
      </w:r>
    </w:p>
    <w:bookmarkEnd w:id="3025"/>
    <w:bookmarkStart w:name="z3129" w:id="3026"/>
    <w:p>
      <w:pPr>
        <w:spacing w:after="0"/>
        <w:ind w:left="0"/>
        <w:jc w:val="left"/>
      </w:pPr>
      <w:r>
        <w:rPr>
          <w:rFonts w:ascii="Times New Roman"/>
          <w:b/>
          <w:i w:val="false"/>
          <w:color w:val="000000"/>
        </w:rPr>
        <w:t xml:space="preserve"> Параграф 22. Техническое обслуживание и очистка оборудования</w:t>
      </w:r>
    </w:p>
    <w:bookmarkEnd w:id="3026"/>
    <w:bookmarkStart w:name="z3130" w:id="3027"/>
    <w:p>
      <w:pPr>
        <w:spacing w:after="0"/>
        <w:ind w:left="0"/>
        <w:jc w:val="both"/>
      </w:pPr>
      <w:r>
        <w:rPr>
          <w:rFonts w:ascii="Times New Roman"/>
          <w:b w:val="false"/>
          <w:i w:val="false"/>
          <w:color w:val="000000"/>
          <w:sz w:val="28"/>
        </w:rPr>
        <w:t>
      354. Профилактическое техническое обслуживание оборудования следует проводить в соответствии с утвержденными графиками и процедурами, в которых определяется отвечающий за их проведение.</w:t>
      </w:r>
    </w:p>
    <w:bookmarkEnd w:id="3027"/>
    <w:bookmarkStart w:name="z3131" w:id="3028"/>
    <w:p>
      <w:pPr>
        <w:spacing w:after="0"/>
        <w:ind w:left="0"/>
        <w:jc w:val="both"/>
      </w:pPr>
      <w:r>
        <w:rPr>
          <w:rFonts w:ascii="Times New Roman"/>
          <w:b w:val="false"/>
          <w:i w:val="false"/>
          <w:color w:val="000000"/>
          <w:sz w:val="28"/>
        </w:rPr>
        <w:t>
      355. Разрабатываются письменные инструкции по очистке оборудования и последующего получения разрешения на его использование при производстве промежуточной продукции и АФС. Процедуры очистки описывают достаточно подробно, чтобы операторы могли проводить очистку оборудования любого типа воспроизводимым и эффективным способом. Эти процедуры включают в себя:</w:t>
      </w:r>
    </w:p>
    <w:bookmarkEnd w:id="3028"/>
    <w:bookmarkStart w:name="z3132" w:id="3029"/>
    <w:p>
      <w:pPr>
        <w:spacing w:after="0"/>
        <w:ind w:left="0"/>
        <w:jc w:val="both"/>
      </w:pPr>
      <w:r>
        <w:rPr>
          <w:rFonts w:ascii="Times New Roman"/>
          <w:b w:val="false"/>
          <w:i w:val="false"/>
          <w:color w:val="000000"/>
          <w:sz w:val="28"/>
        </w:rPr>
        <w:t>
      1) установление ответственности за очистку оборудования;</w:t>
      </w:r>
    </w:p>
    <w:bookmarkEnd w:id="3029"/>
    <w:bookmarkStart w:name="z3133" w:id="3030"/>
    <w:p>
      <w:pPr>
        <w:spacing w:after="0"/>
        <w:ind w:left="0"/>
        <w:jc w:val="both"/>
      </w:pPr>
      <w:r>
        <w:rPr>
          <w:rFonts w:ascii="Times New Roman"/>
          <w:b w:val="false"/>
          <w:i w:val="false"/>
          <w:color w:val="000000"/>
          <w:sz w:val="28"/>
        </w:rPr>
        <w:t>
      2) графики очистки, включая (при необходимости) графики санитарной обработки;</w:t>
      </w:r>
    </w:p>
    <w:bookmarkEnd w:id="3030"/>
    <w:bookmarkStart w:name="z3134" w:id="3031"/>
    <w:p>
      <w:pPr>
        <w:spacing w:after="0"/>
        <w:ind w:left="0"/>
        <w:jc w:val="both"/>
      </w:pPr>
      <w:r>
        <w:rPr>
          <w:rFonts w:ascii="Times New Roman"/>
          <w:b w:val="false"/>
          <w:i w:val="false"/>
          <w:color w:val="000000"/>
          <w:sz w:val="28"/>
        </w:rPr>
        <w:t>
      3) полное описание методов и материалов, включая приготовление моющих средств, используемых для очистки оборудования;</w:t>
      </w:r>
    </w:p>
    <w:bookmarkEnd w:id="3031"/>
    <w:bookmarkStart w:name="z3135" w:id="3032"/>
    <w:p>
      <w:pPr>
        <w:spacing w:after="0"/>
        <w:ind w:left="0"/>
        <w:jc w:val="both"/>
      </w:pPr>
      <w:r>
        <w:rPr>
          <w:rFonts w:ascii="Times New Roman"/>
          <w:b w:val="false"/>
          <w:i w:val="false"/>
          <w:color w:val="000000"/>
          <w:sz w:val="28"/>
        </w:rPr>
        <w:t>
      4) инструкции по разборке и сборке каждой (при необходимости) единицы оборудования для обеспечения надлежащей очистки;</w:t>
      </w:r>
    </w:p>
    <w:bookmarkEnd w:id="3032"/>
    <w:bookmarkStart w:name="z3136" w:id="3033"/>
    <w:p>
      <w:pPr>
        <w:spacing w:after="0"/>
        <w:ind w:left="0"/>
        <w:jc w:val="both"/>
      </w:pPr>
      <w:r>
        <w:rPr>
          <w:rFonts w:ascii="Times New Roman"/>
          <w:b w:val="false"/>
          <w:i w:val="false"/>
          <w:color w:val="000000"/>
          <w:sz w:val="28"/>
        </w:rPr>
        <w:t>
      5) инструкции по удалению маркировки предыдущей серии; инструкции по защите чистого оборудования от контаминации перед его использованием;</w:t>
      </w:r>
    </w:p>
    <w:bookmarkEnd w:id="3033"/>
    <w:bookmarkStart w:name="z3137" w:id="3034"/>
    <w:p>
      <w:pPr>
        <w:spacing w:after="0"/>
        <w:ind w:left="0"/>
        <w:jc w:val="both"/>
      </w:pPr>
      <w:r>
        <w:rPr>
          <w:rFonts w:ascii="Times New Roman"/>
          <w:b w:val="false"/>
          <w:i w:val="false"/>
          <w:color w:val="000000"/>
          <w:sz w:val="28"/>
        </w:rPr>
        <w:t>
      6) порядок проверки чистоты оборудования непосредственно перед его использованием, если это практически осуществимо;</w:t>
      </w:r>
    </w:p>
    <w:bookmarkEnd w:id="3034"/>
    <w:bookmarkStart w:name="z3138" w:id="3035"/>
    <w:p>
      <w:pPr>
        <w:spacing w:after="0"/>
        <w:ind w:left="0"/>
        <w:jc w:val="both"/>
      </w:pPr>
      <w:r>
        <w:rPr>
          <w:rFonts w:ascii="Times New Roman"/>
          <w:b w:val="false"/>
          <w:i w:val="false"/>
          <w:color w:val="000000"/>
          <w:sz w:val="28"/>
        </w:rPr>
        <w:t>
      7) установление (когда применимо) максимального промежутка времени между окончанием процесса и очисткой оборудования.</w:t>
      </w:r>
    </w:p>
    <w:bookmarkEnd w:id="3035"/>
    <w:bookmarkStart w:name="z3139" w:id="3036"/>
    <w:p>
      <w:pPr>
        <w:spacing w:after="0"/>
        <w:ind w:left="0"/>
        <w:jc w:val="both"/>
      </w:pPr>
      <w:r>
        <w:rPr>
          <w:rFonts w:ascii="Times New Roman"/>
          <w:b w:val="false"/>
          <w:i w:val="false"/>
          <w:color w:val="000000"/>
          <w:sz w:val="28"/>
        </w:rPr>
        <w:t>
      356. Оборудование и принадлежности следует очищать, хранить и при необходимости подвергать дезинфекции или стерилизовать для предотвращения контаминации или переноса материала, которые могут приводить к выходу показателей качества промежуточной продукции и АФС за пределы, установленные в спецификациях.</w:t>
      </w:r>
    </w:p>
    <w:bookmarkEnd w:id="3036"/>
    <w:bookmarkStart w:name="z3140" w:id="3037"/>
    <w:p>
      <w:pPr>
        <w:spacing w:after="0"/>
        <w:ind w:left="0"/>
        <w:jc w:val="both"/>
      </w:pPr>
      <w:r>
        <w:rPr>
          <w:rFonts w:ascii="Times New Roman"/>
          <w:b w:val="false"/>
          <w:i w:val="false"/>
          <w:color w:val="000000"/>
          <w:sz w:val="28"/>
        </w:rPr>
        <w:t>
      357. В отношении оборудования, предназначенного для непрерывного технологического процесса или для производства кампаниями последовательных серий одной и той же промежуточной продукции или одной и той же АФС, следует проводить очистку через определенные промежутки времени во избежание накопления и переноса контаминантов (например, продуктов разложения или недопустимого количества микроорганизмов).</w:t>
      </w:r>
    </w:p>
    <w:bookmarkEnd w:id="3037"/>
    <w:bookmarkStart w:name="z3141" w:id="3038"/>
    <w:p>
      <w:pPr>
        <w:spacing w:after="0"/>
        <w:ind w:left="0"/>
        <w:jc w:val="both"/>
      </w:pPr>
      <w:r>
        <w:rPr>
          <w:rFonts w:ascii="Times New Roman"/>
          <w:b w:val="false"/>
          <w:i w:val="false"/>
          <w:color w:val="000000"/>
          <w:sz w:val="28"/>
        </w:rPr>
        <w:t>
      358. Оборудование, используемое для производства разных материалов, следует очищать в промежутках между их сменой во избежание перекрестной контаминации.</w:t>
      </w:r>
    </w:p>
    <w:bookmarkEnd w:id="3038"/>
    <w:bookmarkStart w:name="z3142" w:id="3039"/>
    <w:p>
      <w:pPr>
        <w:spacing w:after="0"/>
        <w:ind w:left="0"/>
        <w:jc w:val="both"/>
      </w:pPr>
      <w:r>
        <w:rPr>
          <w:rFonts w:ascii="Times New Roman"/>
          <w:b w:val="false"/>
          <w:i w:val="false"/>
          <w:color w:val="000000"/>
          <w:sz w:val="28"/>
        </w:rPr>
        <w:t>
      359. Следует установить критерии приемлемости в отношении остатков, а также обосновать эти критерии и выбор процедур очистки и моющих средств.</w:t>
      </w:r>
    </w:p>
    <w:bookmarkEnd w:id="3039"/>
    <w:bookmarkStart w:name="z3143" w:id="3040"/>
    <w:p>
      <w:pPr>
        <w:spacing w:after="0"/>
        <w:ind w:left="0"/>
        <w:jc w:val="both"/>
      </w:pPr>
      <w:r>
        <w:rPr>
          <w:rFonts w:ascii="Times New Roman"/>
          <w:b w:val="false"/>
          <w:i w:val="false"/>
          <w:color w:val="000000"/>
          <w:sz w:val="28"/>
        </w:rPr>
        <w:t>
      360. Оборудование соответствующим образом промаркировано в отношении его содержимого и состояния чистоты.</w:t>
      </w:r>
    </w:p>
    <w:bookmarkEnd w:id="3040"/>
    <w:bookmarkStart w:name="z3144" w:id="3041"/>
    <w:p>
      <w:pPr>
        <w:spacing w:after="0"/>
        <w:ind w:left="0"/>
        <w:jc w:val="left"/>
      </w:pPr>
      <w:r>
        <w:rPr>
          <w:rFonts w:ascii="Times New Roman"/>
          <w:b/>
          <w:i w:val="false"/>
          <w:color w:val="000000"/>
        </w:rPr>
        <w:t xml:space="preserve"> Параграф 23. Калибровка</w:t>
      </w:r>
    </w:p>
    <w:bookmarkEnd w:id="3041"/>
    <w:bookmarkStart w:name="z3145" w:id="3042"/>
    <w:p>
      <w:pPr>
        <w:spacing w:after="0"/>
        <w:ind w:left="0"/>
        <w:jc w:val="both"/>
      </w:pPr>
      <w:r>
        <w:rPr>
          <w:rFonts w:ascii="Times New Roman"/>
          <w:b w:val="false"/>
          <w:i w:val="false"/>
          <w:color w:val="000000"/>
          <w:sz w:val="28"/>
        </w:rPr>
        <w:t>
      361. Калибровку контрольно-измерительного и аналитического оборудования (в том числе весов, приборов для мониторинга), имеющего критическое значение для обеспечения качества промежуточной продукции или АФС, следует проводить в соответствии с письменными инструкциями и установленным графиком.</w:t>
      </w:r>
    </w:p>
    <w:bookmarkEnd w:id="3042"/>
    <w:bookmarkStart w:name="z3146" w:id="3043"/>
    <w:p>
      <w:pPr>
        <w:spacing w:after="0"/>
        <w:ind w:left="0"/>
        <w:jc w:val="both"/>
      </w:pPr>
      <w:r>
        <w:rPr>
          <w:rFonts w:ascii="Times New Roman"/>
          <w:b w:val="false"/>
          <w:i w:val="false"/>
          <w:color w:val="000000"/>
          <w:sz w:val="28"/>
        </w:rPr>
        <w:t>
      362. Калибровку следует проводить с использованием стандартных образцов, прослеживаемых до соответствующих сертифицированных стандартных образцов (если таковые существуют).</w:t>
      </w:r>
    </w:p>
    <w:bookmarkEnd w:id="3043"/>
    <w:bookmarkStart w:name="z3147" w:id="3044"/>
    <w:p>
      <w:pPr>
        <w:spacing w:after="0"/>
        <w:ind w:left="0"/>
        <w:jc w:val="both"/>
      </w:pPr>
      <w:r>
        <w:rPr>
          <w:rFonts w:ascii="Times New Roman"/>
          <w:b w:val="false"/>
          <w:i w:val="false"/>
          <w:color w:val="000000"/>
          <w:sz w:val="28"/>
        </w:rPr>
        <w:t>
      363. Записи проведения калибровок сохраняются.</w:t>
      </w:r>
    </w:p>
    <w:bookmarkEnd w:id="3044"/>
    <w:bookmarkStart w:name="z3148" w:id="3045"/>
    <w:p>
      <w:pPr>
        <w:spacing w:after="0"/>
        <w:ind w:left="0"/>
        <w:jc w:val="both"/>
      </w:pPr>
      <w:r>
        <w:rPr>
          <w:rFonts w:ascii="Times New Roman"/>
          <w:b w:val="false"/>
          <w:i w:val="false"/>
          <w:color w:val="000000"/>
          <w:sz w:val="28"/>
        </w:rPr>
        <w:t>
      364. Текущий статус калибровки критического оборудования известен и доступен для его проверки.</w:t>
      </w:r>
    </w:p>
    <w:bookmarkEnd w:id="3045"/>
    <w:bookmarkStart w:name="z3149" w:id="3046"/>
    <w:p>
      <w:pPr>
        <w:spacing w:after="0"/>
        <w:ind w:left="0"/>
        <w:jc w:val="both"/>
      </w:pPr>
      <w:r>
        <w:rPr>
          <w:rFonts w:ascii="Times New Roman"/>
          <w:b w:val="false"/>
          <w:i w:val="false"/>
          <w:color w:val="000000"/>
          <w:sz w:val="28"/>
        </w:rPr>
        <w:t>
      365. Не следует использовать приборы, не соответствующие критериям калибровки.</w:t>
      </w:r>
    </w:p>
    <w:bookmarkEnd w:id="3046"/>
    <w:bookmarkStart w:name="z3150" w:id="3047"/>
    <w:p>
      <w:pPr>
        <w:spacing w:after="0"/>
        <w:ind w:left="0"/>
        <w:jc w:val="both"/>
      </w:pPr>
      <w:r>
        <w:rPr>
          <w:rFonts w:ascii="Times New Roman"/>
          <w:b w:val="false"/>
          <w:i w:val="false"/>
          <w:color w:val="000000"/>
          <w:sz w:val="28"/>
        </w:rPr>
        <w:t>
      366. Отклонения от утвержденных стандартов калибровки для критических приборов расследовываются, чтобы определить, повлияло ли это на качество промежуточной продукции и АФС, произведенных с использованием данного оборудования после его последней успешной калибровки.</w:t>
      </w:r>
    </w:p>
    <w:bookmarkEnd w:id="3047"/>
    <w:bookmarkStart w:name="z3151" w:id="3048"/>
    <w:p>
      <w:pPr>
        <w:spacing w:after="0"/>
        <w:ind w:left="0"/>
        <w:jc w:val="left"/>
      </w:pPr>
      <w:r>
        <w:rPr>
          <w:rFonts w:ascii="Times New Roman"/>
          <w:b/>
          <w:i w:val="false"/>
          <w:color w:val="000000"/>
        </w:rPr>
        <w:t xml:space="preserve"> Параграф 24. Компьютеризированные системы</w:t>
      </w:r>
    </w:p>
    <w:bookmarkEnd w:id="3048"/>
    <w:bookmarkStart w:name="z3152" w:id="3049"/>
    <w:p>
      <w:pPr>
        <w:spacing w:after="0"/>
        <w:ind w:left="0"/>
        <w:jc w:val="both"/>
      </w:pPr>
      <w:r>
        <w:rPr>
          <w:rFonts w:ascii="Times New Roman"/>
          <w:b w:val="false"/>
          <w:i w:val="false"/>
          <w:color w:val="000000"/>
          <w:sz w:val="28"/>
        </w:rPr>
        <w:t>
      367. Компьютеризированные системы, относящиеся к надлежащей производственной практике, подлежат валидации. Глубина и масштаб валидации зависят от многообразия, сложности и критичности применения компьютеризированных систем.</w:t>
      </w:r>
    </w:p>
    <w:bookmarkEnd w:id="3049"/>
    <w:bookmarkStart w:name="z3153" w:id="3050"/>
    <w:p>
      <w:pPr>
        <w:spacing w:after="0"/>
        <w:ind w:left="0"/>
        <w:jc w:val="both"/>
      </w:pPr>
      <w:r>
        <w:rPr>
          <w:rFonts w:ascii="Times New Roman"/>
          <w:b w:val="false"/>
          <w:i w:val="false"/>
          <w:color w:val="000000"/>
          <w:sz w:val="28"/>
        </w:rPr>
        <w:t>
      368. Надлежащие квалификация монтажа и квалификация функционирования демонстрирует пригодность компьютерного оборудования и программного обеспечения для выполнения поставленных задач.</w:t>
      </w:r>
    </w:p>
    <w:bookmarkEnd w:id="3050"/>
    <w:bookmarkStart w:name="z3154" w:id="3051"/>
    <w:p>
      <w:pPr>
        <w:spacing w:after="0"/>
        <w:ind w:left="0"/>
        <w:jc w:val="both"/>
      </w:pPr>
      <w:r>
        <w:rPr>
          <w:rFonts w:ascii="Times New Roman"/>
          <w:b w:val="false"/>
          <w:i w:val="false"/>
          <w:color w:val="000000"/>
          <w:sz w:val="28"/>
        </w:rPr>
        <w:t>
      369. Поставляемое на рынок программное обеспечение, которое было квалифицировано, не требует проведения испытаний того же уровня. Если существующая система не прошла валидацию во время установки, при наличии соответствующей документации можно провести ретроспективную валидацию.</w:t>
      </w:r>
    </w:p>
    <w:bookmarkEnd w:id="3051"/>
    <w:bookmarkStart w:name="z3155" w:id="3052"/>
    <w:p>
      <w:pPr>
        <w:spacing w:after="0"/>
        <w:ind w:left="0"/>
        <w:jc w:val="both"/>
      </w:pPr>
      <w:r>
        <w:rPr>
          <w:rFonts w:ascii="Times New Roman"/>
          <w:b w:val="false"/>
          <w:i w:val="false"/>
          <w:color w:val="000000"/>
          <w:sz w:val="28"/>
        </w:rPr>
        <w:t>
      370. Необходимо, чтобы компьютеризированные системы имели достаточный уровень контроля для предотвращения несанкционированного доступа к данным или изменения данных. Предусматриваются меры по предотвращению недостаточности данных (например, в связи с отсутствием регистрации данных вследствие отключения системы). Регистрируется информация о любых изменениях данных, о последнем вводе данных, о том, кем и когда они были сделаны.</w:t>
      </w:r>
    </w:p>
    <w:bookmarkEnd w:id="3052"/>
    <w:bookmarkStart w:name="z3156" w:id="3053"/>
    <w:p>
      <w:pPr>
        <w:spacing w:after="0"/>
        <w:ind w:left="0"/>
        <w:jc w:val="both"/>
      </w:pPr>
      <w:r>
        <w:rPr>
          <w:rFonts w:ascii="Times New Roman"/>
          <w:b w:val="false"/>
          <w:i w:val="false"/>
          <w:color w:val="000000"/>
          <w:sz w:val="28"/>
        </w:rPr>
        <w:t>
      371. Имеются письменные процедуры по эксплуатации и техническому обслуживанию компьютеризированных систем.</w:t>
      </w:r>
    </w:p>
    <w:bookmarkEnd w:id="3053"/>
    <w:bookmarkStart w:name="z3157" w:id="3054"/>
    <w:p>
      <w:pPr>
        <w:spacing w:after="0"/>
        <w:ind w:left="0"/>
        <w:jc w:val="both"/>
      </w:pPr>
      <w:r>
        <w:rPr>
          <w:rFonts w:ascii="Times New Roman"/>
          <w:b w:val="false"/>
          <w:i w:val="false"/>
          <w:color w:val="000000"/>
          <w:sz w:val="28"/>
        </w:rPr>
        <w:t>
      372. Если критические данные вводятся вручную, следует предусмотреть дополнительную проверку точности их введения. Такую проверку выполняет второй оператор или сама система.</w:t>
      </w:r>
    </w:p>
    <w:bookmarkEnd w:id="3054"/>
    <w:bookmarkStart w:name="z3158" w:id="3055"/>
    <w:p>
      <w:pPr>
        <w:spacing w:after="0"/>
        <w:ind w:left="0"/>
        <w:jc w:val="both"/>
      </w:pPr>
      <w:r>
        <w:rPr>
          <w:rFonts w:ascii="Times New Roman"/>
          <w:b w:val="false"/>
          <w:i w:val="false"/>
          <w:color w:val="000000"/>
          <w:sz w:val="28"/>
        </w:rPr>
        <w:t>
      373. Сбои в работе компьютеризированных систем, которые могут повлиять на качество промежуточной продукции или АФС, на достоверность записей или результатов испытаний, следует оформлять документально и расследовать.</w:t>
      </w:r>
    </w:p>
    <w:bookmarkEnd w:id="3055"/>
    <w:bookmarkStart w:name="z3159" w:id="3056"/>
    <w:p>
      <w:pPr>
        <w:spacing w:after="0"/>
        <w:ind w:left="0"/>
        <w:jc w:val="both"/>
      </w:pPr>
      <w:r>
        <w:rPr>
          <w:rFonts w:ascii="Times New Roman"/>
          <w:b w:val="false"/>
          <w:i w:val="false"/>
          <w:color w:val="000000"/>
          <w:sz w:val="28"/>
        </w:rPr>
        <w:t>
      374. Изменения в компьютеризированных системах осуществляются в соответствии с процедурами внесения изменений, официально их санкционировать, оформлять документально и тестировать. Следует сохранять записи всех изменений, включая модификацию и усовершенствование компьютерного оборудования, программного обеспечения и других критических компонентов системы. Эти записи доказательство того, что система поддерживается в валидированном состоянии.</w:t>
      </w:r>
    </w:p>
    <w:bookmarkEnd w:id="3056"/>
    <w:bookmarkStart w:name="z3160" w:id="3057"/>
    <w:p>
      <w:pPr>
        <w:spacing w:after="0"/>
        <w:ind w:left="0"/>
        <w:jc w:val="both"/>
      </w:pPr>
      <w:r>
        <w:rPr>
          <w:rFonts w:ascii="Times New Roman"/>
          <w:b w:val="false"/>
          <w:i w:val="false"/>
          <w:color w:val="000000"/>
          <w:sz w:val="28"/>
        </w:rPr>
        <w:t>
      375. Если сбой или поломка системы приводят к постоянной потере записей, следует предусмотреть систему резервного копирования информации. Во всех компьютеризированных системах предусмотрены средства, обеспечивающие защиту данных.</w:t>
      </w:r>
    </w:p>
    <w:bookmarkEnd w:id="3057"/>
    <w:bookmarkStart w:name="z3161" w:id="3058"/>
    <w:p>
      <w:pPr>
        <w:spacing w:after="0"/>
        <w:ind w:left="0"/>
        <w:jc w:val="both"/>
      </w:pPr>
      <w:r>
        <w:rPr>
          <w:rFonts w:ascii="Times New Roman"/>
          <w:b w:val="false"/>
          <w:i w:val="false"/>
          <w:color w:val="000000"/>
          <w:sz w:val="28"/>
        </w:rPr>
        <w:t>
      376. В дополнение к компьютерной системе допускается запись данных и другим способом.</w:t>
      </w:r>
    </w:p>
    <w:bookmarkEnd w:id="3058"/>
    <w:bookmarkStart w:name="z3162" w:id="3059"/>
    <w:p>
      <w:pPr>
        <w:spacing w:after="0"/>
        <w:ind w:left="0"/>
        <w:jc w:val="left"/>
      </w:pPr>
      <w:r>
        <w:rPr>
          <w:rFonts w:ascii="Times New Roman"/>
          <w:b/>
          <w:i w:val="false"/>
          <w:color w:val="000000"/>
        </w:rPr>
        <w:t xml:space="preserve"> Параграф 25. Документация и записи</w:t>
      </w:r>
    </w:p>
    <w:bookmarkEnd w:id="3059"/>
    <w:bookmarkStart w:name="z3163" w:id="3060"/>
    <w:p>
      <w:pPr>
        <w:spacing w:after="0"/>
        <w:ind w:left="0"/>
        <w:jc w:val="both"/>
      </w:pPr>
      <w:r>
        <w:rPr>
          <w:rFonts w:ascii="Times New Roman"/>
          <w:b w:val="false"/>
          <w:i w:val="false"/>
          <w:color w:val="000000"/>
          <w:sz w:val="28"/>
        </w:rPr>
        <w:t>
      377. Все документы, имеющие отношение к производству промежуточной продукции или АФС, следует составлять, проверять, утверждать и распространять в соответствии с письменными процедурами. Документы могут быть оформлены как в письменном виде, так и в электронном виде.</w:t>
      </w:r>
    </w:p>
    <w:bookmarkEnd w:id="3060"/>
    <w:bookmarkStart w:name="z3164" w:id="3061"/>
    <w:p>
      <w:pPr>
        <w:spacing w:after="0"/>
        <w:ind w:left="0"/>
        <w:jc w:val="both"/>
      </w:pPr>
      <w:r>
        <w:rPr>
          <w:rFonts w:ascii="Times New Roman"/>
          <w:b w:val="false"/>
          <w:i w:val="false"/>
          <w:color w:val="000000"/>
          <w:sz w:val="28"/>
        </w:rPr>
        <w:t>
      378. Выдачу, пересмотр, замену или изъятие всей документации следует контролировать с сохранением сведений об их предыдущих версиях.</w:t>
      </w:r>
    </w:p>
    <w:bookmarkEnd w:id="3061"/>
    <w:bookmarkStart w:name="z3165" w:id="3062"/>
    <w:p>
      <w:pPr>
        <w:spacing w:after="0"/>
        <w:ind w:left="0"/>
        <w:jc w:val="both"/>
      </w:pPr>
      <w:r>
        <w:rPr>
          <w:rFonts w:ascii="Times New Roman"/>
          <w:b w:val="false"/>
          <w:i w:val="false"/>
          <w:color w:val="000000"/>
          <w:sz w:val="28"/>
        </w:rPr>
        <w:t>
      379. Следует организовать систему хранения всех документов (например, отчетов о разработке, масштабировании, передаче технологий, валидации процесса, записей обучения и производства, документов по контролю и записей реализации). Указываются сроки хранения этих документов.</w:t>
      </w:r>
    </w:p>
    <w:bookmarkEnd w:id="3062"/>
    <w:bookmarkStart w:name="z3166" w:id="3063"/>
    <w:p>
      <w:pPr>
        <w:spacing w:after="0"/>
        <w:ind w:left="0"/>
        <w:jc w:val="both"/>
      </w:pPr>
      <w:r>
        <w:rPr>
          <w:rFonts w:ascii="Times New Roman"/>
          <w:b w:val="false"/>
          <w:i w:val="false"/>
          <w:color w:val="000000"/>
          <w:sz w:val="28"/>
        </w:rPr>
        <w:t>
      380. Все записи производства, контроля и распределения следует хранить не менее 1 года после истечения срока годности серии. Записи, содержащие данные повторных испытаний АФС, следует сохранять не менее 3 лет после полной реализации серии.</w:t>
      </w:r>
    </w:p>
    <w:bookmarkEnd w:id="3063"/>
    <w:bookmarkStart w:name="z3167" w:id="3064"/>
    <w:p>
      <w:pPr>
        <w:spacing w:after="0"/>
        <w:ind w:left="0"/>
        <w:jc w:val="both"/>
      </w:pPr>
      <w:r>
        <w:rPr>
          <w:rFonts w:ascii="Times New Roman"/>
          <w:b w:val="false"/>
          <w:i w:val="false"/>
          <w:color w:val="000000"/>
          <w:sz w:val="28"/>
        </w:rPr>
        <w:t>
      381. Записи следует выполнять несмываемыми чернилами в специально предусмотренных для этого местах сразу же после выполнения операций. Лицо, сделавшее запись, обозначено. Исправления в записях датируются и подписываются и не препятствует прочтению записи в ее первоначальном виде.</w:t>
      </w:r>
    </w:p>
    <w:bookmarkEnd w:id="3064"/>
    <w:bookmarkStart w:name="z3168" w:id="3065"/>
    <w:p>
      <w:pPr>
        <w:spacing w:after="0"/>
        <w:ind w:left="0"/>
        <w:jc w:val="both"/>
      </w:pPr>
      <w:r>
        <w:rPr>
          <w:rFonts w:ascii="Times New Roman"/>
          <w:b w:val="false"/>
          <w:i w:val="false"/>
          <w:color w:val="000000"/>
          <w:sz w:val="28"/>
        </w:rPr>
        <w:t>
      382. В течение периода хранения оригиналы записей или их копии легкодоступны на предприятии, где осуществлялись работы, описанные в этих записях. Если обеспечивается быстрое получение записей с помощью электронных или других средств, допускается использование других мест для их хранения.</w:t>
      </w:r>
    </w:p>
    <w:bookmarkEnd w:id="3065"/>
    <w:bookmarkStart w:name="z3169" w:id="3066"/>
    <w:p>
      <w:pPr>
        <w:spacing w:after="0"/>
        <w:ind w:left="0"/>
        <w:jc w:val="both"/>
      </w:pPr>
      <w:r>
        <w:rPr>
          <w:rFonts w:ascii="Times New Roman"/>
          <w:b w:val="false"/>
          <w:i w:val="false"/>
          <w:color w:val="000000"/>
          <w:sz w:val="28"/>
        </w:rPr>
        <w:t>
      383. Спецификации, инструкции, процедуры и записи можно хранить либо в оригинале, либо в виде копий (например, фотокопии, микрофильмы, микрофиши или др.). Если использовались методы уменьшения оригинала (например, микрофильмирование, электронные записи), имеются соответствующее считывающее оборудование, а также средства для изготовления печатных копий.</w:t>
      </w:r>
    </w:p>
    <w:bookmarkEnd w:id="3066"/>
    <w:bookmarkStart w:name="z3170" w:id="3067"/>
    <w:p>
      <w:pPr>
        <w:spacing w:after="0"/>
        <w:ind w:left="0"/>
        <w:jc w:val="both"/>
      </w:pPr>
      <w:r>
        <w:rPr>
          <w:rFonts w:ascii="Times New Roman"/>
          <w:b w:val="false"/>
          <w:i w:val="false"/>
          <w:color w:val="000000"/>
          <w:sz w:val="28"/>
        </w:rPr>
        <w:t>
      384. Разрабатываются и оформляются документально спецификации на исходное сырье, промежуточную продукцию (при необходимости), АФС и материалы для маркировки и упаковки. Дополнительно могут понадобиться спецификации на некоторые другие материалы, такие как вспомогательные материалы, прокладки или другие материалы, используемые в ходе производства промежуточной продукции или АФС, которые могут быть критическими для качества. Следует установить и оформить документально критерии приемлемости для контроля в процессе производства.</w:t>
      </w:r>
    </w:p>
    <w:bookmarkEnd w:id="3067"/>
    <w:bookmarkStart w:name="z3171" w:id="3068"/>
    <w:p>
      <w:pPr>
        <w:spacing w:after="0"/>
        <w:ind w:left="0"/>
        <w:jc w:val="both"/>
      </w:pPr>
      <w:r>
        <w:rPr>
          <w:rFonts w:ascii="Times New Roman"/>
          <w:b w:val="false"/>
          <w:i w:val="false"/>
          <w:color w:val="000000"/>
          <w:sz w:val="28"/>
        </w:rPr>
        <w:t>
      385. Если используются электронные подписи на документах, они идентифицируются и защищаются.</w:t>
      </w:r>
    </w:p>
    <w:bookmarkEnd w:id="3068"/>
    <w:bookmarkStart w:name="z3172" w:id="3069"/>
    <w:p>
      <w:pPr>
        <w:spacing w:after="0"/>
        <w:ind w:left="0"/>
        <w:jc w:val="left"/>
      </w:pPr>
      <w:r>
        <w:rPr>
          <w:rFonts w:ascii="Times New Roman"/>
          <w:b/>
          <w:i w:val="false"/>
          <w:color w:val="000000"/>
        </w:rPr>
        <w:t xml:space="preserve"> Параграф 26. Записи об очистке и использовании оборудования</w:t>
      </w:r>
    </w:p>
    <w:bookmarkEnd w:id="3069"/>
    <w:bookmarkStart w:name="z3173" w:id="3070"/>
    <w:p>
      <w:pPr>
        <w:spacing w:after="0"/>
        <w:ind w:left="0"/>
        <w:jc w:val="both"/>
      </w:pPr>
      <w:r>
        <w:rPr>
          <w:rFonts w:ascii="Times New Roman"/>
          <w:b w:val="false"/>
          <w:i w:val="false"/>
          <w:color w:val="000000"/>
          <w:sz w:val="28"/>
        </w:rPr>
        <w:t>
      386. В записях об использовании, очистке, санитарной обработке (или) стерилизации, а также о техническом обслуживании основного оборудования указываются: дата, время (при необходимости), наименование продукции, номер каждой серии произведенной на этом оборудовании продукции, а также наименование лица, которое проводило очистку и техническое обслуживание.</w:t>
      </w:r>
    </w:p>
    <w:bookmarkEnd w:id="3070"/>
    <w:bookmarkStart w:name="z3174" w:id="3071"/>
    <w:p>
      <w:pPr>
        <w:spacing w:after="0"/>
        <w:ind w:left="0"/>
        <w:jc w:val="both"/>
      </w:pPr>
      <w:r>
        <w:rPr>
          <w:rFonts w:ascii="Times New Roman"/>
          <w:b w:val="false"/>
          <w:i w:val="false"/>
          <w:color w:val="000000"/>
          <w:sz w:val="28"/>
        </w:rPr>
        <w:t>
      387. Не требуется составление отдельных записей об очистке и использовании оборудования в случае, если оно специально предназначено для производства одного наименования промежуточного продукта или АФС, и серии этого промежуточного продукта или АФС производятся в прослеживаемой последовательности. В случае использования специально предназначенного оборудования записи о его очистке, техническом обслуживании и эксплуатации могут быть частью досье на серию или отдельным документом.</w:t>
      </w:r>
    </w:p>
    <w:bookmarkEnd w:id="3071"/>
    <w:bookmarkStart w:name="z3175" w:id="3072"/>
    <w:p>
      <w:pPr>
        <w:spacing w:after="0"/>
        <w:ind w:left="0"/>
        <w:jc w:val="left"/>
      </w:pPr>
      <w:r>
        <w:rPr>
          <w:rFonts w:ascii="Times New Roman"/>
          <w:b/>
          <w:i w:val="false"/>
          <w:color w:val="000000"/>
        </w:rPr>
        <w:t xml:space="preserve"> Параграф 27. Записи на исходное сырье, промежуточные продукты, материалы для маркировки и упаковки АФС</w:t>
      </w:r>
    </w:p>
    <w:bookmarkEnd w:id="3072"/>
    <w:bookmarkStart w:name="z3176" w:id="3073"/>
    <w:p>
      <w:pPr>
        <w:spacing w:after="0"/>
        <w:ind w:left="0"/>
        <w:jc w:val="both"/>
      </w:pPr>
      <w:r>
        <w:rPr>
          <w:rFonts w:ascii="Times New Roman"/>
          <w:b w:val="false"/>
          <w:i w:val="false"/>
          <w:color w:val="000000"/>
          <w:sz w:val="28"/>
        </w:rPr>
        <w:t>
      388. Ведутся записи на исходное сырье, промежуточные продукты, материалы для маркировки и упаковки АФС, содержащие следующие данные:</w:t>
      </w:r>
    </w:p>
    <w:bookmarkEnd w:id="3073"/>
    <w:bookmarkStart w:name="z3177" w:id="3074"/>
    <w:p>
      <w:pPr>
        <w:spacing w:after="0"/>
        <w:ind w:left="0"/>
        <w:jc w:val="both"/>
      </w:pPr>
      <w:r>
        <w:rPr>
          <w:rFonts w:ascii="Times New Roman"/>
          <w:b w:val="false"/>
          <w:i w:val="false"/>
          <w:color w:val="000000"/>
          <w:sz w:val="28"/>
        </w:rPr>
        <w:t>
      1) наименование производителя, идентификация и количество каждой поставки каждой серии исходного сырья, промежуточной продукции или материалов для маркировки или упаковки АФС;</w:t>
      </w:r>
    </w:p>
    <w:bookmarkEnd w:id="3074"/>
    <w:bookmarkStart w:name="z3178" w:id="3075"/>
    <w:p>
      <w:pPr>
        <w:spacing w:after="0"/>
        <w:ind w:left="0"/>
        <w:jc w:val="both"/>
      </w:pPr>
      <w:r>
        <w:rPr>
          <w:rFonts w:ascii="Times New Roman"/>
          <w:b w:val="false"/>
          <w:i w:val="false"/>
          <w:color w:val="000000"/>
          <w:sz w:val="28"/>
        </w:rPr>
        <w:t>
      2) наименование поставщика, контрольный номер (номера) поставщика (при наличии) или другой идентификационный номер, номер, присвоенный при приемке, и дата приемки;</w:t>
      </w:r>
    </w:p>
    <w:bookmarkEnd w:id="3075"/>
    <w:bookmarkStart w:name="z3179" w:id="3076"/>
    <w:p>
      <w:pPr>
        <w:spacing w:after="0"/>
        <w:ind w:left="0"/>
        <w:jc w:val="both"/>
      </w:pPr>
      <w:r>
        <w:rPr>
          <w:rFonts w:ascii="Times New Roman"/>
          <w:b w:val="false"/>
          <w:i w:val="false"/>
          <w:color w:val="000000"/>
          <w:sz w:val="28"/>
        </w:rPr>
        <w:t>
      3) результаты всех проведенных испытаний или проверок и сделанные на их основании выводы;</w:t>
      </w:r>
    </w:p>
    <w:bookmarkEnd w:id="3076"/>
    <w:bookmarkStart w:name="z3180" w:id="3077"/>
    <w:p>
      <w:pPr>
        <w:spacing w:after="0"/>
        <w:ind w:left="0"/>
        <w:jc w:val="both"/>
      </w:pPr>
      <w:r>
        <w:rPr>
          <w:rFonts w:ascii="Times New Roman"/>
          <w:b w:val="false"/>
          <w:i w:val="false"/>
          <w:color w:val="000000"/>
          <w:sz w:val="28"/>
        </w:rPr>
        <w:t>
      4) записи, в которых прослеживается использование исходного сырья и материалов;</w:t>
      </w:r>
    </w:p>
    <w:bookmarkEnd w:id="3077"/>
    <w:bookmarkStart w:name="z3181" w:id="3078"/>
    <w:p>
      <w:pPr>
        <w:spacing w:after="0"/>
        <w:ind w:left="0"/>
        <w:jc w:val="both"/>
      </w:pPr>
      <w:r>
        <w:rPr>
          <w:rFonts w:ascii="Times New Roman"/>
          <w:b w:val="false"/>
          <w:i w:val="false"/>
          <w:color w:val="000000"/>
          <w:sz w:val="28"/>
        </w:rPr>
        <w:t>
      документация по оценке и проверке материалов для маркировки и упаковки АФС, подтверждающая соответствие установленным спецификациям;</w:t>
      </w:r>
    </w:p>
    <w:bookmarkEnd w:id="3078"/>
    <w:bookmarkStart w:name="z3182" w:id="3079"/>
    <w:p>
      <w:pPr>
        <w:spacing w:after="0"/>
        <w:ind w:left="0"/>
        <w:jc w:val="both"/>
      </w:pPr>
      <w:r>
        <w:rPr>
          <w:rFonts w:ascii="Times New Roman"/>
          <w:b w:val="false"/>
          <w:i w:val="false"/>
          <w:color w:val="000000"/>
          <w:sz w:val="28"/>
        </w:rPr>
        <w:t>
      5) окончательное решение относительно отклоненного исходного сырья, промежуточной продукции или материалов для маркировки и упаковки АФС.</w:t>
      </w:r>
    </w:p>
    <w:bookmarkEnd w:id="3079"/>
    <w:bookmarkStart w:name="z3183" w:id="3080"/>
    <w:p>
      <w:pPr>
        <w:spacing w:after="0"/>
        <w:ind w:left="0"/>
        <w:jc w:val="both"/>
      </w:pPr>
      <w:r>
        <w:rPr>
          <w:rFonts w:ascii="Times New Roman"/>
          <w:b w:val="false"/>
          <w:i w:val="false"/>
          <w:color w:val="000000"/>
          <w:sz w:val="28"/>
        </w:rPr>
        <w:t>
      389. Следует хранить утвержденные образцы этикеток для сравнения с ними выпускаемых этикеток.</w:t>
      </w:r>
    </w:p>
    <w:bookmarkEnd w:id="3080"/>
    <w:bookmarkStart w:name="z3184" w:id="3081"/>
    <w:p>
      <w:pPr>
        <w:spacing w:after="0"/>
        <w:ind w:left="0"/>
        <w:jc w:val="left"/>
      </w:pPr>
      <w:r>
        <w:rPr>
          <w:rFonts w:ascii="Times New Roman"/>
          <w:b/>
          <w:i w:val="false"/>
          <w:color w:val="000000"/>
        </w:rPr>
        <w:t xml:space="preserve"> Параграф 28. Основные технологические инструкции</w:t>
      </w:r>
    </w:p>
    <w:bookmarkEnd w:id="3081"/>
    <w:bookmarkStart w:name="z3185" w:id="3082"/>
    <w:p>
      <w:pPr>
        <w:spacing w:after="0"/>
        <w:ind w:left="0"/>
        <w:jc w:val="both"/>
      </w:pPr>
      <w:r>
        <w:rPr>
          <w:rFonts w:ascii="Times New Roman"/>
          <w:b w:val="false"/>
          <w:i w:val="false"/>
          <w:color w:val="000000"/>
          <w:sz w:val="28"/>
        </w:rPr>
        <w:t>
      390. Для обеспечения однородности продукта от серии к серии необходимо, разработать основные технологические инструкции для каждого вида промежуточной продукции и АФС, подписанные и датированные одним лицом, а также независимо проверенные подписанные и датированные лицом из отдела качества.</w:t>
      </w:r>
    </w:p>
    <w:bookmarkEnd w:id="3082"/>
    <w:bookmarkStart w:name="z3186" w:id="3083"/>
    <w:p>
      <w:pPr>
        <w:spacing w:after="0"/>
        <w:ind w:left="0"/>
        <w:jc w:val="both"/>
      </w:pPr>
      <w:r>
        <w:rPr>
          <w:rFonts w:ascii="Times New Roman"/>
          <w:b w:val="false"/>
          <w:i w:val="false"/>
          <w:color w:val="000000"/>
          <w:sz w:val="28"/>
        </w:rPr>
        <w:t>
      391. Основные технологические инструкции включают в себя:</w:t>
      </w:r>
    </w:p>
    <w:bookmarkEnd w:id="3083"/>
    <w:bookmarkStart w:name="z3187" w:id="3084"/>
    <w:p>
      <w:pPr>
        <w:spacing w:after="0"/>
        <w:ind w:left="0"/>
        <w:jc w:val="both"/>
      </w:pPr>
      <w:r>
        <w:rPr>
          <w:rFonts w:ascii="Times New Roman"/>
          <w:b w:val="false"/>
          <w:i w:val="false"/>
          <w:color w:val="000000"/>
          <w:sz w:val="28"/>
        </w:rPr>
        <w:t>
      1) наименование выпускаемой промежуточной продукции или АФС стадии технологического процесса, а также, если применимо, соответствующий код документа;</w:t>
      </w:r>
    </w:p>
    <w:bookmarkEnd w:id="3084"/>
    <w:bookmarkStart w:name="z3188" w:id="3085"/>
    <w:p>
      <w:pPr>
        <w:spacing w:after="0"/>
        <w:ind w:left="0"/>
        <w:jc w:val="both"/>
      </w:pPr>
      <w:r>
        <w:rPr>
          <w:rFonts w:ascii="Times New Roman"/>
          <w:b w:val="false"/>
          <w:i w:val="false"/>
          <w:color w:val="000000"/>
          <w:sz w:val="28"/>
        </w:rPr>
        <w:t>
      2) полный перечень исходного сырья и промежуточной продукции с указанием наименований или кодов, достаточно специфичных для того, чтобы можно было провести идентификацию и определить любые специальные показатели качества;</w:t>
      </w:r>
    </w:p>
    <w:bookmarkEnd w:id="3085"/>
    <w:bookmarkStart w:name="z3189" w:id="3086"/>
    <w:p>
      <w:pPr>
        <w:spacing w:after="0"/>
        <w:ind w:left="0"/>
        <w:jc w:val="both"/>
      </w:pPr>
      <w:r>
        <w:rPr>
          <w:rFonts w:ascii="Times New Roman"/>
          <w:b w:val="false"/>
          <w:i w:val="false"/>
          <w:color w:val="000000"/>
          <w:sz w:val="28"/>
        </w:rPr>
        <w:t>
      3) точное указание количества или соотношение каждого наименования используемого сырья или промежуточной продукции с указанием единиц измерения. Если такое количество не является фиксированным, то приводятся расчет для каждого размера серии или режима технологического процесса. Следует привести отклонения от указанных количеств, если они обоснованы;</w:t>
      </w:r>
    </w:p>
    <w:bookmarkEnd w:id="3086"/>
    <w:bookmarkStart w:name="z3190" w:id="3087"/>
    <w:p>
      <w:pPr>
        <w:spacing w:after="0"/>
        <w:ind w:left="0"/>
        <w:jc w:val="both"/>
      </w:pPr>
      <w:r>
        <w:rPr>
          <w:rFonts w:ascii="Times New Roman"/>
          <w:b w:val="false"/>
          <w:i w:val="false"/>
          <w:color w:val="000000"/>
          <w:sz w:val="28"/>
        </w:rPr>
        <w:t>
      4) место осуществления технологического процесса и основное технологическое оборудование, которое при этом используется;</w:t>
      </w:r>
    </w:p>
    <w:bookmarkEnd w:id="3087"/>
    <w:bookmarkStart w:name="z3191" w:id="3088"/>
    <w:p>
      <w:pPr>
        <w:spacing w:after="0"/>
        <w:ind w:left="0"/>
        <w:jc w:val="both"/>
      </w:pPr>
      <w:r>
        <w:rPr>
          <w:rFonts w:ascii="Times New Roman"/>
          <w:b w:val="false"/>
          <w:i w:val="false"/>
          <w:color w:val="000000"/>
          <w:sz w:val="28"/>
        </w:rPr>
        <w:t>
      5) подробные технологические действия, в том числе последовательность, которую соблюдаются, и используются диапазоны параметров процесса;</w:t>
      </w:r>
    </w:p>
    <w:bookmarkEnd w:id="3088"/>
    <w:bookmarkStart w:name="z3192" w:id="3089"/>
    <w:p>
      <w:pPr>
        <w:spacing w:after="0"/>
        <w:ind w:left="0"/>
        <w:jc w:val="both"/>
      </w:pPr>
      <w:r>
        <w:rPr>
          <w:rFonts w:ascii="Times New Roman"/>
          <w:b w:val="false"/>
          <w:i w:val="false"/>
          <w:color w:val="000000"/>
          <w:sz w:val="28"/>
        </w:rPr>
        <w:t>
      6) указания по отбору проб и контролю в процессе производства с указанием критериев приемлемости (при необходимости);</w:t>
      </w:r>
    </w:p>
    <w:bookmarkEnd w:id="3089"/>
    <w:bookmarkStart w:name="z3193" w:id="3090"/>
    <w:p>
      <w:pPr>
        <w:spacing w:after="0"/>
        <w:ind w:left="0"/>
        <w:jc w:val="both"/>
      </w:pPr>
      <w:r>
        <w:rPr>
          <w:rFonts w:ascii="Times New Roman"/>
          <w:b w:val="false"/>
          <w:i w:val="false"/>
          <w:color w:val="000000"/>
          <w:sz w:val="28"/>
        </w:rPr>
        <w:t>
      7) предельные сроки завершения отдельных стадий технологического процесса и (или) процесса в целом (при необходимости);</w:t>
      </w:r>
    </w:p>
    <w:bookmarkEnd w:id="3090"/>
    <w:bookmarkStart w:name="z3194" w:id="3091"/>
    <w:p>
      <w:pPr>
        <w:spacing w:after="0"/>
        <w:ind w:left="0"/>
        <w:jc w:val="both"/>
      </w:pPr>
      <w:r>
        <w:rPr>
          <w:rFonts w:ascii="Times New Roman"/>
          <w:b w:val="false"/>
          <w:i w:val="false"/>
          <w:color w:val="000000"/>
          <w:sz w:val="28"/>
        </w:rPr>
        <w:t>
      8) ожидаемые диапазоны выхода продукции на соответствующих стадиях процесса или в определенное время;</w:t>
      </w:r>
    </w:p>
    <w:bookmarkEnd w:id="3091"/>
    <w:bookmarkStart w:name="z3195" w:id="3092"/>
    <w:p>
      <w:pPr>
        <w:spacing w:after="0"/>
        <w:ind w:left="0"/>
        <w:jc w:val="both"/>
      </w:pPr>
      <w:r>
        <w:rPr>
          <w:rFonts w:ascii="Times New Roman"/>
          <w:b w:val="false"/>
          <w:i w:val="false"/>
          <w:color w:val="000000"/>
          <w:sz w:val="28"/>
        </w:rPr>
        <w:t>
      9) особые указания и меры предосторожности, которые следует соблюдать, или соответствующие перекрестные ссылки на них (при необходимости);</w:t>
      </w:r>
    </w:p>
    <w:bookmarkEnd w:id="3092"/>
    <w:bookmarkStart w:name="z3196" w:id="3093"/>
    <w:p>
      <w:pPr>
        <w:spacing w:after="0"/>
        <w:ind w:left="0"/>
        <w:jc w:val="both"/>
      </w:pPr>
      <w:r>
        <w:rPr>
          <w:rFonts w:ascii="Times New Roman"/>
          <w:b w:val="false"/>
          <w:i w:val="false"/>
          <w:color w:val="000000"/>
          <w:sz w:val="28"/>
        </w:rPr>
        <w:t>
      10) указания по хранению промежуточной продукции или АФС для обеспечения их пригодности к использованию, включая материалы для маркировки и упаковки, а также особые условия хранения с указанием сроков (при необходимости).</w:t>
      </w:r>
    </w:p>
    <w:bookmarkEnd w:id="3093"/>
    <w:bookmarkStart w:name="z3197" w:id="3094"/>
    <w:p>
      <w:pPr>
        <w:spacing w:after="0"/>
        <w:ind w:left="0"/>
        <w:jc w:val="left"/>
      </w:pPr>
      <w:r>
        <w:rPr>
          <w:rFonts w:ascii="Times New Roman"/>
          <w:b/>
          <w:i w:val="false"/>
          <w:color w:val="000000"/>
        </w:rPr>
        <w:t xml:space="preserve"> Параграф 29. Записи по производству и контролю качества серии (досье на серию)</w:t>
      </w:r>
    </w:p>
    <w:bookmarkEnd w:id="3094"/>
    <w:bookmarkStart w:name="z3198" w:id="3095"/>
    <w:p>
      <w:pPr>
        <w:spacing w:after="0"/>
        <w:ind w:left="0"/>
        <w:jc w:val="both"/>
      </w:pPr>
      <w:r>
        <w:rPr>
          <w:rFonts w:ascii="Times New Roman"/>
          <w:b w:val="false"/>
          <w:i w:val="false"/>
          <w:color w:val="000000"/>
          <w:sz w:val="28"/>
        </w:rPr>
        <w:t>
      392. Для каждого промежуточного продукта и АФС подготовлены записи по производству и контролю качества, которые могут быть собраны в досье на серию, включающее в себя полную информацию о производстве и контроле качества каждой серии. Внесение записей по производству серии осуществляется по форме, которая соответствует технологической инструкции и является актуальной версией. Если указанная форма составлена на основании отдельной части технологической инструкции, такой документ содержит ссылку на используемую действующую технологическую инструкцию.</w:t>
      </w:r>
    </w:p>
    <w:bookmarkEnd w:id="3095"/>
    <w:bookmarkStart w:name="z3199" w:id="3096"/>
    <w:p>
      <w:pPr>
        <w:spacing w:after="0"/>
        <w:ind w:left="0"/>
        <w:jc w:val="both"/>
      </w:pPr>
      <w:r>
        <w:rPr>
          <w:rFonts w:ascii="Times New Roman"/>
          <w:b w:val="false"/>
          <w:i w:val="false"/>
          <w:color w:val="000000"/>
          <w:sz w:val="28"/>
        </w:rPr>
        <w:t>
      393. Формы для записей пронумерованы с указанием конкретного номера серии или идентификационного номера, датированы и подписаны при выдаче. При непрерывном производстве</w:t>
      </w:r>
    </w:p>
    <w:bookmarkEnd w:id="3096"/>
    <w:bookmarkStart w:name="z3200" w:id="3097"/>
    <w:p>
      <w:pPr>
        <w:spacing w:after="0"/>
        <w:ind w:left="0"/>
        <w:jc w:val="both"/>
      </w:pPr>
      <w:r>
        <w:rPr>
          <w:rFonts w:ascii="Times New Roman"/>
          <w:b w:val="false"/>
          <w:i w:val="false"/>
          <w:color w:val="000000"/>
          <w:sz w:val="28"/>
        </w:rPr>
        <w:t>
      код продукции, а также дата и время выпуска могут служить однозначными идентификаторами до присвоения окончательного номера серии.</w:t>
      </w:r>
    </w:p>
    <w:bookmarkEnd w:id="3097"/>
    <w:bookmarkStart w:name="z3201" w:id="3098"/>
    <w:p>
      <w:pPr>
        <w:spacing w:after="0"/>
        <w:ind w:left="0"/>
        <w:jc w:val="both"/>
      </w:pPr>
      <w:r>
        <w:rPr>
          <w:rFonts w:ascii="Times New Roman"/>
          <w:b w:val="false"/>
          <w:i w:val="false"/>
          <w:color w:val="000000"/>
          <w:sz w:val="28"/>
        </w:rPr>
        <w:t>
      394. В записях по производству и контролю качества (досье на серию) продукции после завершения каждой важной технологической стадии следует указывать следующие сведения:</w:t>
      </w:r>
    </w:p>
    <w:bookmarkEnd w:id="3098"/>
    <w:bookmarkStart w:name="z3202" w:id="3099"/>
    <w:p>
      <w:pPr>
        <w:spacing w:after="0"/>
        <w:ind w:left="0"/>
        <w:jc w:val="both"/>
      </w:pPr>
      <w:r>
        <w:rPr>
          <w:rFonts w:ascii="Times New Roman"/>
          <w:b w:val="false"/>
          <w:i w:val="false"/>
          <w:color w:val="000000"/>
          <w:sz w:val="28"/>
        </w:rPr>
        <w:t>
      1) дата и время;</w:t>
      </w:r>
    </w:p>
    <w:bookmarkEnd w:id="3099"/>
    <w:bookmarkStart w:name="z3203" w:id="3100"/>
    <w:p>
      <w:pPr>
        <w:spacing w:after="0"/>
        <w:ind w:left="0"/>
        <w:jc w:val="both"/>
      </w:pPr>
      <w:r>
        <w:rPr>
          <w:rFonts w:ascii="Times New Roman"/>
          <w:b w:val="false"/>
          <w:i w:val="false"/>
          <w:color w:val="000000"/>
          <w:sz w:val="28"/>
        </w:rPr>
        <w:t>
      2) основное используемое оборудование (например, реакторы, сушилки, мельницы и др.);</w:t>
      </w:r>
    </w:p>
    <w:bookmarkEnd w:id="3100"/>
    <w:bookmarkStart w:name="z3204" w:id="3101"/>
    <w:p>
      <w:pPr>
        <w:spacing w:after="0"/>
        <w:ind w:left="0"/>
        <w:jc w:val="both"/>
      </w:pPr>
      <w:r>
        <w:rPr>
          <w:rFonts w:ascii="Times New Roman"/>
          <w:b w:val="false"/>
          <w:i w:val="false"/>
          <w:color w:val="000000"/>
          <w:sz w:val="28"/>
        </w:rPr>
        <w:t>
      специфическая идентификация каждой серии, включая массу, единицы измерения, номера серий исходного сырья, промежуточной продукции или любых материалов, прошедших повторную обработку в ходе производства;</w:t>
      </w:r>
    </w:p>
    <w:bookmarkEnd w:id="3101"/>
    <w:bookmarkStart w:name="z3205" w:id="3102"/>
    <w:p>
      <w:pPr>
        <w:spacing w:after="0"/>
        <w:ind w:left="0"/>
        <w:jc w:val="both"/>
      </w:pPr>
      <w:r>
        <w:rPr>
          <w:rFonts w:ascii="Times New Roman"/>
          <w:b w:val="false"/>
          <w:i w:val="false"/>
          <w:color w:val="000000"/>
          <w:sz w:val="28"/>
        </w:rPr>
        <w:t>
      3) зарегистрированные фактические результаты критических параметров процесса;</w:t>
      </w:r>
    </w:p>
    <w:bookmarkEnd w:id="3102"/>
    <w:bookmarkStart w:name="z3206" w:id="3103"/>
    <w:p>
      <w:pPr>
        <w:spacing w:after="0"/>
        <w:ind w:left="0"/>
        <w:jc w:val="both"/>
      </w:pPr>
      <w:r>
        <w:rPr>
          <w:rFonts w:ascii="Times New Roman"/>
          <w:b w:val="false"/>
          <w:i w:val="false"/>
          <w:color w:val="000000"/>
          <w:sz w:val="28"/>
        </w:rPr>
        <w:t>
      4) данные о любых проведенных отборах проб;</w:t>
      </w:r>
    </w:p>
    <w:bookmarkEnd w:id="3103"/>
    <w:bookmarkStart w:name="z3207" w:id="3104"/>
    <w:p>
      <w:pPr>
        <w:spacing w:after="0"/>
        <w:ind w:left="0"/>
        <w:jc w:val="both"/>
      </w:pPr>
      <w:r>
        <w:rPr>
          <w:rFonts w:ascii="Times New Roman"/>
          <w:b w:val="false"/>
          <w:i w:val="false"/>
          <w:color w:val="000000"/>
          <w:sz w:val="28"/>
        </w:rPr>
        <w:t>
      5) подписи лиц, выполнявших каждую критическую стадию при работе, а также осуществлявших непосредственный надзор или проверку;</w:t>
      </w:r>
    </w:p>
    <w:bookmarkEnd w:id="3104"/>
    <w:bookmarkStart w:name="z3208" w:id="3105"/>
    <w:p>
      <w:pPr>
        <w:spacing w:after="0"/>
        <w:ind w:left="0"/>
        <w:jc w:val="both"/>
      </w:pPr>
      <w:r>
        <w:rPr>
          <w:rFonts w:ascii="Times New Roman"/>
          <w:b w:val="false"/>
          <w:i w:val="false"/>
          <w:color w:val="000000"/>
          <w:sz w:val="28"/>
        </w:rPr>
        <w:t>
      6) результаты испытаний в процессе производства и лабораторных испытаний;</w:t>
      </w:r>
    </w:p>
    <w:bookmarkEnd w:id="3105"/>
    <w:bookmarkStart w:name="z3209" w:id="3106"/>
    <w:p>
      <w:pPr>
        <w:spacing w:after="0"/>
        <w:ind w:left="0"/>
        <w:jc w:val="both"/>
      </w:pPr>
      <w:r>
        <w:rPr>
          <w:rFonts w:ascii="Times New Roman"/>
          <w:b w:val="false"/>
          <w:i w:val="false"/>
          <w:color w:val="000000"/>
          <w:sz w:val="28"/>
        </w:rPr>
        <w:t>
      7) фактический выход на соответствующих стадиях или в определенное время;</w:t>
      </w:r>
    </w:p>
    <w:bookmarkEnd w:id="3106"/>
    <w:bookmarkStart w:name="z3210" w:id="3107"/>
    <w:p>
      <w:pPr>
        <w:spacing w:after="0"/>
        <w:ind w:left="0"/>
        <w:jc w:val="both"/>
      </w:pPr>
      <w:r>
        <w:rPr>
          <w:rFonts w:ascii="Times New Roman"/>
          <w:b w:val="false"/>
          <w:i w:val="false"/>
          <w:color w:val="000000"/>
          <w:sz w:val="28"/>
        </w:rPr>
        <w:t>
      8) описание упаковки и маркировки для промежуточной продукции или АФС;</w:t>
      </w:r>
    </w:p>
    <w:bookmarkEnd w:id="3107"/>
    <w:bookmarkStart w:name="z3211" w:id="3108"/>
    <w:p>
      <w:pPr>
        <w:spacing w:after="0"/>
        <w:ind w:left="0"/>
        <w:jc w:val="both"/>
      </w:pPr>
      <w:r>
        <w:rPr>
          <w:rFonts w:ascii="Times New Roman"/>
          <w:b w:val="false"/>
          <w:i w:val="false"/>
          <w:color w:val="000000"/>
          <w:sz w:val="28"/>
        </w:rPr>
        <w:t>
      9) образец этикетки для АФС или промежуточной продукции, если они произведены для продажи;</w:t>
      </w:r>
    </w:p>
    <w:bookmarkEnd w:id="3108"/>
    <w:bookmarkStart w:name="z3212" w:id="3109"/>
    <w:p>
      <w:pPr>
        <w:spacing w:after="0"/>
        <w:ind w:left="0"/>
        <w:jc w:val="both"/>
      </w:pPr>
      <w:r>
        <w:rPr>
          <w:rFonts w:ascii="Times New Roman"/>
          <w:b w:val="false"/>
          <w:i w:val="false"/>
          <w:color w:val="000000"/>
          <w:sz w:val="28"/>
        </w:rPr>
        <w:t>
      10) любое замеченное отклонение, его оценка, информация о проведенном расследовании (при необходимости) или ссылка на такое расследование, если соответствующие документы хранятся отдельно;</w:t>
      </w:r>
    </w:p>
    <w:bookmarkEnd w:id="3109"/>
    <w:bookmarkStart w:name="z3213" w:id="3110"/>
    <w:p>
      <w:pPr>
        <w:spacing w:after="0"/>
        <w:ind w:left="0"/>
        <w:jc w:val="both"/>
      </w:pPr>
      <w:r>
        <w:rPr>
          <w:rFonts w:ascii="Times New Roman"/>
          <w:b w:val="false"/>
          <w:i w:val="false"/>
          <w:color w:val="000000"/>
          <w:sz w:val="28"/>
        </w:rPr>
        <w:t>
      11) результаты контроля при выдаче разрешения на выпуск.</w:t>
      </w:r>
    </w:p>
    <w:bookmarkEnd w:id="3110"/>
    <w:bookmarkStart w:name="z3214" w:id="3111"/>
    <w:p>
      <w:pPr>
        <w:spacing w:after="0"/>
        <w:ind w:left="0"/>
        <w:jc w:val="both"/>
      </w:pPr>
      <w:r>
        <w:rPr>
          <w:rFonts w:ascii="Times New Roman"/>
          <w:b w:val="false"/>
          <w:i w:val="false"/>
          <w:color w:val="000000"/>
          <w:sz w:val="28"/>
        </w:rPr>
        <w:t>
      395. Разработаны письменные процедуры, которые соблюдаются при расследовании критических отклонений или при несоответствии серий промежуточной продукции или АФС их спецификациям. Такое расследование распространяется и на другие серии, к которым могли бы иметь отношение данные несоответствия или отклонения.</w:t>
      </w:r>
    </w:p>
    <w:bookmarkEnd w:id="3111"/>
    <w:bookmarkStart w:name="z3215" w:id="3112"/>
    <w:p>
      <w:pPr>
        <w:spacing w:after="0"/>
        <w:ind w:left="0"/>
        <w:jc w:val="left"/>
      </w:pPr>
      <w:r>
        <w:rPr>
          <w:rFonts w:ascii="Times New Roman"/>
          <w:b/>
          <w:i w:val="false"/>
          <w:color w:val="000000"/>
        </w:rPr>
        <w:t xml:space="preserve"> Параграф 30. Записи лабораторного контроля</w:t>
      </w:r>
    </w:p>
    <w:bookmarkEnd w:id="3112"/>
    <w:bookmarkStart w:name="z3216" w:id="3113"/>
    <w:p>
      <w:pPr>
        <w:spacing w:after="0"/>
        <w:ind w:left="0"/>
        <w:jc w:val="both"/>
      </w:pPr>
      <w:r>
        <w:rPr>
          <w:rFonts w:ascii="Times New Roman"/>
          <w:b w:val="false"/>
          <w:i w:val="false"/>
          <w:color w:val="000000"/>
          <w:sz w:val="28"/>
        </w:rPr>
        <w:t>
      396. Записи лабораторного контроля включают в себя полную информацию, полученную в ходе всех испытаний, проведенных для подтверждения соответствия установленным спецификациям и стандартам, включая исследования и количественные определения, в том числе:</w:t>
      </w:r>
    </w:p>
    <w:bookmarkEnd w:id="3113"/>
    <w:bookmarkStart w:name="z3217" w:id="3114"/>
    <w:p>
      <w:pPr>
        <w:spacing w:after="0"/>
        <w:ind w:left="0"/>
        <w:jc w:val="both"/>
      </w:pPr>
      <w:r>
        <w:rPr>
          <w:rFonts w:ascii="Times New Roman"/>
          <w:b w:val="false"/>
          <w:i w:val="false"/>
          <w:color w:val="000000"/>
          <w:sz w:val="28"/>
        </w:rPr>
        <w:t>
      1) описание образцов, полученных для проведения испытания, включая название исходного сырья или источника, номер серии или другой характерный код, дата отбора пробы, количество образца, представленного для проведения испытаний (при необходимости), и дата его получения;</w:t>
      </w:r>
    </w:p>
    <w:bookmarkEnd w:id="3114"/>
    <w:bookmarkStart w:name="z3218" w:id="3115"/>
    <w:p>
      <w:pPr>
        <w:spacing w:after="0"/>
        <w:ind w:left="0"/>
        <w:jc w:val="both"/>
      </w:pPr>
      <w:r>
        <w:rPr>
          <w:rFonts w:ascii="Times New Roman"/>
          <w:b w:val="false"/>
          <w:i w:val="false"/>
          <w:color w:val="000000"/>
          <w:sz w:val="28"/>
        </w:rPr>
        <w:t>
      2) описание каждого используемого метода испытаний или ссылка на такой метод;</w:t>
      </w:r>
    </w:p>
    <w:bookmarkEnd w:id="3115"/>
    <w:bookmarkStart w:name="z3219" w:id="3116"/>
    <w:p>
      <w:pPr>
        <w:spacing w:after="0"/>
        <w:ind w:left="0"/>
        <w:jc w:val="both"/>
      </w:pPr>
      <w:r>
        <w:rPr>
          <w:rFonts w:ascii="Times New Roman"/>
          <w:b w:val="false"/>
          <w:i w:val="false"/>
          <w:color w:val="000000"/>
          <w:sz w:val="28"/>
        </w:rPr>
        <w:t>
      указание массы образца или других единиц измерения для образца, используемого для каждого испытания, в соответствии с описанным методом, данные о приготовлении и испытании стандартных образцов, реактивов и стандартных растворов или соответствующие перекрестные ссылки;</w:t>
      </w:r>
    </w:p>
    <w:bookmarkEnd w:id="3116"/>
    <w:bookmarkStart w:name="z3220" w:id="3117"/>
    <w:p>
      <w:pPr>
        <w:spacing w:after="0"/>
        <w:ind w:left="0"/>
        <w:jc w:val="both"/>
      </w:pPr>
      <w:r>
        <w:rPr>
          <w:rFonts w:ascii="Times New Roman"/>
          <w:b w:val="false"/>
          <w:i w:val="false"/>
          <w:color w:val="000000"/>
          <w:sz w:val="28"/>
        </w:rPr>
        <w:t>
      3) записи всех исходных данных, получаемых в ходе каждого испытания, в дополнение к графикам, таблицам и спектрам, полученным с помощью лабораторных приборов, надлежащим образом идентифицированные для конкретного вещества и серии, подвергаемых испытанию;</w:t>
      </w:r>
    </w:p>
    <w:bookmarkEnd w:id="3117"/>
    <w:bookmarkStart w:name="z3221" w:id="3118"/>
    <w:p>
      <w:pPr>
        <w:spacing w:after="0"/>
        <w:ind w:left="0"/>
        <w:jc w:val="both"/>
      </w:pPr>
      <w:r>
        <w:rPr>
          <w:rFonts w:ascii="Times New Roman"/>
          <w:b w:val="false"/>
          <w:i w:val="false"/>
          <w:color w:val="000000"/>
          <w:sz w:val="28"/>
        </w:rPr>
        <w:t>
      4) записи всех расчетов, выполненных в связи с проведением испытания, включая, например, единицы измерения, коэффициенты пересчета и факторы эквивалентности;</w:t>
      </w:r>
    </w:p>
    <w:bookmarkEnd w:id="3118"/>
    <w:bookmarkStart w:name="z3222" w:id="3119"/>
    <w:p>
      <w:pPr>
        <w:spacing w:after="0"/>
        <w:ind w:left="0"/>
        <w:jc w:val="both"/>
      </w:pPr>
      <w:r>
        <w:rPr>
          <w:rFonts w:ascii="Times New Roman"/>
          <w:b w:val="false"/>
          <w:i w:val="false"/>
          <w:color w:val="000000"/>
          <w:sz w:val="28"/>
        </w:rPr>
        <w:t>
      5) результаты испытаний и их соответствие установленным критериям приемлемости;</w:t>
      </w:r>
    </w:p>
    <w:bookmarkEnd w:id="3119"/>
    <w:bookmarkStart w:name="z3223" w:id="3120"/>
    <w:p>
      <w:pPr>
        <w:spacing w:after="0"/>
        <w:ind w:left="0"/>
        <w:jc w:val="both"/>
      </w:pPr>
      <w:r>
        <w:rPr>
          <w:rFonts w:ascii="Times New Roman"/>
          <w:b w:val="false"/>
          <w:i w:val="false"/>
          <w:color w:val="000000"/>
          <w:sz w:val="28"/>
        </w:rPr>
        <w:t>
      6) подпись лица, проводившего каждое испытание, и дата (даты) его проведения;</w:t>
      </w:r>
    </w:p>
    <w:bookmarkEnd w:id="3120"/>
    <w:bookmarkStart w:name="z3224" w:id="3121"/>
    <w:p>
      <w:pPr>
        <w:spacing w:after="0"/>
        <w:ind w:left="0"/>
        <w:jc w:val="both"/>
      </w:pPr>
      <w:r>
        <w:rPr>
          <w:rFonts w:ascii="Times New Roman"/>
          <w:b w:val="false"/>
          <w:i w:val="false"/>
          <w:color w:val="000000"/>
          <w:sz w:val="28"/>
        </w:rPr>
        <w:t>
      7) дата и подпись второго лица, свидетельствующая, что оригиналы записей были проверены в отношении точности, полноты и соответствия установленным стандартам.</w:t>
      </w:r>
    </w:p>
    <w:bookmarkEnd w:id="3121"/>
    <w:bookmarkStart w:name="z3225" w:id="3122"/>
    <w:p>
      <w:pPr>
        <w:spacing w:after="0"/>
        <w:ind w:left="0"/>
        <w:jc w:val="both"/>
      </w:pPr>
      <w:r>
        <w:rPr>
          <w:rFonts w:ascii="Times New Roman"/>
          <w:b w:val="false"/>
          <w:i w:val="false"/>
          <w:color w:val="000000"/>
          <w:sz w:val="28"/>
        </w:rPr>
        <w:t>
      397. Следует также вести полные записи с указанием: любых изменений установленных аналитических методик; периодической калибровки лабораторного оборудования, аппаратов, средств измерений и регистрирующих устройств;</w:t>
      </w:r>
    </w:p>
    <w:bookmarkEnd w:id="3122"/>
    <w:bookmarkStart w:name="z3226" w:id="3123"/>
    <w:p>
      <w:pPr>
        <w:spacing w:after="0"/>
        <w:ind w:left="0"/>
        <w:jc w:val="both"/>
      </w:pPr>
      <w:r>
        <w:rPr>
          <w:rFonts w:ascii="Times New Roman"/>
          <w:b w:val="false"/>
          <w:i w:val="false"/>
          <w:color w:val="000000"/>
          <w:sz w:val="28"/>
        </w:rPr>
        <w:t>
      всех исследований АФС на стабильность;</w:t>
      </w:r>
    </w:p>
    <w:bookmarkEnd w:id="3123"/>
    <w:bookmarkStart w:name="z3227" w:id="3124"/>
    <w:p>
      <w:pPr>
        <w:spacing w:after="0"/>
        <w:ind w:left="0"/>
        <w:jc w:val="both"/>
      </w:pPr>
      <w:r>
        <w:rPr>
          <w:rFonts w:ascii="Times New Roman"/>
          <w:b w:val="false"/>
          <w:i w:val="false"/>
          <w:color w:val="000000"/>
          <w:sz w:val="28"/>
        </w:rPr>
        <w:t>
      расследования отклонений результатов испытаний от спецификаций.</w:t>
      </w:r>
    </w:p>
    <w:bookmarkEnd w:id="3124"/>
    <w:bookmarkStart w:name="z3228" w:id="3125"/>
    <w:p>
      <w:pPr>
        <w:spacing w:after="0"/>
        <w:ind w:left="0"/>
        <w:jc w:val="left"/>
      </w:pPr>
      <w:r>
        <w:rPr>
          <w:rFonts w:ascii="Times New Roman"/>
          <w:b/>
          <w:i w:val="false"/>
          <w:color w:val="000000"/>
        </w:rPr>
        <w:t xml:space="preserve"> Параграф 31. Обзор записей по производству и контролю качества серии  (досье на серию)</w:t>
      </w:r>
    </w:p>
    <w:bookmarkEnd w:id="3125"/>
    <w:bookmarkStart w:name="z3229" w:id="3126"/>
    <w:p>
      <w:pPr>
        <w:spacing w:after="0"/>
        <w:ind w:left="0"/>
        <w:jc w:val="both"/>
      </w:pPr>
      <w:r>
        <w:rPr>
          <w:rFonts w:ascii="Times New Roman"/>
          <w:b w:val="false"/>
          <w:i w:val="false"/>
          <w:color w:val="000000"/>
          <w:sz w:val="28"/>
        </w:rPr>
        <w:t>
      398. Для определения соответствия промежуточной продукции или АФС установленным спецификациям перед выдачей разрешения на выпуск серии или перед ее реализацией следует разработать письменные процедуры, которые следуют при обзоре и утверждении записей по производству и лабораторному контролю серий, включая упаковку и маркировку.</w:t>
      </w:r>
    </w:p>
    <w:bookmarkEnd w:id="3126"/>
    <w:bookmarkStart w:name="z3230" w:id="3127"/>
    <w:p>
      <w:pPr>
        <w:spacing w:after="0"/>
        <w:ind w:left="0"/>
        <w:jc w:val="both"/>
      </w:pPr>
      <w:r>
        <w:rPr>
          <w:rFonts w:ascii="Times New Roman"/>
          <w:b w:val="false"/>
          <w:i w:val="false"/>
          <w:color w:val="000000"/>
          <w:sz w:val="28"/>
        </w:rPr>
        <w:t>
      399. Записи по производству и лабораторному контролю критических стадий процесса подлежат проверке и подтверждению отделом (отделами) качества перед выдачей разрешения на выпуск или перед реализацией каждой серии АФС. Записи по производству и лабораторному контролю для некритических стадий процесса могут быть проверены квалифицированным персоналом производственного отдела или других подразделений в соответствии с процедурами, утвержденными отделом (отделами) качества.</w:t>
      </w:r>
    </w:p>
    <w:bookmarkEnd w:id="3127"/>
    <w:bookmarkStart w:name="z3231" w:id="3128"/>
    <w:p>
      <w:pPr>
        <w:spacing w:after="0"/>
        <w:ind w:left="0"/>
        <w:jc w:val="both"/>
      </w:pPr>
      <w:r>
        <w:rPr>
          <w:rFonts w:ascii="Times New Roman"/>
          <w:b w:val="false"/>
          <w:i w:val="false"/>
          <w:color w:val="000000"/>
          <w:sz w:val="28"/>
        </w:rPr>
        <w:t>
      400. Все отклонения, отчеты о расследованиях и отклонениях результатов от спецификаций следует оценивать в процессе обзора записей по производству и контролю серии (досье на серию) перед выдачей разрешения на выпуск этой серии.</w:t>
      </w:r>
    </w:p>
    <w:bookmarkEnd w:id="3128"/>
    <w:bookmarkStart w:name="z3232" w:id="3129"/>
    <w:p>
      <w:pPr>
        <w:spacing w:after="0"/>
        <w:ind w:left="0"/>
        <w:jc w:val="both"/>
      </w:pPr>
      <w:r>
        <w:rPr>
          <w:rFonts w:ascii="Times New Roman"/>
          <w:b w:val="false"/>
          <w:i w:val="false"/>
          <w:color w:val="000000"/>
          <w:sz w:val="28"/>
        </w:rPr>
        <w:t>
      401. Отдел (отделы) качества может передавать производственному отделу обязанности и полномочия в отношении выдачи разрешения на использование промежуточной продукции, за исключением тех случаев, когда продукция предназначена для поставки за пределы сферы контроля производителя.</w:t>
      </w:r>
    </w:p>
    <w:bookmarkEnd w:id="3129"/>
    <w:bookmarkStart w:name="z3233" w:id="3130"/>
    <w:p>
      <w:pPr>
        <w:spacing w:after="0"/>
        <w:ind w:left="0"/>
        <w:jc w:val="left"/>
      </w:pPr>
      <w:r>
        <w:rPr>
          <w:rFonts w:ascii="Times New Roman"/>
          <w:b/>
          <w:i w:val="false"/>
          <w:color w:val="000000"/>
        </w:rPr>
        <w:t xml:space="preserve"> Параграф 32. Работа с материалами</w:t>
      </w:r>
    </w:p>
    <w:bookmarkEnd w:id="3130"/>
    <w:bookmarkStart w:name="z3234" w:id="3131"/>
    <w:p>
      <w:pPr>
        <w:spacing w:after="0"/>
        <w:ind w:left="0"/>
        <w:jc w:val="both"/>
      </w:pPr>
      <w:r>
        <w:rPr>
          <w:rFonts w:ascii="Times New Roman"/>
          <w:b w:val="false"/>
          <w:i w:val="false"/>
          <w:color w:val="000000"/>
          <w:sz w:val="28"/>
        </w:rPr>
        <w:t>
      402. Приняты в форме письменного документа процедуры, описывающие приемку, идентификацию, помещение в карантин, хранение, обращение, отбор проб, проведение испытаний, а также одобрение или отклонение материалов.</w:t>
      </w:r>
    </w:p>
    <w:bookmarkEnd w:id="3131"/>
    <w:bookmarkStart w:name="z3235" w:id="3132"/>
    <w:p>
      <w:pPr>
        <w:spacing w:after="0"/>
        <w:ind w:left="0"/>
        <w:jc w:val="both"/>
      </w:pPr>
      <w:r>
        <w:rPr>
          <w:rFonts w:ascii="Times New Roman"/>
          <w:b w:val="false"/>
          <w:i w:val="false"/>
          <w:color w:val="000000"/>
          <w:sz w:val="28"/>
        </w:rPr>
        <w:t>
      403. Производители промежуточной продукции и (или) АФС имеют систему оценки поставщиков материалов, критических для качества.</w:t>
      </w:r>
    </w:p>
    <w:bookmarkEnd w:id="3132"/>
    <w:bookmarkStart w:name="z3236" w:id="3133"/>
    <w:p>
      <w:pPr>
        <w:spacing w:after="0"/>
        <w:ind w:left="0"/>
        <w:jc w:val="both"/>
      </w:pPr>
      <w:r>
        <w:rPr>
          <w:rFonts w:ascii="Times New Roman"/>
          <w:b w:val="false"/>
          <w:i w:val="false"/>
          <w:color w:val="000000"/>
          <w:sz w:val="28"/>
        </w:rPr>
        <w:t>
      404. Поставка материалов осуществляется поставщиками, утвержденными отделом (отделами) качества, в соответствии с согласованными спецификациями.</w:t>
      </w:r>
    </w:p>
    <w:bookmarkEnd w:id="3133"/>
    <w:bookmarkStart w:name="z3237" w:id="3134"/>
    <w:p>
      <w:pPr>
        <w:spacing w:after="0"/>
        <w:ind w:left="0"/>
        <w:jc w:val="both"/>
      </w:pPr>
      <w:r>
        <w:rPr>
          <w:rFonts w:ascii="Times New Roman"/>
          <w:b w:val="false"/>
          <w:i w:val="false"/>
          <w:color w:val="000000"/>
          <w:sz w:val="28"/>
        </w:rPr>
        <w:t>
      405. Если поставщик критических для качества материалов не является его производителем, то производитель промежуточной продукции и (или) АФС знает название и адрес производителя этих материалов.</w:t>
      </w:r>
    </w:p>
    <w:bookmarkEnd w:id="3134"/>
    <w:bookmarkStart w:name="z3238" w:id="3135"/>
    <w:p>
      <w:pPr>
        <w:spacing w:after="0"/>
        <w:ind w:left="0"/>
        <w:jc w:val="both"/>
      </w:pPr>
      <w:r>
        <w:rPr>
          <w:rFonts w:ascii="Times New Roman"/>
          <w:b w:val="false"/>
          <w:i w:val="false"/>
          <w:color w:val="000000"/>
          <w:sz w:val="28"/>
        </w:rPr>
        <w:t>
      406. Замену поставщика критических для качества материалов следует проводить в соответствии с разделом 13 настоящей части.</w:t>
      </w:r>
    </w:p>
    <w:bookmarkEnd w:id="3135"/>
    <w:bookmarkStart w:name="z3239" w:id="3136"/>
    <w:p>
      <w:pPr>
        <w:spacing w:after="0"/>
        <w:ind w:left="0"/>
        <w:jc w:val="left"/>
      </w:pPr>
      <w:r>
        <w:rPr>
          <w:rFonts w:ascii="Times New Roman"/>
          <w:b/>
          <w:i w:val="false"/>
          <w:color w:val="000000"/>
        </w:rPr>
        <w:t xml:space="preserve"> Параграф 33. Приемка и карантин</w:t>
      </w:r>
    </w:p>
    <w:bookmarkEnd w:id="3136"/>
    <w:bookmarkStart w:name="z3240" w:id="3137"/>
    <w:p>
      <w:pPr>
        <w:spacing w:after="0"/>
        <w:ind w:left="0"/>
        <w:jc w:val="both"/>
      </w:pPr>
      <w:r>
        <w:rPr>
          <w:rFonts w:ascii="Times New Roman"/>
          <w:b w:val="false"/>
          <w:i w:val="false"/>
          <w:color w:val="000000"/>
          <w:sz w:val="28"/>
        </w:rPr>
        <w:t>
      407. При получении и перед приемкой каждый контейнер с материалами или группу контейнеров обследуют визуально на правильность маркировки (включая соответствие названия, используемого поставщиком с названием, используемым заказчиком, если они отличаются) и наличие повреждений контейнера, пломб, свидетельств постороннего вмешательства или контаминации. Материалы следует содержать в карантине до отбора проб, проверки или проведения испытаний и получения разрешения на их использование.</w:t>
      </w:r>
    </w:p>
    <w:bookmarkEnd w:id="3137"/>
    <w:bookmarkStart w:name="z3241" w:id="3138"/>
    <w:p>
      <w:pPr>
        <w:spacing w:after="0"/>
        <w:ind w:left="0"/>
        <w:jc w:val="both"/>
      </w:pPr>
      <w:r>
        <w:rPr>
          <w:rFonts w:ascii="Times New Roman"/>
          <w:b w:val="false"/>
          <w:i w:val="false"/>
          <w:color w:val="000000"/>
          <w:sz w:val="28"/>
        </w:rPr>
        <w:t>
      408. До смешивания поступивших материалов с имеющимися запасами (например, растворителями или запасами в накопительных бункерах) их следует обозначить как соответствующие требованиям к этим материалам, прошедшие необходимые испытания (если применимо) и разрешенные для использования. Разрабатываются процедуры по предотвращению ошибочной выгрузки поступивших материалов в имеющийся запас.</w:t>
      </w:r>
    </w:p>
    <w:bookmarkEnd w:id="3138"/>
    <w:bookmarkStart w:name="z3242" w:id="3139"/>
    <w:p>
      <w:pPr>
        <w:spacing w:after="0"/>
        <w:ind w:left="0"/>
        <w:jc w:val="both"/>
      </w:pPr>
      <w:r>
        <w:rPr>
          <w:rFonts w:ascii="Times New Roman"/>
          <w:b w:val="false"/>
          <w:i w:val="false"/>
          <w:color w:val="000000"/>
          <w:sz w:val="28"/>
        </w:rPr>
        <w:t>
      409. Следует исключить возможность перекрестной контаминации поставки ангро, если она осуществляется в емкостях, не предназначенных специально для нее. Для подтверждения этого могут использоваться одно или несколько следующих доказательств:</w:t>
      </w:r>
    </w:p>
    <w:bookmarkEnd w:id="3139"/>
    <w:bookmarkStart w:name="z3243" w:id="3140"/>
    <w:p>
      <w:pPr>
        <w:spacing w:after="0"/>
        <w:ind w:left="0"/>
        <w:jc w:val="both"/>
      </w:pPr>
      <w:r>
        <w:rPr>
          <w:rFonts w:ascii="Times New Roman"/>
          <w:b w:val="false"/>
          <w:i w:val="false"/>
          <w:color w:val="000000"/>
          <w:sz w:val="28"/>
        </w:rPr>
        <w:t>
      наличие документа, подтверждающего очистку;</w:t>
      </w:r>
    </w:p>
    <w:bookmarkEnd w:id="3140"/>
    <w:bookmarkStart w:name="z3244" w:id="3141"/>
    <w:p>
      <w:pPr>
        <w:spacing w:after="0"/>
        <w:ind w:left="0"/>
        <w:jc w:val="both"/>
      </w:pPr>
      <w:r>
        <w:rPr>
          <w:rFonts w:ascii="Times New Roman"/>
          <w:b w:val="false"/>
          <w:i w:val="false"/>
          <w:color w:val="000000"/>
          <w:sz w:val="28"/>
        </w:rPr>
        <w:t>
      наличие документа с результатами испытания на наличие следов примесей;</w:t>
      </w:r>
    </w:p>
    <w:bookmarkEnd w:id="3141"/>
    <w:bookmarkStart w:name="z3245" w:id="3142"/>
    <w:p>
      <w:pPr>
        <w:spacing w:after="0"/>
        <w:ind w:left="0"/>
        <w:jc w:val="both"/>
      </w:pPr>
      <w:r>
        <w:rPr>
          <w:rFonts w:ascii="Times New Roman"/>
          <w:b w:val="false"/>
          <w:i w:val="false"/>
          <w:color w:val="000000"/>
          <w:sz w:val="28"/>
        </w:rPr>
        <w:t>
      аудит поставщика.</w:t>
      </w:r>
    </w:p>
    <w:bookmarkEnd w:id="3142"/>
    <w:bookmarkStart w:name="z3246" w:id="3143"/>
    <w:p>
      <w:pPr>
        <w:spacing w:after="0"/>
        <w:ind w:left="0"/>
        <w:jc w:val="both"/>
      </w:pPr>
      <w:r>
        <w:rPr>
          <w:rFonts w:ascii="Times New Roman"/>
          <w:b w:val="false"/>
          <w:i w:val="false"/>
          <w:color w:val="000000"/>
          <w:sz w:val="28"/>
        </w:rPr>
        <w:t>
      410. Большие емкости для хранения и обслуживающие их трубопроводы, линии наполнения и разгрузки имеет соответствующую маркировку.</w:t>
      </w:r>
    </w:p>
    <w:bookmarkEnd w:id="3143"/>
    <w:bookmarkStart w:name="z3247" w:id="3144"/>
    <w:p>
      <w:pPr>
        <w:spacing w:after="0"/>
        <w:ind w:left="0"/>
        <w:jc w:val="both"/>
      </w:pPr>
      <w:r>
        <w:rPr>
          <w:rFonts w:ascii="Times New Roman"/>
          <w:b w:val="false"/>
          <w:i w:val="false"/>
          <w:color w:val="000000"/>
          <w:sz w:val="28"/>
        </w:rPr>
        <w:t>
      411. Каждый контейнер или группу контейнеров с материалами (серией материалов) следует идентифицировать с помощью характерного кода, номера серии или номера, присвоенного при приемке. Этот номер следует использовать при регистрации местонахождения каждой серии. Имеется система идентификации статуса каждой серии.</w:t>
      </w:r>
    </w:p>
    <w:bookmarkEnd w:id="3144"/>
    <w:bookmarkStart w:name="z3248" w:id="3145"/>
    <w:p>
      <w:pPr>
        <w:spacing w:after="0"/>
        <w:ind w:left="0"/>
        <w:jc w:val="left"/>
      </w:pPr>
      <w:r>
        <w:rPr>
          <w:rFonts w:ascii="Times New Roman"/>
          <w:b/>
          <w:i w:val="false"/>
          <w:color w:val="000000"/>
        </w:rPr>
        <w:t xml:space="preserve"> Параграф 34. Отбор проб и проведение испытаний материалов, поступивших для производства</w:t>
      </w:r>
    </w:p>
    <w:bookmarkEnd w:id="3145"/>
    <w:bookmarkStart w:name="z3249" w:id="3146"/>
    <w:p>
      <w:pPr>
        <w:spacing w:after="0"/>
        <w:ind w:left="0"/>
        <w:jc w:val="both"/>
      </w:pPr>
      <w:r>
        <w:rPr>
          <w:rFonts w:ascii="Times New Roman"/>
          <w:b w:val="false"/>
          <w:i w:val="false"/>
          <w:color w:val="000000"/>
          <w:sz w:val="28"/>
        </w:rPr>
        <w:t>
      412. Для подтверждения подлинности (идентификации) каждой серии материалов (за исключением материалов, указанных в пункте 414 настоящей части) следует провести хотя бы одно испытание. Если производитель имеет систему оценки поставщиков, вместо проведения других испытаний можно использовать сертификат анализа продукции поставщика.</w:t>
      </w:r>
    </w:p>
    <w:bookmarkEnd w:id="3146"/>
    <w:bookmarkStart w:name="z3250" w:id="3147"/>
    <w:p>
      <w:pPr>
        <w:spacing w:after="0"/>
        <w:ind w:left="0"/>
        <w:jc w:val="both"/>
      </w:pPr>
      <w:r>
        <w:rPr>
          <w:rFonts w:ascii="Times New Roman"/>
          <w:b w:val="false"/>
          <w:i w:val="false"/>
          <w:color w:val="000000"/>
          <w:sz w:val="28"/>
        </w:rPr>
        <w:t>
      413. Процедура утверждения поставщика включает в себя оценку способности производителя постоянно поставлять материалы, соответствующие спецификациям (например, данные о качестве предыдущих поставок). Прежде чем сократить объем испытаний при входном контроле, следует провести полный анализ как минимум 3 серий. Тем не менее следует проводить полный анализ через определенные промежутки времени и сравнивать его результаты с данными сертификата анализа поставщика. Достоверность данных сертификатов анализа следует регулярно проверять.</w:t>
      </w:r>
    </w:p>
    <w:bookmarkEnd w:id="3147"/>
    <w:bookmarkStart w:name="z3251" w:id="3148"/>
    <w:p>
      <w:pPr>
        <w:spacing w:after="0"/>
        <w:ind w:left="0"/>
        <w:jc w:val="both"/>
      </w:pPr>
      <w:r>
        <w:rPr>
          <w:rFonts w:ascii="Times New Roman"/>
          <w:b w:val="false"/>
          <w:i w:val="false"/>
          <w:color w:val="000000"/>
          <w:sz w:val="28"/>
        </w:rPr>
        <w:t>
      414. Не требуется проведение контроля технологических добавок, опасного или высокотоксичного сырья, других специальных материалов или материалов, передаваемых в другое подразделение под контролем заказчика, при предоставлении производителем продукции сертификата анализа, подтверждающего соответствие этих материалов установленным требованиям. Идентификация этих материалов проводится путем визуальной проверки контейнеров, этикеток и регистрации номеров серий. Отсутствие контроля таких материалов на месте производства лекарственного средства обосновано и оформлено документально.</w:t>
      </w:r>
    </w:p>
    <w:bookmarkEnd w:id="3148"/>
    <w:bookmarkStart w:name="z3252" w:id="3149"/>
    <w:p>
      <w:pPr>
        <w:spacing w:after="0"/>
        <w:ind w:left="0"/>
        <w:jc w:val="both"/>
      </w:pPr>
      <w:r>
        <w:rPr>
          <w:rFonts w:ascii="Times New Roman"/>
          <w:b w:val="false"/>
          <w:i w:val="false"/>
          <w:color w:val="000000"/>
          <w:sz w:val="28"/>
        </w:rPr>
        <w:t>
      415. Пробы репрезентативны для серии материалов, из которой они отобраны. В методиках отбора проб установливают количество контейнеров, из которых отбираются пробы, часть контейнера, откуда берется проба, а также количество материалов, которое отобрано из каждого контейнера. Число контейнеров для отбора проб и размер пробы указывают в плане отбора проб, в котором учитывается критичность материалов, изменчивость свойств материалов, предшествующий опыт работы с поставщиком в отношении качества, а также необходимое для анализа количество материалов.</w:t>
      </w:r>
    </w:p>
    <w:bookmarkEnd w:id="3149"/>
    <w:bookmarkStart w:name="z3253" w:id="3150"/>
    <w:p>
      <w:pPr>
        <w:spacing w:after="0"/>
        <w:ind w:left="0"/>
        <w:jc w:val="both"/>
      </w:pPr>
      <w:r>
        <w:rPr>
          <w:rFonts w:ascii="Times New Roman"/>
          <w:b w:val="false"/>
          <w:i w:val="false"/>
          <w:color w:val="000000"/>
          <w:sz w:val="28"/>
        </w:rPr>
        <w:t>
      416. Отбор проб проводится в определенных местах и соответствии с инструкциями, предназначенными для предотвращения контаминации отобранной пробы и других материалов.</w:t>
      </w:r>
    </w:p>
    <w:bookmarkEnd w:id="3150"/>
    <w:bookmarkStart w:name="z3254" w:id="3151"/>
    <w:p>
      <w:pPr>
        <w:spacing w:after="0"/>
        <w:ind w:left="0"/>
        <w:jc w:val="both"/>
      </w:pPr>
      <w:r>
        <w:rPr>
          <w:rFonts w:ascii="Times New Roman"/>
          <w:b w:val="false"/>
          <w:i w:val="false"/>
          <w:color w:val="000000"/>
          <w:sz w:val="28"/>
        </w:rPr>
        <w:t>
      417. Контейнеры, из которых отбирают пробы, следует открывать осторожно и после отбора пробы немедленно снова закрывать. Их следует маркировать для указания факта отбора пробы.</w:t>
      </w:r>
    </w:p>
    <w:bookmarkEnd w:id="3151"/>
    <w:bookmarkStart w:name="z3255" w:id="3152"/>
    <w:p>
      <w:pPr>
        <w:spacing w:after="0"/>
        <w:ind w:left="0"/>
        <w:jc w:val="left"/>
      </w:pPr>
      <w:r>
        <w:rPr>
          <w:rFonts w:ascii="Times New Roman"/>
          <w:b/>
          <w:i w:val="false"/>
          <w:color w:val="000000"/>
        </w:rPr>
        <w:t xml:space="preserve"> Параграф 35. Хранение</w:t>
      </w:r>
    </w:p>
    <w:bookmarkEnd w:id="3152"/>
    <w:bookmarkStart w:name="z3256" w:id="3153"/>
    <w:p>
      <w:pPr>
        <w:spacing w:after="0"/>
        <w:ind w:left="0"/>
        <w:jc w:val="both"/>
      </w:pPr>
      <w:r>
        <w:rPr>
          <w:rFonts w:ascii="Times New Roman"/>
          <w:b w:val="false"/>
          <w:i w:val="false"/>
          <w:color w:val="000000"/>
          <w:sz w:val="28"/>
        </w:rPr>
        <w:t>
      418. Обращение с материалами и их хранение следует осуществлять таким образом, чтобы предотвратить их разложение, контаминацию и перекрестную контаминацию.</w:t>
      </w:r>
    </w:p>
    <w:bookmarkEnd w:id="3153"/>
    <w:bookmarkStart w:name="z3257" w:id="3154"/>
    <w:p>
      <w:pPr>
        <w:spacing w:after="0"/>
        <w:ind w:left="0"/>
        <w:jc w:val="both"/>
      </w:pPr>
      <w:r>
        <w:rPr>
          <w:rFonts w:ascii="Times New Roman"/>
          <w:b w:val="false"/>
          <w:i w:val="false"/>
          <w:color w:val="000000"/>
          <w:sz w:val="28"/>
        </w:rPr>
        <w:t>
      419. Материалы, хранящиеся в фибровых барабанах, мешках или ящиках, не следует размещать на полу и располагать таким образом, чтобы дать возможность при необходимости провести очистку и осмотр.</w:t>
      </w:r>
    </w:p>
    <w:bookmarkEnd w:id="3154"/>
    <w:bookmarkStart w:name="z3258" w:id="3155"/>
    <w:p>
      <w:pPr>
        <w:spacing w:after="0"/>
        <w:ind w:left="0"/>
        <w:jc w:val="both"/>
      </w:pPr>
      <w:r>
        <w:rPr>
          <w:rFonts w:ascii="Times New Roman"/>
          <w:b w:val="false"/>
          <w:i w:val="false"/>
          <w:color w:val="000000"/>
          <w:sz w:val="28"/>
        </w:rPr>
        <w:t>
      420. Материалы следует хранить в течение периода и при условиях, которые не оказывают неблагоприятного воздействия на их качество. Как правило, необходимо следить, чтобы материалы, поступившие на хранение первыми, были использованы в первую очередь.</w:t>
      </w:r>
    </w:p>
    <w:bookmarkEnd w:id="3155"/>
    <w:bookmarkStart w:name="z3259" w:id="3156"/>
    <w:p>
      <w:pPr>
        <w:spacing w:after="0"/>
        <w:ind w:left="0"/>
        <w:jc w:val="both"/>
      </w:pPr>
      <w:r>
        <w:rPr>
          <w:rFonts w:ascii="Times New Roman"/>
          <w:b w:val="false"/>
          <w:i w:val="false"/>
          <w:color w:val="000000"/>
          <w:sz w:val="28"/>
        </w:rPr>
        <w:t>
      421. Некоторые материалы в соответствующих контейнерах могут храниться вне помещений при условии, что идентифицирующие этикетки остаются разборчивыми, а контейнеры надлежащим образом очищаются перед вскрытием и использованием.</w:t>
      </w:r>
    </w:p>
    <w:bookmarkEnd w:id="3156"/>
    <w:bookmarkStart w:name="z3260" w:id="3157"/>
    <w:p>
      <w:pPr>
        <w:spacing w:after="0"/>
        <w:ind w:left="0"/>
        <w:jc w:val="both"/>
      </w:pPr>
      <w:r>
        <w:rPr>
          <w:rFonts w:ascii="Times New Roman"/>
          <w:b w:val="false"/>
          <w:i w:val="false"/>
          <w:color w:val="000000"/>
          <w:sz w:val="28"/>
        </w:rPr>
        <w:t>
      422. Отклоненные материалы промаркированы и помещены под контроль в карантин, чтобы предотвратить их несанкционированное использование в производстве.</w:t>
      </w:r>
    </w:p>
    <w:bookmarkEnd w:id="3157"/>
    <w:bookmarkStart w:name="z3261" w:id="3158"/>
    <w:p>
      <w:pPr>
        <w:spacing w:after="0"/>
        <w:ind w:left="0"/>
        <w:jc w:val="left"/>
      </w:pPr>
      <w:r>
        <w:rPr>
          <w:rFonts w:ascii="Times New Roman"/>
          <w:b/>
          <w:i w:val="false"/>
          <w:color w:val="000000"/>
        </w:rPr>
        <w:t xml:space="preserve"> Параграф 36. Повторная оценка</w:t>
      </w:r>
    </w:p>
    <w:bookmarkEnd w:id="3158"/>
    <w:bookmarkStart w:name="z3262" w:id="3159"/>
    <w:p>
      <w:pPr>
        <w:spacing w:after="0"/>
        <w:ind w:left="0"/>
        <w:jc w:val="both"/>
      </w:pPr>
      <w:r>
        <w:rPr>
          <w:rFonts w:ascii="Times New Roman"/>
          <w:b w:val="false"/>
          <w:i w:val="false"/>
          <w:color w:val="000000"/>
          <w:sz w:val="28"/>
        </w:rPr>
        <w:t>
      423. По мере необходимости материалы следует подвергать повторной оценке для того, чтобы определить их пригодность для использования (например, после продолжительного хранения или воздействия тепла или влажности).</w:t>
      </w:r>
    </w:p>
    <w:bookmarkEnd w:id="3159"/>
    <w:bookmarkStart w:name="z3263" w:id="3160"/>
    <w:p>
      <w:pPr>
        <w:spacing w:after="0"/>
        <w:ind w:left="0"/>
        <w:jc w:val="left"/>
      </w:pPr>
      <w:r>
        <w:rPr>
          <w:rFonts w:ascii="Times New Roman"/>
          <w:b/>
          <w:i w:val="false"/>
          <w:color w:val="000000"/>
        </w:rPr>
        <w:t xml:space="preserve"> Параграф 37. Технологический процесс и контроль в процессе производства</w:t>
      </w:r>
    </w:p>
    <w:bookmarkEnd w:id="3160"/>
    <w:bookmarkStart w:name="z3264" w:id="3161"/>
    <w:p>
      <w:pPr>
        <w:spacing w:after="0"/>
        <w:ind w:left="0"/>
        <w:jc w:val="both"/>
      </w:pPr>
      <w:r>
        <w:rPr>
          <w:rFonts w:ascii="Times New Roman"/>
          <w:b w:val="false"/>
          <w:i w:val="false"/>
          <w:color w:val="000000"/>
          <w:sz w:val="28"/>
        </w:rPr>
        <w:t>
      424. Исходное сырье для производства промежуточной продукции и АФС следует взвешивать или отмеривать в соответствующих условиях, не оказывающих влияния на его пригодность для использования. Весы и устройства для измерения объема имеет точность, приемлемую для предполагаемого использования.</w:t>
      </w:r>
    </w:p>
    <w:bookmarkEnd w:id="3161"/>
    <w:bookmarkStart w:name="z3265" w:id="3162"/>
    <w:p>
      <w:pPr>
        <w:spacing w:after="0"/>
        <w:ind w:left="0"/>
        <w:jc w:val="both"/>
      </w:pPr>
      <w:r>
        <w:rPr>
          <w:rFonts w:ascii="Times New Roman"/>
          <w:b w:val="false"/>
          <w:i w:val="false"/>
          <w:color w:val="000000"/>
          <w:sz w:val="28"/>
        </w:rPr>
        <w:t>
      425. Если исходное сырье делят на несколько порций для последующего использования в технологических операциях, контейнер, который поступает исходное сырье, пригодное для этого и его маркировка содержат:</w:t>
      </w:r>
    </w:p>
    <w:bookmarkEnd w:id="3162"/>
    <w:bookmarkStart w:name="z3266" w:id="3163"/>
    <w:p>
      <w:pPr>
        <w:spacing w:after="0"/>
        <w:ind w:left="0"/>
        <w:jc w:val="both"/>
      </w:pPr>
      <w:r>
        <w:rPr>
          <w:rFonts w:ascii="Times New Roman"/>
          <w:b w:val="false"/>
          <w:i w:val="false"/>
          <w:color w:val="000000"/>
          <w:sz w:val="28"/>
        </w:rPr>
        <w:t>
      название исходного сырья и (или) его код;</w:t>
      </w:r>
    </w:p>
    <w:bookmarkEnd w:id="3163"/>
    <w:bookmarkStart w:name="z3267" w:id="3164"/>
    <w:p>
      <w:pPr>
        <w:spacing w:after="0"/>
        <w:ind w:left="0"/>
        <w:jc w:val="both"/>
      </w:pPr>
      <w:r>
        <w:rPr>
          <w:rFonts w:ascii="Times New Roman"/>
          <w:b w:val="false"/>
          <w:i w:val="false"/>
          <w:color w:val="000000"/>
          <w:sz w:val="28"/>
        </w:rPr>
        <w:t>
      номер, присвоенный при приемке, или контрольный номер;</w:t>
      </w:r>
    </w:p>
    <w:bookmarkEnd w:id="3164"/>
    <w:bookmarkStart w:name="z3268" w:id="3165"/>
    <w:p>
      <w:pPr>
        <w:spacing w:after="0"/>
        <w:ind w:left="0"/>
        <w:jc w:val="both"/>
      </w:pPr>
      <w:r>
        <w:rPr>
          <w:rFonts w:ascii="Times New Roman"/>
          <w:b w:val="false"/>
          <w:i w:val="false"/>
          <w:color w:val="000000"/>
          <w:sz w:val="28"/>
        </w:rPr>
        <w:t>
      масса или объем исходного сырья в новом контейнере;</w:t>
      </w:r>
    </w:p>
    <w:bookmarkEnd w:id="3165"/>
    <w:bookmarkStart w:name="z3269" w:id="3166"/>
    <w:p>
      <w:pPr>
        <w:spacing w:after="0"/>
        <w:ind w:left="0"/>
        <w:jc w:val="both"/>
      </w:pPr>
      <w:r>
        <w:rPr>
          <w:rFonts w:ascii="Times New Roman"/>
          <w:b w:val="false"/>
          <w:i w:val="false"/>
          <w:color w:val="000000"/>
          <w:sz w:val="28"/>
        </w:rPr>
        <w:t>
      дата проведения повторной оценки или повторных испытаний (при необходимости).</w:t>
      </w:r>
    </w:p>
    <w:bookmarkEnd w:id="3166"/>
    <w:bookmarkStart w:name="z3270" w:id="3167"/>
    <w:p>
      <w:pPr>
        <w:spacing w:after="0"/>
        <w:ind w:left="0"/>
        <w:jc w:val="both"/>
      </w:pPr>
      <w:r>
        <w:rPr>
          <w:rFonts w:ascii="Times New Roman"/>
          <w:b w:val="false"/>
          <w:i w:val="false"/>
          <w:color w:val="000000"/>
          <w:sz w:val="28"/>
        </w:rPr>
        <w:t>
      426. Следует установить наблюдение за критическими операциями взвешивания, отмеривания или разделения и удостоверять выполнение этих операций либо осуществлять их эквивалентный контроль. Перед использованием исходного сырья производственный персонал удостоверяется в том, что оно действительно является тем сырьем, которое указано в записях по производству серии для данной промежуточной продукции или АФС.</w:t>
      </w:r>
    </w:p>
    <w:bookmarkEnd w:id="3167"/>
    <w:bookmarkStart w:name="z3271" w:id="3168"/>
    <w:p>
      <w:pPr>
        <w:spacing w:after="0"/>
        <w:ind w:left="0"/>
        <w:jc w:val="both"/>
      </w:pPr>
      <w:r>
        <w:rPr>
          <w:rFonts w:ascii="Times New Roman"/>
          <w:b w:val="false"/>
          <w:i w:val="false"/>
          <w:color w:val="000000"/>
          <w:sz w:val="28"/>
        </w:rPr>
        <w:t>
      427. Следует установить наблюдение или подвергать эквивалентному контролю и другие критические технологические операции.</w:t>
      </w:r>
    </w:p>
    <w:bookmarkEnd w:id="3168"/>
    <w:bookmarkStart w:name="z3272" w:id="3169"/>
    <w:p>
      <w:pPr>
        <w:spacing w:after="0"/>
        <w:ind w:left="0"/>
        <w:jc w:val="both"/>
      </w:pPr>
      <w:r>
        <w:rPr>
          <w:rFonts w:ascii="Times New Roman"/>
          <w:b w:val="false"/>
          <w:i w:val="false"/>
          <w:color w:val="000000"/>
          <w:sz w:val="28"/>
        </w:rPr>
        <w:t>
      428. На определенных стадиях технологического процесса фактические выходы следует сопоставлять с ожидаемыми выходами. Ожидаемые выходы и соответствующие пределы следует определять на основании данных проведенных ранее лабораторных, опытных или промышленных испытаний. Причины отклонений от ожидаемого выхода, связанные с критическими стадиями процесса, расследуются, чтобы определить их влияние (или возможное влияние) на качество соответствующих серий.</w:t>
      </w:r>
    </w:p>
    <w:bookmarkEnd w:id="3169"/>
    <w:bookmarkStart w:name="z3273" w:id="3170"/>
    <w:p>
      <w:pPr>
        <w:spacing w:after="0"/>
        <w:ind w:left="0"/>
        <w:jc w:val="both"/>
      </w:pPr>
      <w:r>
        <w:rPr>
          <w:rFonts w:ascii="Times New Roman"/>
          <w:b w:val="false"/>
          <w:i w:val="false"/>
          <w:color w:val="000000"/>
          <w:sz w:val="28"/>
        </w:rPr>
        <w:t>
      429. Любое отклонение оформлено документально с указанием причин отклонения. Любое критическое отклонение расследовано.</w:t>
      </w:r>
    </w:p>
    <w:bookmarkEnd w:id="3170"/>
    <w:bookmarkStart w:name="z3274" w:id="3171"/>
    <w:p>
      <w:pPr>
        <w:spacing w:after="0"/>
        <w:ind w:left="0"/>
        <w:jc w:val="both"/>
      </w:pPr>
      <w:r>
        <w:rPr>
          <w:rFonts w:ascii="Times New Roman"/>
          <w:b w:val="false"/>
          <w:i w:val="false"/>
          <w:color w:val="000000"/>
          <w:sz w:val="28"/>
        </w:rPr>
        <w:t>
      430. Технологический статус основных единиц оборудования следует указывать либо на конкретных единицах оборудования, либо в соответствующей документации, либо фиксировать в системе компьютерного контроля, либо с помощью альтернативных методов.</w:t>
      </w:r>
    </w:p>
    <w:bookmarkEnd w:id="3171"/>
    <w:bookmarkStart w:name="z3275" w:id="3172"/>
    <w:p>
      <w:pPr>
        <w:spacing w:after="0"/>
        <w:ind w:left="0"/>
        <w:jc w:val="both"/>
      </w:pPr>
      <w:r>
        <w:rPr>
          <w:rFonts w:ascii="Times New Roman"/>
          <w:b w:val="false"/>
          <w:i w:val="false"/>
          <w:color w:val="000000"/>
          <w:sz w:val="28"/>
        </w:rPr>
        <w:t>
      431. Надлежащим образом контролируются материалы, предназначенные для повторной обработки или переработки, с целью предотвращения их использования без соответствующего разрешения.</w:t>
      </w:r>
    </w:p>
    <w:bookmarkEnd w:id="3172"/>
    <w:bookmarkStart w:name="z3276" w:id="3173"/>
    <w:p>
      <w:pPr>
        <w:spacing w:after="0"/>
        <w:ind w:left="0"/>
        <w:jc w:val="left"/>
      </w:pPr>
      <w:r>
        <w:rPr>
          <w:rFonts w:ascii="Times New Roman"/>
          <w:b/>
          <w:i w:val="false"/>
          <w:color w:val="000000"/>
        </w:rPr>
        <w:t xml:space="preserve"> Параграф 38. Ограничение времени выполнения операций</w:t>
      </w:r>
    </w:p>
    <w:bookmarkEnd w:id="3173"/>
    <w:bookmarkStart w:name="z3277" w:id="3174"/>
    <w:p>
      <w:pPr>
        <w:spacing w:after="0"/>
        <w:ind w:left="0"/>
        <w:jc w:val="both"/>
      </w:pPr>
      <w:r>
        <w:rPr>
          <w:rFonts w:ascii="Times New Roman"/>
          <w:b w:val="false"/>
          <w:i w:val="false"/>
          <w:color w:val="000000"/>
          <w:sz w:val="28"/>
        </w:rPr>
        <w:t>
      432. Если в технологической инструкции (пункт 391 настоящей части) установлены ограничения времени, их следует соблюдать для обеспечения качества промежуточной продукции и АФС. Отклонения от этих ограничений следует оформлять документально и проводить оценку отклонений. Указанные выше ограничения могут не вводиться при проведении технологического процесса до достижения установленных значений параметров (например, достижение необходимого значения рН, гидрогенизация, сушка до предварительно установленной величины параметра), если завершение реакций или стадий процесса определяется посредством отбора проб и испытаний в процессе производства.</w:t>
      </w:r>
    </w:p>
    <w:bookmarkEnd w:id="3174"/>
    <w:bookmarkStart w:name="z3278" w:id="3175"/>
    <w:p>
      <w:pPr>
        <w:spacing w:after="0"/>
        <w:ind w:left="0"/>
        <w:jc w:val="both"/>
      </w:pPr>
      <w:r>
        <w:rPr>
          <w:rFonts w:ascii="Times New Roman"/>
          <w:b w:val="false"/>
          <w:i w:val="false"/>
          <w:color w:val="000000"/>
          <w:sz w:val="28"/>
        </w:rPr>
        <w:t>
      433. Промежуточную продукцию, предназначенную для дальнейшей обработки, следует хранить при определенных условиях, чтобы обеспечить ее пригодность для дальнейшего использования.</w:t>
      </w:r>
    </w:p>
    <w:bookmarkEnd w:id="3175"/>
    <w:bookmarkStart w:name="z3279" w:id="3176"/>
    <w:p>
      <w:pPr>
        <w:spacing w:after="0"/>
        <w:ind w:left="0"/>
        <w:jc w:val="left"/>
      </w:pPr>
      <w:r>
        <w:rPr>
          <w:rFonts w:ascii="Times New Roman"/>
          <w:b/>
          <w:i w:val="false"/>
          <w:color w:val="000000"/>
        </w:rPr>
        <w:t xml:space="preserve"> Параграф 39. Отбор проб и контроль в процессе производства</w:t>
      </w:r>
    </w:p>
    <w:bookmarkEnd w:id="3176"/>
    <w:bookmarkStart w:name="z3280" w:id="3177"/>
    <w:p>
      <w:pPr>
        <w:spacing w:after="0"/>
        <w:ind w:left="0"/>
        <w:jc w:val="both"/>
      </w:pPr>
      <w:r>
        <w:rPr>
          <w:rFonts w:ascii="Times New Roman"/>
          <w:b w:val="false"/>
          <w:i w:val="false"/>
          <w:color w:val="000000"/>
          <w:sz w:val="28"/>
        </w:rPr>
        <w:t>
      434. Следует разработать письменные инструкции по мониторингу процесса и контроля выполнения тех стадий процесса, которые являются причиной непостоянства показателей качества промежуточной продукции и АФС. Порядок проведения контроля в процессе производства и соответствующие критерии приемлемости определяют на основании информации, полученной на стадии разработки, или на основании опыта, приобретаемого в процессе производства.</w:t>
      </w:r>
    </w:p>
    <w:bookmarkEnd w:id="3177"/>
    <w:bookmarkStart w:name="z3281" w:id="3178"/>
    <w:p>
      <w:pPr>
        <w:spacing w:after="0"/>
        <w:ind w:left="0"/>
        <w:jc w:val="both"/>
      </w:pPr>
      <w:r>
        <w:rPr>
          <w:rFonts w:ascii="Times New Roman"/>
          <w:b w:val="false"/>
          <w:i w:val="false"/>
          <w:color w:val="000000"/>
          <w:sz w:val="28"/>
        </w:rPr>
        <w:t>
      435. Критерии приемлемости, тип и объем испытаний могут зависеть от природы выпускаемых промежуточной продукции и АФС, реакции или стадии процесса и степени влияния технологического процесса на непостоянство качества продукции. На начальных стадиях процесса допустимо проведение менее жесткого контроля в процессе производства, тогда как на более поздних стадиях процесса (например, стадии выделения и очистки) следует проводить более жесткий контроль.</w:t>
      </w:r>
    </w:p>
    <w:bookmarkEnd w:id="3178"/>
    <w:bookmarkStart w:name="z3282" w:id="3179"/>
    <w:p>
      <w:pPr>
        <w:spacing w:after="0"/>
        <w:ind w:left="0"/>
        <w:jc w:val="both"/>
      </w:pPr>
      <w:r>
        <w:rPr>
          <w:rFonts w:ascii="Times New Roman"/>
          <w:b w:val="false"/>
          <w:i w:val="false"/>
          <w:color w:val="000000"/>
          <w:sz w:val="28"/>
        </w:rPr>
        <w:t>
      436. Критические этапы контроля в процессе производства (и мониторинг критических процессов), включая точки и методы контроля, изложены в письменном виде и утверждены отделом качества.</w:t>
      </w:r>
    </w:p>
    <w:bookmarkEnd w:id="3179"/>
    <w:bookmarkStart w:name="z3283" w:id="3180"/>
    <w:p>
      <w:pPr>
        <w:spacing w:after="0"/>
        <w:ind w:left="0"/>
        <w:jc w:val="both"/>
      </w:pPr>
      <w:r>
        <w:rPr>
          <w:rFonts w:ascii="Times New Roman"/>
          <w:b w:val="false"/>
          <w:i w:val="false"/>
          <w:color w:val="000000"/>
          <w:sz w:val="28"/>
        </w:rPr>
        <w:t>
      437. Контроль в процессе производства осуществляют квалифицированный производственный персонал. Корректировать данный процесс производства можно без предварительной санкции отдела качества, если такая корректировка не выходит за рамки заранее установленных пределов, утвержденных отделом качества. Все испытания и их результаты следует оформлять документально как часть записей на серию (досье на серию).</w:t>
      </w:r>
    </w:p>
    <w:bookmarkEnd w:id="3180"/>
    <w:bookmarkStart w:name="z3284" w:id="3181"/>
    <w:p>
      <w:pPr>
        <w:spacing w:after="0"/>
        <w:ind w:left="0"/>
        <w:jc w:val="both"/>
      </w:pPr>
      <w:r>
        <w:rPr>
          <w:rFonts w:ascii="Times New Roman"/>
          <w:b w:val="false"/>
          <w:i w:val="false"/>
          <w:color w:val="000000"/>
          <w:sz w:val="28"/>
        </w:rPr>
        <w:t>
      438. Методы отбора проб для материалов, использующихся в процессе производства, промежуточной продукции и АФС, зафиксированы в письменных инструкциях. Планы отбора проб и методики базируются на научно обоснованном порядке отбора проб.</w:t>
      </w:r>
    </w:p>
    <w:bookmarkEnd w:id="3181"/>
    <w:bookmarkStart w:name="z3285" w:id="3182"/>
    <w:p>
      <w:pPr>
        <w:spacing w:after="0"/>
        <w:ind w:left="0"/>
        <w:jc w:val="both"/>
      </w:pPr>
      <w:r>
        <w:rPr>
          <w:rFonts w:ascii="Times New Roman"/>
          <w:b w:val="false"/>
          <w:i w:val="false"/>
          <w:color w:val="000000"/>
          <w:sz w:val="28"/>
        </w:rPr>
        <w:t>
      439. Отбор проб в процессе производства осуществляется с использованием процедур, предусматривающих предотвращение контаминации отобранного материала и другой промежуточной продукции или АФС. Разрабатываются процедуры для обеспечения сохранения целостности образцов после отбора.</w:t>
      </w:r>
    </w:p>
    <w:bookmarkEnd w:id="3182"/>
    <w:bookmarkStart w:name="z3286" w:id="3183"/>
    <w:p>
      <w:pPr>
        <w:spacing w:after="0"/>
        <w:ind w:left="0"/>
        <w:jc w:val="both"/>
      </w:pPr>
      <w:r>
        <w:rPr>
          <w:rFonts w:ascii="Times New Roman"/>
          <w:b w:val="false"/>
          <w:i w:val="false"/>
          <w:color w:val="000000"/>
          <w:sz w:val="28"/>
        </w:rPr>
        <w:t>
      440. При проведении испытаний в процессе производства, которые осуществляются с целью мониторинга и (или) корректировки процесса, как правило, не требуется расследовать случаи несоответствия спецификациям.</w:t>
      </w:r>
    </w:p>
    <w:bookmarkEnd w:id="3183"/>
    <w:bookmarkStart w:name="z3287" w:id="3184"/>
    <w:p>
      <w:pPr>
        <w:spacing w:after="0"/>
        <w:ind w:left="0"/>
        <w:jc w:val="left"/>
      </w:pPr>
      <w:r>
        <w:rPr>
          <w:rFonts w:ascii="Times New Roman"/>
          <w:b/>
          <w:i w:val="false"/>
          <w:color w:val="000000"/>
        </w:rPr>
        <w:t xml:space="preserve"> Параграф 40 Смешивание серий промежуточной продукции или АФС</w:t>
      </w:r>
    </w:p>
    <w:bookmarkEnd w:id="3184"/>
    <w:bookmarkStart w:name="z3288" w:id="3185"/>
    <w:p>
      <w:pPr>
        <w:spacing w:after="0"/>
        <w:ind w:left="0"/>
        <w:jc w:val="both"/>
      </w:pPr>
      <w:r>
        <w:rPr>
          <w:rFonts w:ascii="Times New Roman"/>
          <w:b w:val="false"/>
          <w:i w:val="false"/>
          <w:color w:val="000000"/>
          <w:sz w:val="28"/>
        </w:rPr>
        <w:t>
      441. В настоящей части понятие "смешивание" означает процесс объединения веществ для получения однородной промежуточной продукции или АФС, на которую выдается одна спецификация. Смешивание в процессе производства частей одной и той же серии (например, объединение нескольких загрузок центрифуги из одной серии, полученной при кристаллизации) или объединение частей различных серий для последующей обработки считается частью технологического процесса и не рассматривается как смешивание.</w:t>
      </w:r>
    </w:p>
    <w:bookmarkEnd w:id="3185"/>
    <w:bookmarkStart w:name="z3289" w:id="3186"/>
    <w:p>
      <w:pPr>
        <w:spacing w:after="0"/>
        <w:ind w:left="0"/>
        <w:jc w:val="both"/>
      </w:pPr>
      <w:r>
        <w:rPr>
          <w:rFonts w:ascii="Times New Roman"/>
          <w:b w:val="false"/>
          <w:i w:val="false"/>
          <w:color w:val="000000"/>
          <w:sz w:val="28"/>
        </w:rPr>
        <w:t>
      442. Недопустимо смешивание в процессе производства серий веществ или продукции, не отвечающих требованиям спецификаций, другими сериями таких веществ или продукции с целью обеспечения соответствия спецификациям. Каждая серия, входящая в состав смеси, произведена по установленной технологии, испытана отдельно от других серий и соответствует установленным спецификациям перед смешиванием.</w:t>
      </w:r>
    </w:p>
    <w:bookmarkEnd w:id="3186"/>
    <w:bookmarkStart w:name="z3290" w:id="3187"/>
    <w:p>
      <w:pPr>
        <w:spacing w:after="0"/>
        <w:ind w:left="0"/>
        <w:jc w:val="both"/>
      </w:pPr>
      <w:r>
        <w:rPr>
          <w:rFonts w:ascii="Times New Roman"/>
          <w:b w:val="false"/>
          <w:i w:val="false"/>
          <w:color w:val="000000"/>
          <w:sz w:val="28"/>
        </w:rPr>
        <w:t>
      443. Операции смешивания приемлемы в частности для: смешивания небольших серий для увеличения размера серии; смешивания остатков (то есть относительно небольших количеств выделенного вещества) серий одной и той же промежуточной продукции или одной и той же АФС для получения единой серии.</w:t>
      </w:r>
    </w:p>
    <w:bookmarkEnd w:id="3187"/>
    <w:bookmarkStart w:name="z3291" w:id="3188"/>
    <w:p>
      <w:pPr>
        <w:spacing w:after="0"/>
        <w:ind w:left="0"/>
        <w:jc w:val="both"/>
      </w:pPr>
      <w:r>
        <w:rPr>
          <w:rFonts w:ascii="Times New Roman"/>
          <w:b w:val="false"/>
          <w:i w:val="false"/>
          <w:color w:val="000000"/>
          <w:sz w:val="28"/>
        </w:rPr>
        <w:t>
      444. Процессы смешивания следует надлежащим образом контролировать и оформлять документально. Полученную в результате смешивания серию при необходимости следует подвергать испытаниям на соответствие установленным спецификациям.</w:t>
      </w:r>
    </w:p>
    <w:bookmarkEnd w:id="3188"/>
    <w:bookmarkStart w:name="z3292" w:id="3189"/>
    <w:p>
      <w:pPr>
        <w:spacing w:after="0"/>
        <w:ind w:left="0"/>
        <w:jc w:val="both"/>
      </w:pPr>
      <w:r>
        <w:rPr>
          <w:rFonts w:ascii="Times New Roman"/>
          <w:b w:val="false"/>
          <w:i w:val="false"/>
          <w:color w:val="000000"/>
          <w:sz w:val="28"/>
        </w:rPr>
        <w:t>
      445. Записи, относящиеся к серии (досье на серию) и отражающие смешивание, обеспечивает возможность обратного прослеживания отдельных серий, из которых сделана смесь.</w:t>
      </w:r>
    </w:p>
    <w:bookmarkEnd w:id="3189"/>
    <w:bookmarkStart w:name="z3293" w:id="3190"/>
    <w:p>
      <w:pPr>
        <w:spacing w:after="0"/>
        <w:ind w:left="0"/>
        <w:jc w:val="both"/>
      </w:pPr>
      <w:r>
        <w:rPr>
          <w:rFonts w:ascii="Times New Roman"/>
          <w:b w:val="false"/>
          <w:i w:val="false"/>
          <w:color w:val="000000"/>
          <w:sz w:val="28"/>
        </w:rPr>
        <w:t>
      446. В тех случаях, когда физические характеристики АФС являются критическими (например, АФС, предназначенные для получения твердых лекарственных форм или суспензий для приема внутрь), операции смешивания следует валидировать, чтобы продемонстрировать однородность объединенной серии. Валидация включает проведение испытаний продукции по критическим характеристикам, на которые оказывают влияние процесс смешивания (например, распределение частиц по размерам, насыпной плотности и плотности при уплотнении).</w:t>
      </w:r>
    </w:p>
    <w:bookmarkEnd w:id="3190"/>
    <w:bookmarkStart w:name="z3294" w:id="3191"/>
    <w:p>
      <w:pPr>
        <w:spacing w:after="0"/>
        <w:ind w:left="0"/>
        <w:jc w:val="both"/>
      </w:pPr>
      <w:r>
        <w:rPr>
          <w:rFonts w:ascii="Times New Roman"/>
          <w:b w:val="false"/>
          <w:i w:val="false"/>
          <w:color w:val="000000"/>
          <w:sz w:val="28"/>
        </w:rPr>
        <w:t>
      447. Если смешивание оказывают отрицательное воздействие на стабильность, следует провести испытания стабильности окончательных серий, полученных в результате смешивания.</w:t>
      </w:r>
    </w:p>
    <w:bookmarkEnd w:id="3191"/>
    <w:bookmarkStart w:name="z3295" w:id="3192"/>
    <w:p>
      <w:pPr>
        <w:spacing w:after="0"/>
        <w:ind w:left="0"/>
        <w:jc w:val="both"/>
      </w:pPr>
      <w:r>
        <w:rPr>
          <w:rFonts w:ascii="Times New Roman"/>
          <w:b w:val="false"/>
          <w:i w:val="false"/>
          <w:color w:val="000000"/>
          <w:sz w:val="28"/>
        </w:rPr>
        <w:t>
      448. Дату окончания срока годности или дату проведения повторных испытаний серии, полученной в результате смешивания, следует определять на основании даты производства самых старых остатков или самой старой серии в смеси.</w:t>
      </w:r>
    </w:p>
    <w:bookmarkEnd w:id="3192"/>
    <w:bookmarkStart w:name="z3296" w:id="3193"/>
    <w:p>
      <w:pPr>
        <w:spacing w:after="0"/>
        <w:ind w:left="0"/>
        <w:jc w:val="left"/>
      </w:pPr>
      <w:r>
        <w:rPr>
          <w:rFonts w:ascii="Times New Roman"/>
          <w:b/>
          <w:i w:val="false"/>
          <w:color w:val="000000"/>
        </w:rPr>
        <w:t xml:space="preserve"> Параграф 41. Контроль контаминации</w:t>
      </w:r>
    </w:p>
    <w:bookmarkEnd w:id="3193"/>
    <w:bookmarkStart w:name="z3297" w:id="3194"/>
    <w:p>
      <w:pPr>
        <w:spacing w:after="0"/>
        <w:ind w:left="0"/>
        <w:jc w:val="both"/>
      </w:pPr>
      <w:r>
        <w:rPr>
          <w:rFonts w:ascii="Times New Roman"/>
          <w:b w:val="false"/>
          <w:i w:val="false"/>
          <w:color w:val="000000"/>
          <w:sz w:val="28"/>
        </w:rPr>
        <w:t>
      449. Остатки веществ можно вносить в последующие серии той же промежуточной продукции или АФС при условии соответствующего контроля. Это могут быть остатки, налипшие на стенку измельчителя, слой влажных кристаллов, оставшихся на стенках бака центрифуги после разгрузки, и остатки, образовавшиеся в результате неполной выгрузки жидкостей или кристаллов из рабочей емкости при переносе вещества на следующую стадию процесса. Такое внесение не повлечет за собой переноса продуктов разложения или микробной контаминации, которые могут отрицательно повлиять на установленный профиль примесей АФС.</w:t>
      </w:r>
    </w:p>
    <w:bookmarkEnd w:id="3194"/>
    <w:bookmarkStart w:name="z3298" w:id="3195"/>
    <w:p>
      <w:pPr>
        <w:spacing w:after="0"/>
        <w:ind w:left="0"/>
        <w:jc w:val="both"/>
      </w:pPr>
      <w:r>
        <w:rPr>
          <w:rFonts w:ascii="Times New Roman"/>
          <w:b w:val="false"/>
          <w:i w:val="false"/>
          <w:color w:val="000000"/>
          <w:sz w:val="28"/>
        </w:rPr>
        <w:t>
      450. Технологические операции следует проводить таким образом, чтобы предотвратить контаминацию промежуточной продукции или АФС другими веществами.</w:t>
      </w:r>
    </w:p>
    <w:bookmarkEnd w:id="3195"/>
    <w:bookmarkStart w:name="z3299" w:id="3196"/>
    <w:p>
      <w:pPr>
        <w:spacing w:after="0"/>
        <w:ind w:left="0"/>
        <w:jc w:val="both"/>
      </w:pPr>
      <w:r>
        <w:rPr>
          <w:rFonts w:ascii="Times New Roman"/>
          <w:b w:val="false"/>
          <w:i w:val="false"/>
          <w:color w:val="000000"/>
          <w:sz w:val="28"/>
        </w:rPr>
        <w:t>
      451. С целью предотвращения контаминации следует соблюдать особые меры предосторожности при работе с АФС после ее очистки.</w:t>
      </w:r>
    </w:p>
    <w:bookmarkEnd w:id="3196"/>
    <w:bookmarkStart w:name="z3300" w:id="3197"/>
    <w:p>
      <w:pPr>
        <w:spacing w:after="0"/>
        <w:ind w:left="0"/>
        <w:jc w:val="left"/>
      </w:pPr>
      <w:r>
        <w:rPr>
          <w:rFonts w:ascii="Times New Roman"/>
          <w:b/>
          <w:i w:val="false"/>
          <w:color w:val="000000"/>
        </w:rPr>
        <w:t xml:space="preserve"> Параграф 42. Упаковка и идентифицирующая маркировка АФС промежуточной продукции</w:t>
      </w:r>
    </w:p>
    <w:bookmarkEnd w:id="3197"/>
    <w:bookmarkStart w:name="z3301" w:id="3198"/>
    <w:p>
      <w:pPr>
        <w:spacing w:after="0"/>
        <w:ind w:left="0"/>
        <w:jc w:val="both"/>
      </w:pPr>
      <w:r>
        <w:rPr>
          <w:rFonts w:ascii="Times New Roman"/>
          <w:b w:val="false"/>
          <w:i w:val="false"/>
          <w:color w:val="000000"/>
          <w:sz w:val="28"/>
        </w:rPr>
        <w:t>
      452. Приняты в форме письменного документа процедуры, в которых описаны приемка, идентификация, помещение в карантин, отбор проб, исследование и (или) испытание и выдача разрешения на использование материалов для упаковки и маркировки, а также обращение с ними.</w:t>
      </w:r>
    </w:p>
    <w:bookmarkEnd w:id="3198"/>
    <w:bookmarkStart w:name="z3302" w:id="3199"/>
    <w:p>
      <w:pPr>
        <w:spacing w:after="0"/>
        <w:ind w:left="0"/>
        <w:jc w:val="both"/>
      </w:pPr>
      <w:r>
        <w:rPr>
          <w:rFonts w:ascii="Times New Roman"/>
          <w:b w:val="false"/>
          <w:i w:val="false"/>
          <w:color w:val="000000"/>
          <w:sz w:val="28"/>
        </w:rPr>
        <w:t>
      453. Материалы для упаковки и маркировки соответствуют установленным спецификациям. Материалы для упаковки и маркировки, не соответствующие таким спецификациям, отклонены для предотвращения их использования при выполнении операций, для которых они непригодны.</w:t>
      </w:r>
    </w:p>
    <w:bookmarkEnd w:id="3199"/>
    <w:bookmarkStart w:name="z3303" w:id="3200"/>
    <w:p>
      <w:pPr>
        <w:spacing w:after="0"/>
        <w:ind w:left="0"/>
        <w:jc w:val="both"/>
      </w:pPr>
      <w:r>
        <w:rPr>
          <w:rFonts w:ascii="Times New Roman"/>
          <w:b w:val="false"/>
          <w:i w:val="false"/>
          <w:color w:val="000000"/>
          <w:sz w:val="28"/>
        </w:rPr>
        <w:t>
      454. Следует вести записи для каждой поставки этикеток и упаковочных материалов с указанием данных об их приемке, проверке или испытании, а также об их принятии или отклонении.</w:t>
      </w:r>
    </w:p>
    <w:bookmarkEnd w:id="3200"/>
    <w:bookmarkStart w:name="z3304" w:id="3201"/>
    <w:p>
      <w:pPr>
        <w:spacing w:after="0"/>
        <w:ind w:left="0"/>
        <w:jc w:val="left"/>
      </w:pPr>
      <w:r>
        <w:rPr>
          <w:rFonts w:ascii="Times New Roman"/>
          <w:b/>
          <w:i w:val="false"/>
          <w:color w:val="000000"/>
        </w:rPr>
        <w:t xml:space="preserve"> Параграф 43. Упаковочные материалы</w:t>
      </w:r>
    </w:p>
    <w:bookmarkEnd w:id="3201"/>
    <w:bookmarkStart w:name="z3305" w:id="3202"/>
    <w:p>
      <w:pPr>
        <w:spacing w:after="0"/>
        <w:ind w:left="0"/>
        <w:jc w:val="both"/>
      </w:pPr>
      <w:r>
        <w:rPr>
          <w:rFonts w:ascii="Times New Roman"/>
          <w:b w:val="false"/>
          <w:i w:val="false"/>
          <w:color w:val="000000"/>
          <w:sz w:val="28"/>
        </w:rPr>
        <w:t>
      455. Контейнеры (упаковки) обеспечивают надлежащую защиту от порчи или контаминации промежуточной продукции или АФС во время транспортирования и хранения промежуточной продукции или АФС в рекомендуемых условиях.</w:t>
      </w:r>
    </w:p>
    <w:bookmarkEnd w:id="3202"/>
    <w:bookmarkStart w:name="z3306" w:id="3203"/>
    <w:p>
      <w:pPr>
        <w:spacing w:after="0"/>
        <w:ind w:left="0"/>
        <w:jc w:val="both"/>
      </w:pPr>
      <w:r>
        <w:rPr>
          <w:rFonts w:ascii="Times New Roman"/>
          <w:b w:val="false"/>
          <w:i w:val="false"/>
          <w:color w:val="000000"/>
          <w:sz w:val="28"/>
        </w:rPr>
        <w:t>
      456. Контейнеры (упаковки) чистые и, если этого требует характер промежуточной продукции или АФС, подвергаться санитарной обработке для обеспечения их пригодности для использования по назначению. Такие контейнеры (упаковки) не обладают химической активностью, абсорбирующими свойствами или служить источником посторонних примесей, чтобы не вызывать изменений качества промежуточной продукции или АФС сверх пределов, установленных в спецификации.</w:t>
      </w:r>
    </w:p>
    <w:bookmarkEnd w:id="3203"/>
    <w:bookmarkStart w:name="z3307" w:id="3204"/>
    <w:p>
      <w:pPr>
        <w:spacing w:after="0"/>
        <w:ind w:left="0"/>
        <w:jc w:val="both"/>
      </w:pPr>
      <w:r>
        <w:rPr>
          <w:rFonts w:ascii="Times New Roman"/>
          <w:b w:val="false"/>
          <w:i w:val="false"/>
          <w:color w:val="000000"/>
          <w:sz w:val="28"/>
        </w:rPr>
        <w:t>
      457. Если контейнеры (упаковки) предназначены для повторного использования, их следует очищать в соответствии с письменными инструкциями, а все предыдущие этикетки удалены или стерты.</w:t>
      </w:r>
    </w:p>
    <w:bookmarkEnd w:id="3204"/>
    <w:bookmarkStart w:name="z3308" w:id="3205"/>
    <w:p>
      <w:pPr>
        <w:spacing w:after="0"/>
        <w:ind w:left="0"/>
        <w:jc w:val="left"/>
      </w:pPr>
      <w:r>
        <w:rPr>
          <w:rFonts w:ascii="Times New Roman"/>
          <w:b/>
          <w:i w:val="false"/>
          <w:color w:val="000000"/>
        </w:rPr>
        <w:t xml:space="preserve"> Параграф 44. Выдача этикеток и контроль</w:t>
      </w:r>
    </w:p>
    <w:bookmarkEnd w:id="3205"/>
    <w:bookmarkStart w:name="z3309" w:id="3206"/>
    <w:p>
      <w:pPr>
        <w:spacing w:after="0"/>
        <w:ind w:left="0"/>
        <w:jc w:val="both"/>
      </w:pPr>
      <w:r>
        <w:rPr>
          <w:rFonts w:ascii="Times New Roman"/>
          <w:b w:val="false"/>
          <w:i w:val="false"/>
          <w:color w:val="000000"/>
          <w:sz w:val="28"/>
        </w:rPr>
        <w:t>
      458. Доступ в зоны хранения этикеток разрешен только лицам, имеющим соответствующие полномочия.</w:t>
      </w:r>
    </w:p>
    <w:bookmarkEnd w:id="3206"/>
    <w:bookmarkStart w:name="z3310" w:id="3207"/>
    <w:p>
      <w:pPr>
        <w:spacing w:after="0"/>
        <w:ind w:left="0"/>
        <w:jc w:val="both"/>
      </w:pPr>
      <w:r>
        <w:rPr>
          <w:rFonts w:ascii="Times New Roman"/>
          <w:b w:val="false"/>
          <w:i w:val="false"/>
          <w:color w:val="000000"/>
          <w:sz w:val="28"/>
        </w:rPr>
        <w:t>
      459. Следует применять процедуры сопоставления количества выданных этикеток, количеству использованных и возвращенных этикеток, чтобы можно было оценить расхождения между количеством маркированных упаковок и количеством выданных этикеток. Факты расхождения расследуются, а полученные результаты утверждаются отделом (отделами) качества.</w:t>
      </w:r>
    </w:p>
    <w:bookmarkEnd w:id="3207"/>
    <w:bookmarkStart w:name="z3311" w:id="3208"/>
    <w:p>
      <w:pPr>
        <w:spacing w:after="0"/>
        <w:ind w:left="0"/>
        <w:jc w:val="both"/>
      </w:pPr>
      <w:r>
        <w:rPr>
          <w:rFonts w:ascii="Times New Roman"/>
          <w:b w:val="false"/>
          <w:i w:val="false"/>
          <w:color w:val="000000"/>
          <w:sz w:val="28"/>
        </w:rPr>
        <w:t>
      460. Все неиспользованные этикетки с номерами серий или другой нанесенной информацией, относящейся к этим сериям, следует уничтожать. Возвращенные этикетки следует содержать и хранить таким образом, чтобы предотвратить перепутывание и обеспечить надлежащую идентификацию.</w:t>
      </w:r>
    </w:p>
    <w:bookmarkEnd w:id="3208"/>
    <w:bookmarkStart w:name="z3312" w:id="3209"/>
    <w:p>
      <w:pPr>
        <w:spacing w:after="0"/>
        <w:ind w:left="0"/>
        <w:jc w:val="both"/>
      </w:pPr>
      <w:r>
        <w:rPr>
          <w:rFonts w:ascii="Times New Roman"/>
          <w:b w:val="false"/>
          <w:i w:val="false"/>
          <w:color w:val="000000"/>
          <w:sz w:val="28"/>
        </w:rPr>
        <w:t>
      461. Устаревшие этикетки и этикетки с просроченными датами следует уничтожать.</w:t>
      </w:r>
    </w:p>
    <w:bookmarkEnd w:id="3209"/>
    <w:bookmarkStart w:name="z3313" w:id="3210"/>
    <w:p>
      <w:pPr>
        <w:spacing w:after="0"/>
        <w:ind w:left="0"/>
        <w:jc w:val="both"/>
      </w:pPr>
      <w:r>
        <w:rPr>
          <w:rFonts w:ascii="Times New Roman"/>
          <w:b w:val="false"/>
          <w:i w:val="false"/>
          <w:color w:val="000000"/>
          <w:sz w:val="28"/>
        </w:rPr>
        <w:t>
      462. Оборудование, используемое для изготовления этикеток при операциях упаковки, следует контролировать в целях обеспечения соответствия всех оттисков печатному тексту, указанному в записях по производству серии.</w:t>
      </w:r>
    </w:p>
    <w:bookmarkEnd w:id="3210"/>
    <w:bookmarkStart w:name="z3314" w:id="3211"/>
    <w:p>
      <w:pPr>
        <w:spacing w:after="0"/>
        <w:ind w:left="0"/>
        <w:jc w:val="both"/>
      </w:pPr>
      <w:r>
        <w:rPr>
          <w:rFonts w:ascii="Times New Roman"/>
          <w:b w:val="false"/>
          <w:i w:val="false"/>
          <w:color w:val="000000"/>
          <w:sz w:val="28"/>
        </w:rPr>
        <w:t>
      463. Отпечатанные этикетки, выдаваемые для определенной серии, следует тщательно проверять на предмет их подлинности и соответствия спецификациям, приведенным в основных записях производства. Результаты такой проверки следует оформлять документально.</w:t>
      </w:r>
    </w:p>
    <w:bookmarkEnd w:id="3211"/>
    <w:bookmarkStart w:name="z3315" w:id="3212"/>
    <w:p>
      <w:pPr>
        <w:spacing w:after="0"/>
        <w:ind w:left="0"/>
        <w:jc w:val="both"/>
      </w:pPr>
      <w:r>
        <w:rPr>
          <w:rFonts w:ascii="Times New Roman"/>
          <w:b w:val="false"/>
          <w:i w:val="false"/>
          <w:color w:val="000000"/>
          <w:sz w:val="28"/>
        </w:rPr>
        <w:t>
      464. Образец отпечатанной этикетки, соответствующий использованным этикеткам, следует включать в записи по производству серии.</w:t>
      </w:r>
    </w:p>
    <w:bookmarkEnd w:id="3212"/>
    <w:bookmarkStart w:name="z3316" w:id="3213"/>
    <w:p>
      <w:pPr>
        <w:spacing w:after="0"/>
        <w:ind w:left="0"/>
        <w:jc w:val="left"/>
      </w:pPr>
      <w:r>
        <w:rPr>
          <w:rFonts w:ascii="Times New Roman"/>
          <w:b/>
          <w:i w:val="false"/>
          <w:color w:val="000000"/>
        </w:rPr>
        <w:t xml:space="preserve"> Параграф 45. Операции по упаковке и маркировке</w:t>
      </w:r>
    </w:p>
    <w:bookmarkEnd w:id="3213"/>
    <w:bookmarkStart w:name="z3317" w:id="3214"/>
    <w:p>
      <w:pPr>
        <w:spacing w:after="0"/>
        <w:ind w:left="0"/>
        <w:jc w:val="both"/>
      </w:pPr>
      <w:r>
        <w:rPr>
          <w:rFonts w:ascii="Times New Roman"/>
          <w:b w:val="false"/>
          <w:i w:val="false"/>
          <w:color w:val="000000"/>
          <w:sz w:val="28"/>
        </w:rPr>
        <w:t>
      465. В наличии документально оформленные инструкции, предназначенные для обеспечения правильного использования упаковочных материалов и этикеток.</w:t>
      </w:r>
    </w:p>
    <w:bookmarkEnd w:id="3214"/>
    <w:bookmarkStart w:name="z3318" w:id="3215"/>
    <w:p>
      <w:pPr>
        <w:spacing w:after="0"/>
        <w:ind w:left="0"/>
        <w:jc w:val="both"/>
      </w:pPr>
      <w:r>
        <w:rPr>
          <w:rFonts w:ascii="Times New Roman"/>
          <w:b w:val="false"/>
          <w:i w:val="false"/>
          <w:color w:val="000000"/>
          <w:sz w:val="28"/>
        </w:rPr>
        <w:t>
      466. В операциях по маркировке предусмотрено предотвращение перепутывания. Физическое или пространственное разделение работ, связанных с разной промежуточной продукцией или АФС.</w:t>
      </w:r>
    </w:p>
    <w:bookmarkEnd w:id="3215"/>
    <w:bookmarkStart w:name="z3319" w:id="3216"/>
    <w:p>
      <w:pPr>
        <w:spacing w:after="0"/>
        <w:ind w:left="0"/>
        <w:jc w:val="both"/>
      </w:pPr>
      <w:r>
        <w:rPr>
          <w:rFonts w:ascii="Times New Roman"/>
          <w:b w:val="false"/>
          <w:i w:val="false"/>
          <w:color w:val="000000"/>
          <w:sz w:val="28"/>
        </w:rPr>
        <w:t>
      467. Этикетки, используемые для маркировки наружной поверхности контейнеров с промежуточной продукцией или АФС, содержат название или идентификационный код, номер серии продукции и условия хранения, если такая информация является критической для обеспечения качества промежуточной продукции или АФС.</w:t>
      </w:r>
    </w:p>
    <w:bookmarkEnd w:id="3216"/>
    <w:bookmarkStart w:name="z3320" w:id="3217"/>
    <w:p>
      <w:pPr>
        <w:spacing w:after="0"/>
        <w:ind w:left="0"/>
        <w:jc w:val="both"/>
      </w:pPr>
      <w:r>
        <w:rPr>
          <w:rFonts w:ascii="Times New Roman"/>
          <w:b w:val="false"/>
          <w:i w:val="false"/>
          <w:color w:val="000000"/>
          <w:sz w:val="28"/>
        </w:rPr>
        <w:t>
      468. Если промежуточная продукция или АФС предназначены для транспортировки за пределы сферы контроля системы управления материалами производителя, то на этикетке следует указать также наименование производителя и адрес производителя, количество содержимого, особые условия транспортирования и специальные требования, установленные законодательством. Для промежуточной продукции и АФС, которые имеют установленный срок годности, на этикетке и в сертификате анализа следует указывать дату истечения срока годности. Для промежуточной продукции и АФС, для которых установлена дата повторных испытаний, эту дату следует указать на этикетке и (или) в сертификате анализа.</w:t>
      </w:r>
    </w:p>
    <w:bookmarkEnd w:id="3217"/>
    <w:bookmarkStart w:name="z3321" w:id="3218"/>
    <w:p>
      <w:pPr>
        <w:spacing w:after="0"/>
        <w:ind w:left="0"/>
        <w:jc w:val="both"/>
      </w:pPr>
      <w:r>
        <w:rPr>
          <w:rFonts w:ascii="Times New Roman"/>
          <w:b w:val="false"/>
          <w:i w:val="false"/>
          <w:color w:val="000000"/>
          <w:sz w:val="28"/>
        </w:rPr>
        <w:t>
      469. Помещения и оборудование для упаковки и маркировки следует проверить непосредственно перед их использованием, чтобы убедиться, что удалены все материалы, которые не нужны для следующей операции упаковки. Такая проверка оформляется документально в записях по производству серии, регистрационных журналах для помещений и эксплуатации оборудования или отражена в другой системе документального оформления.</w:t>
      </w:r>
    </w:p>
    <w:bookmarkEnd w:id="3218"/>
    <w:bookmarkStart w:name="z3322" w:id="3219"/>
    <w:p>
      <w:pPr>
        <w:spacing w:after="0"/>
        <w:ind w:left="0"/>
        <w:jc w:val="both"/>
      </w:pPr>
      <w:r>
        <w:rPr>
          <w:rFonts w:ascii="Times New Roman"/>
          <w:b w:val="false"/>
          <w:i w:val="false"/>
          <w:color w:val="000000"/>
          <w:sz w:val="28"/>
        </w:rPr>
        <w:t>
      470. Упакованную и маркированную промежуточную продукцию или АФС следует проверить, чтобы убедиться, что первичная и вторичная упаковка для серии имеют правильную маркировку. Эта проверка часть операции по упаковке. Результаты такой проверки отражаются в записях по производству серии или документах по ее контролю.</w:t>
      </w:r>
    </w:p>
    <w:bookmarkEnd w:id="3219"/>
    <w:bookmarkStart w:name="z3323" w:id="3220"/>
    <w:p>
      <w:pPr>
        <w:spacing w:after="0"/>
        <w:ind w:left="0"/>
        <w:jc w:val="both"/>
      </w:pPr>
      <w:r>
        <w:rPr>
          <w:rFonts w:ascii="Times New Roman"/>
          <w:b w:val="false"/>
          <w:i w:val="false"/>
          <w:color w:val="000000"/>
          <w:sz w:val="28"/>
        </w:rPr>
        <w:t>
      471. Упаковки с промежуточной продукцией или АФС, подлежащие транспортированию за пределы сферы контроля производителя, следует опломбировать таким образом, чтобы в случае нарушения пломбы или ее отсутствия получатель мог обратить внимание на возможность изменения содержимого.</w:t>
      </w:r>
    </w:p>
    <w:bookmarkEnd w:id="3220"/>
    <w:bookmarkStart w:name="z3324" w:id="3221"/>
    <w:p>
      <w:pPr>
        <w:spacing w:after="0"/>
        <w:ind w:left="0"/>
        <w:jc w:val="left"/>
      </w:pPr>
      <w:r>
        <w:rPr>
          <w:rFonts w:ascii="Times New Roman"/>
          <w:b/>
          <w:i w:val="false"/>
          <w:color w:val="000000"/>
        </w:rPr>
        <w:t xml:space="preserve"> Параграф 46. Хранение и реализация</w:t>
      </w:r>
    </w:p>
    <w:bookmarkEnd w:id="3221"/>
    <w:bookmarkStart w:name="z3325" w:id="3222"/>
    <w:p>
      <w:pPr>
        <w:spacing w:after="0"/>
        <w:ind w:left="0"/>
        <w:jc w:val="both"/>
      </w:pPr>
      <w:r>
        <w:rPr>
          <w:rFonts w:ascii="Times New Roman"/>
          <w:b w:val="false"/>
          <w:i w:val="false"/>
          <w:color w:val="000000"/>
          <w:sz w:val="28"/>
        </w:rPr>
        <w:t>
      472. Для хранения всех материалов при соответствующих условиях (например, контролируемые температура и влажность при необходимости) следует подготовить помещения и технические средства. Следует вести записи параметров этих условий, если они являются критическими для сохранения свойств материалов.</w:t>
      </w:r>
    </w:p>
    <w:bookmarkEnd w:id="3222"/>
    <w:bookmarkStart w:name="z3326" w:id="3223"/>
    <w:p>
      <w:pPr>
        <w:spacing w:after="0"/>
        <w:ind w:left="0"/>
        <w:jc w:val="both"/>
      </w:pPr>
      <w:r>
        <w:rPr>
          <w:rFonts w:ascii="Times New Roman"/>
          <w:b w:val="false"/>
          <w:i w:val="false"/>
          <w:color w:val="000000"/>
          <w:sz w:val="28"/>
        </w:rPr>
        <w:t>
      473. Если не имеется другой системы для предотвращения непреднамеренного или несанкционированного использования находящихся в карантине, отклоненных, возвращенных или отозванных материалов, то следует выделить отдельные зоны для временного хранения указанных материалов до принятия решения об их использовании.</w:t>
      </w:r>
    </w:p>
    <w:bookmarkEnd w:id="3223"/>
    <w:bookmarkStart w:name="z3327" w:id="3224"/>
    <w:p>
      <w:pPr>
        <w:spacing w:after="0"/>
        <w:ind w:left="0"/>
        <w:jc w:val="left"/>
      </w:pPr>
      <w:r>
        <w:rPr>
          <w:rFonts w:ascii="Times New Roman"/>
          <w:b/>
          <w:i w:val="false"/>
          <w:color w:val="000000"/>
        </w:rPr>
        <w:t xml:space="preserve"> Параграф 47. Реализация</w:t>
      </w:r>
    </w:p>
    <w:bookmarkEnd w:id="3224"/>
    <w:bookmarkStart w:name="z3328" w:id="3225"/>
    <w:p>
      <w:pPr>
        <w:spacing w:after="0"/>
        <w:ind w:left="0"/>
        <w:jc w:val="both"/>
      </w:pPr>
      <w:r>
        <w:rPr>
          <w:rFonts w:ascii="Times New Roman"/>
          <w:b w:val="false"/>
          <w:i w:val="false"/>
          <w:color w:val="000000"/>
          <w:sz w:val="28"/>
        </w:rPr>
        <w:t>
      474. Реализация АФС и промежуточных продуктов третьим сторонам допускается только после выдачи отделом (отделами) качества разрешений на их выпуски, подтверждения соответствия серии уполномоченным лицом. АФС и промежуточная продукция, находящиеся в карантине могут быть переданы в другое подразделение, входящее в сферу контроля производителя, если это разрешено отделом (отделами) качества и при наличии необходимого контроля и соответствующей документации.</w:t>
      </w:r>
    </w:p>
    <w:bookmarkEnd w:id="3225"/>
    <w:bookmarkStart w:name="z3329" w:id="3226"/>
    <w:p>
      <w:pPr>
        <w:spacing w:after="0"/>
        <w:ind w:left="0"/>
        <w:jc w:val="both"/>
      </w:pPr>
      <w:r>
        <w:rPr>
          <w:rFonts w:ascii="Times New Roman"/>
          <w:b w:val="false"/>
          <w:i w:val="false"/>
          <w:color w:val="000000"/>
          <w:sz w:val="28"/>
        </w:rPr>
        <w:t>
      475. Условия транспортирования АФС и промежуточной продукции не оказывают отрицательного воздействия на их качество.</w:t>
      </w:r>
    </w:p>
    <w:bookmarkEnd w:id="3226"/>
    <w:bookmarkStart w:name="z3330" w:id="3227"/>
    <w:p>
      <w:pPr>
        <w:spacing w:after="0"/>
        <w:ind w:left="0"/>
        <w:jc w:val="both"/>
      </w:pPr>
      <w:r>
        <w:rPr>
          <w:rFonts w:ascii="Times New Roman"/>
          <w:b w:val="false"/>
          <w:i w:val="false"/>
          <w:color w:val="000000"/>
          <w:sz w:val="28"/>
        </w:rPr>
        <w:t>
      476. Особые условия транспортирования или хранения АФС или промежуточной продукции указаны на этикетке.</w:t>
      </w:r>
    </w:p>
    <w:bookmarkEnd w:id="3227"/>
    <w:bookmarkStart w:name="z3331" w:id="3228"/>
    <w:p>
      <w:pPr>
        <w:spacing w:after="0"/>
        <w:ind w:left="0"/>
        <w:jc w:val="both"/>
      </w:pPr>
      <w:r>
        <w:rPr>
          <w:rFonts w:ascii="Times New Roman"/>
          <w:b w:val="false"/>
          <w:i w:val="false"/>
          <w:color w:val="000000"/>
          <w:sz w:val="28"/>
        </w:rPr>
        <w:t>
      477. Производитель убежден в том, что подрядчик, ответственный за перевозку АФС или промежуточной продукции, осведомлен о соответствующих условиях транспортирования и хранения и соблюдает их.</w:t>
      </w:r>
    </w:p>
    <w:bookmarkEnd w:id="3228"/>
    <w:bookmarkStart w:name="z3332" w:id="3229"/>
    <w:p>
      <w:pPr>
        <w:spacing w:after="0"/>
        <w:ind w:left="0"/>
        <w:jc w:val="both"/>
      </w:pPr>
      <w:r>
        <w:rPr>
          <w:rFonts w:ascii="Times New Roman"/>
          <w:b w:val="false"/>
          <w:i w:val="false"/>
          <w:color w:val="000000"/>
          <w:sz w:val="28"/>
        </w:rPr>
        <w:t>
      478. Внедряется система мер, позволяющая быстро установить пути реализации каждой серии промежуточной продукции и (или) АФС и осуществить их отзыв.</w:t>
      </w:r>
    </w:p>
    <w:bookmarkEnd w:id="3229"/>
    <w:bookmarkStart w:name="z3333" w:id="3230"/>
    <w:p>
      <w:pPr>
        <w:spacing w:after="0"/>
        <w:ind w:left="0"/>
        <w:jc w:val="left"/>
      </w:pPr>
      <w:r>
        <w:rPr>
          <w:rFonts w:ascii="Times New Roman"/>
          <w:b/>
          <w:i w:val="false"/>
          <w:color w:val="000000"/>
        </w:rPr>
        <w:t xml:space="preserve"> Параграф 48. Лабораторный контроль.</w:t>
      </w:r>
    </w:p>
    <w:bookmarkEnd w:id="3230"/>
    <w:bookmarkStart w:name="z3334" w:id="3231"/>
    <w:p>
      <w:pPr>
        <w:spacing w:after="0"/>
        <w:ind w:left="0"/>
        <w:jc w:val="both"/>
      </w:pPr>
      <w:r>
        <w:rPr>
          <w:rFonts w:ascii="Times New Roman"/>
          <w:b w:val="false"/>
          <w:i w:val="false"/>
          <w:color w:val="000000"/>
          <w:sz w:val="28"/>
        </w:rPr>
        <w:t>
      479. Независимый отдел (отделы) качества имеет в своем распоряжении соответствующие лабораторные помещения и оборудование.</w:t>
      </w:r>
    </w:p>
    <w:bookmarkEnd w:id="3231"/>
    <w:bookmarkStart w:name="z3335" w:id="3232"/>
    <w:p>
      <w:pPr>
        <w:spacing w:after="0"/>
        <w:ind w:left="0"/>
        <w:jc w:val="both"/>
      </w:pPr>
      <w:r>
        <w:rPr>
          <w:rFonts w:ascii="Times New Roman"/>
          <w:b w:val="false"/>
          <w:i w:val="false"/>
          <w:color w:val="000000"/>
          <w:sz w:val="28"/>
        </w:rPr>
        <w:t>
      480. В наличии письменные инструкции, описывающие отбор проб, проведение испытаний, одобрение или отклонение материалов, а также документальное оформление и хранение лабораторных данных. Ведение лабораторных записей соответствует требованиям пункта 198 настоящей части.</w:t>
      </w:r>
    </w:p>
    <w:bookmarkEnd w:id="3232"/>
    <w:bookmarkStart w:name="z3336" w:id="3233"/>
    <w:p>
      <w:pPr>
        <w:spacing w:after="0"/>
        <w:ind w:left="0"/>
        <w:jc w:val="both"/>
      </w:pPr>
      <w:r>
        <w:rPr>
          <w:rFonts w:ascii="Times New Roman"/>
          <w:b w:val="false"/>
          <w:i w:val="false"/>
          <w:color w:val="000000"/>
          <w:sz w:val="28"/>
        </w:rPr>
        <w:t>
      481. Все спецификации, планы отбора проб и методики испытаний научно обоснованы и гарантировать то, что исходное сырье, промежуточная продукция, АФС, этикетки и упаковочные материалы соответствуют установленным стандартам качества и (или) чистоты. Спецификации и методики испытаний соответствуют требованиям регистрационного досье. Могут быть также спецификации, дополняющие спецификации регистрационного досье. Спецификации, планы отбора проб и методики испытаний, включая вносимые в эти документы изменения, составлаются соответствующим подразделением, а также проверены и утверждены отделом (отделами) качества.</w:t>
      </w:r>
    </w:p>
    <w:bookmarkEnd w:id="3233"/>
    <w:bookmarkStart w:name="z3337" w:id="3234"/>
    <w:p>
      <w:pPr>
        <w:spacing w:after="0"/>
        <w:ind w:left="0"/>
        <w:jc w:val="both"/>
      </w:pPr>
      <w:r>
        <w:rPr>
          <w:rFonts w:ascii="Times New Roman"/>
          <w:b w:val="false"/>
          <w:i w:val="false"/>
          <w:color w:val="000000"/>
          <w:sz w:val="28"/>
        </w:rPr>
        <w:t>
      482. Следует разработать надлежащие спецификации для АФС, соответствующие принятым стандартам и согласующиеся с процессом производства. Спецификации включают контроль примесей (например, органических и неорганических примесей, остаточных растворителей). Если имеется спецификация для АФС в отношении микробиологической чистоты, то для общего количества микроорганизмов и при указании недопустимых микроорганизмов следует установить пределы, требующие принятия мер, и соблюдать эти</w:t>
      </w:r>
    </w:p>
    <w:bookmarkEnd w:id="3234"/>
    <w:bookmarkStart w:name="z3338" w:id="3235"/>
    <w:p>
      <w:pPr>
        <w:spacing w:after="0"/>
        <w:ind w:left="0"/>
        <w:jc w:val="both"/>
      </w:pPr>
      <w:r>
        <w:rPr>
          <w:rFonts w:ascii="Times New Roman"/>
          <w:b w:val="false"/>
          <w:i w:val="false"/>
          <w:color w:val="000000"/>
          <w:sz w:val="28"/>
        </w:rPr>
        <w:t>
      требования. Если имеется спецификация для АФС в отношении содержания эндотоксинов, то следует установить соответствующие пределы, требующие принятия мер, и соблюдать эти требования.</w:t>
      </w:r>
    </w:p>
    <w:bookmarkEnd w:id="3235"/>
    <w:bookmarkStart w:name="z3339" w:id="3236"/>
    <w:p>
      <w:pPr>
        <w:spacing w:after="0"/>
        <w:ind w:left="0"/>
        <w:jc w:val="both"/>
      </w:pPr>
      <w:r>
        <w:rPr>
          <w:rFonts w:ascii="Times New Roman"/>
          <w:b w:val="false"/>
          <w:i w:val="false"/>
          <w:color w:val="000000"/>
          <w:sz w:val="28"/>
        </w:rPr>
        <w:t>
      483. Все процедуры лабораторного контроля проводятся в соответствии с утвержденными инструкциями и оформляться в письменном виде во время их выполнения. Любые отклонения от вышеуказанных процедур следует оформлять документально и объяснять.</w:t>
      </w:r>
    </w:p>
    <w:bookmarkEnd w:id="3236"/>
    <w:bookmarkStart w:name="z3340" w:id="3237"/>
    <w:p>
      <w:pPr>
        <w:spacing w:after="0"/>
        <w:ind w:left="0"/>
        <w:jc w:val="both"/>
      </w:pPr>
      <w:r>
        <w:rPr>
          <w:rFonts w:ascii="Times New Roman"/>
          <w:b w:val="false"/>
          <w:i w:val="false"/>
          <w:color w:val="000000"/>
          <w:sz w:val="28"/>
        </w:rPr>
        <w:t>
      484. Любые полученные данные о несоответствии показателей качества спецификации следует расследовать и документально оформлять согласно установленной процедуре. В соответствии с этой процедурой следует проанализировать данные, дать оценку того, имеются ли существенные проблемы, определить необходимые корректирующие действия и сделать выводы. Любой повторный отбор проб и (или) проведение повторных испытаний после получения результатов несоответствия спецификации следует выполнять согласно письменной процедуре.</w:t>
      </w:r>
    </w:p>
    <w:bookmarkEnd w:id="3237"/>
    <w:bookmarkStart w:name="z3341" w:id="3238"/>
    <w:p>
      <w:pPr>
        <w:spacing w:after="0"/>
        <w:ind w:left="0"/>
        <w:jc w:val="both"/>
      </w:pPr>
      <w:r>
        <w:rPr>
          <w:rFonts w:ascii="Times New Roman"/>
          <w:b w:val="false"/>
          <w:i w:val="false"/>
          <w:color w:val="000000"/>
          <w:sz w:val="28"/>
        </w:rPr>
        <w:t>
      485. Реактивы и стандартные растворы следует готовить и маркировать в соответствии с письменными инструкциями. На посуде с аналитическими реактивами или стандартными растворами (при необходимости) следует указывать дату, до которой они могут использоваться ("использовать до …").</w:t>
      </w:r>
    </w:p>
    <w:bookmarkEnd w:id="3238"/>
    <w:bookmarkStart w:name="z3342" w:id="3239"/>
    <w:p>
      <w:pPr>
        <w:spacing w:after="0"/>
        <w:ind w:left="0"/>
        <w:jc w:val="both"/>
      </w:pPr>
      <w:r>
        <w:rPr>
          <w:rFonts w:ascii="Times New Roman"/>
          <w:b w:val="false"/>
          <w:i w:val="false"/>
          <w:color w:val="000000"/>
          <w:sz w:val="28"/>
        </w:rPr>
        <w:t>
      486. При производстве АФС следует иметь (при необходимости) первичные стандартные образцы. Источник каждого первичного стандартного образца указан в документации. Ведутся записи хранения каждого первичного стандартного образца и его использования в соответствии с рекомендациями поставщика. Первичные стандартные образцы, полученные из официально признанных источников и хранящиеся в соответствии с рекомендациями поставщика, как правило, используют без проведения их испытаний.</w:t>
      </w:r>
    </w:p>
    <w:bookmarkEnd w:id="3239"/>
    <w:bookmarkStart w:name="z3343" w:id="3240"/>
    <w:p>
      <w:pPr>
        <w:spacing w:after="0"/>
        <w:ind w:left="0"/>
        <w:jc w:val="both"/>
      </w:pPr>
      <w:r>
        <w:rPr>
          <w:rFonts w:ascii="Times New Roman"/>
          <w:b w:val="false"/>
          <w:i w:val="false"/>
          <w:color w:val="000000"/>
          <w:sz w:val="28"/>
        </w:rPr>
        <w:t>
      487. При отсутствии первичного стандартного образца у официально признанного источника следует разработать "внутренний" первичный стандартный образец. Для достоверного установления подлинности и чистоты такого первичного стандартного образца следует провести надлежащие испытания. Сохраняют соответствующую документацию проведения этих испытаний.</w:t>
      </w:r>
    </w:p>
    <w:bookmarkEnd w:id="3240"/>
    <w:bookmarkStart w:name="z3344" w:id="3241"/>
    <w:p>
      <w:pPr>
        <w:spacing w:after="0"/>
        <w:ind w:left="0"/>
        <w:jc w:val="both"/>
      </w:pPr>
      <w:r>
        <w:rPr>
          <w:rFonts w:ascii="Times New Roman"/>
          <w:b w:val="false"/>
          <w:i w:val="false"/>
          <w:color w:val="000000"/>
          <w:sz w:val="28"/>
        </w:rPr>
        <w:t>
      488. Вторичные стандартные образцы следует готовить, идентифицировать, испытывать, утверждать и хранить надлежащим образом. Перед первым использованием следует определять пригодность (провести первичную квалификацию) каждой серии вторичного стандартного образца путем сравнения с первичным стандартным образцом. Каждую серию вторичного стандартного образца следует периодически подвергать повторной квалификации в соответствии с письменным протоколом.</w:t>
      </w:r>
    </w:p>
    <w:bookmarkEnd w:id="3241"/>
    <w:bookmarkStart w:name="z3345" w:id="3242"/>
    <w:p>
      <w:pPr>
        <w:spacing w:after="0"/>
        <w:ind w:left="0"/>
        <w:jc w:val="left"/>
      </w:pPr>
      <w:r>
        <w:rPr>
          <w:rFonts w:ascii="Times New Roman"/>
          <w:b/>
          <w:i w:val="false"/>
          <w:color w:val="000000"/>
        </w:rPr>
        <w:t xml:space="preserve"> Параграф 49. Испытания промежуточных продуктов и АФС</w:t>
      </w:r>
    </w:p>
    <w:bookmarkEnd w:id="3242"/>
    <w:bookmarkStart w:name="z3346" w:id="3243"/>
    <w:p>
      <w:pPr>
        <w:spacing w:after="0"/>
        <w:ind w:left="0"/>
        <w:jc w:val="both"/>
      </w:pPr>
      <w:r>
        <w:rPr>
          <w:rFonts w:ascii="Times New Roman"/>
          <w:b w:val="false"/>
          <w:i w:val="false"/>
          <w:color w:val="000000"/>
          <w:sz w:val="28"/>
        </w:rPr>
        <w:t>
      489. Для каждой серии промежуточной продукции и АФС следует проводить необходимые лабораторные испытания с целью подтверждения соответствия спецификациям.</w:t>
      </w:r>
    </w:p>
    <w:bookmarkEnd w:id="3243"/>
    <w:bookmarkStart w:name="z3347" w:id="3244"/>
    <w:p>
      <w:pPr>
        <w:spacing w:after="0"/>
        <w:ind w:left="0"/>
        <w:jc w:val="both"/>
      </w:pPr>
      <w:r>
        <w:rPr>
          <w:rFonts w:ascii="Times New Roman"/>
          <w:b w:val="false"/>
          <w:i w:val="false"/>
          <w:color w:val="000000"/>
          <w:sz w:val="28"/>
        </w:rPr>
        <w:t xml:space="preserve">
      490. Как правило, для каждого АФС следует устанавливать профиль примесей, описывающий идентифицированные и неидентифицированные примеси, присутствующие в типичной серии, полученной в результате определенного контролируемого технологического процесса. Профиль примесей включает идентификацию или другую качественную аналитическую характеристику (например, время удерживания), пределы содержания каждой обнаруживаемой примеси и классификацию каждой идентифицированной примеси (например, органическая и неорганическая примеси, растворитель). Профиль примесей, как правило, зависит от особенностей технологического процесса и происхождения АФС. Как правило, нет необходимости определять профиль примесей для АФС растительного или животного происхождения. </w:t>
      </w:r>
    </w:p>
    <w:bookmarkEnd w:id="3244"/>
    <w:bookmarkStart w:name="z3348" w:id="3245"/>
    <w:p>
      <w:pPr>
        <w:spacing w:after="0"/>
        <w:ind w:left="0"/>
        <w:jc w:val="both"/>
      </w:pPr>
      <w:r>
        <w:rPr>
          <w:rFonts w:ascii="Times New Roman"/>
          <w:b w:val="false"/>
          <w:i w:val="false"/>
          <w:color w:val="000000"/>
          <w:sz w:val="28"/>
        </w:rPr>
        <w:t>
      491. Профиль примесей через определенные промежутки времени следует сравнивать с профилем примесей, приведенным в регистрационных документах, или с ранее полученными данными, чтобы обнаружить изменения в АФС, являющиеся результатом изменений сырья, параметров работы оборудования или технологического процесса.</w:t>
      </w:r>
    </w:p>
    <w:bookmarkEnd w:id="3245"/>
    <w:bookmarkStart w:name="z3349" w:id="3246"/>
    <w:p>
      <w:pPr>
        <w:spacing w:after="0"/>
        <w:ind w:left="0"/>
        <w:jc w:val="both"/>
      </w:pPr>
      <w:r>
        <w:rPr>
          <w:rFonts w:ascii="Times New Roman"/>
          <w:b w:val="false"/>
          <w:i w:val="false"/>
          <w:color w:val="000000"/>
          <w:sz w:val="28"/>
        </w:rPr>
        <w:t>
      492. Следует проводить соответствующие микробиологические испытания для каждой серии промежуточной продукции и АФС, если их микробиологическая чистота нормируется.</w:t>
      </w:r>
    </w:p>
    <w:bookmarkEnd w:id="3246"/>
    <w:bookmarkStart w:name="z3350" w:id="3247"/>
    <w:p>
      <w:pPr>
        <w:spacing w:after="0"/>
        <w:ind w:left="0"/>
        <w:jc w:val="both"/>
      </w:pPr>
      <w:r>
        <w:rPr>
          <w:rFonts w:ascii="Times New Roman"/>
          <w:b w:val="false"/>
          <w:i w:val="false"/>
          <w:color w:val="000000"/>
          <w:sz w:val="28"/>
        </w:rPr>
        <w:t>
      Валидация аналитических методик (см. раздел 12 настоящей части)</w:t>
      </w:r>
    </w:p>
    <w:bookmarkEnd w:id="3247"/>
    <w:bookmarkStart w:name="z3351" w:id="3248"/>
    <w:p>
      <w:pPr>
        <w:spacing w:after="0"/>
        <w:ind w:left="0"/>
        <w:jc w:val="left"/>
      </w:pPr>
      <w:r>
        <w:rPr>
          <w:rFonts w:ascii="Times New Roman"/>
          <w:b/>
          <w:i w:val="false"/>
          <w:color w:val="000000"/>
        </w:rPr>
        <w:t xml:space="preserve"> Параграф 50. Сертификаты анализа</w:t>
      </w:r>
    </w:p>
    <w:bookmarkEnd w:id="3248"/>
    <w:bookmarkStart w:name="z3352" w:id="3249"/>
    <w:p>
      <w:pPr>
        <w:spacing w:after="0"/>
        <w:ind w:left="0"/>
        <w:jc w:val="both"/>
      </w:pPr>
      <w:r>
        <w:rPr>
          <w:rFonts w:ascii="Times New Roman"/>
          <w:b w:val="false"/>
          <w:i w:val="false"/>
          <w:color w:val="000000"/>
          <w:sz w:val="28"/>
        </w:rPr>
        <w:t>
      493. Для каждой серии промежуточной продукции или АФС выдается оригинал сертификата анализа при его запросе.</w:t>
      </w:r>
    </w:p>
    <w:bookmarkEnd w:id="3249"/>
    <w:bookmarkStart w:name="z3353" w:id="3250"/>
    <w:p>
      <w:pPr>
        <w:spacing w:after="0"/>
        <w:ind w:left="0"/>
        <w:jc w:val="both"/>
      </w:pPr>
      <w:r>
        <w:rPr>
          <w:rFonts w:ascii="Times New Roman"/>
          <w:b w:val="false"/>
          <w:i w:val="false"/>
          <w:color w:val="000000"/>
          <w:sz w:val="28"/>
        </w:rPr>
        <w:t>
      494. Сертификат анализа содержит информацию о наименовании промежуточной продукции или АФС, включая при необходимости сорт, номер серии и дату выпуска. Если для промежуточной продукции или АФС установлена дата истечения срока годности, эту дату следует указывать на этикетке и в сертификате анализа. Если для промежуточной продукции или АФС установлена дата повторного испытания, то эту дату следует указывать на этикетке и (или) в сертификате анализа.</w:t>
      </w:r>
    </w:p>
    <w:bookmarkEnd w:id="3250"/>
    <w:bookmarkStart w:name="z3354" w:id="3251"/>
    <w:p>
      <w:pPr>
        <w:spacing w:after="0"/>
        <w:ind w:left="0"/>
        <w:jc w:val="both"/>
      </w:pPr>
      <w:r>
        <w:rPr>
          <w:rFonts w:ascii="Times New Roman"/>
          <w:b w:val="false"/>
          <w:i w:val="false"/>
          <w:color w:val="000000"/>
          <w:sz w:val="28"/>
        </w:rPr>
        <w:t>
      495. В сертификате приведен перечень всех испытаний, проведенных в соответствии с фармакопейными требованиями или требованиями потребителя, включая допустимые пределы, а также полученные количественные значения (если результаты испытаний таковыми являются).</w:t>
      </w:r>
    </w:p>
    <w:bookmarkEnd w:id="3251"/>
    <w:bookmarkStart w:name="z3355" w:id="3252"/>
    <w:p>
      <w:pPr>
        <w:spacing w:after="0"/>
        <w:ind w:left="0"/>
        <w:jc w:val="both"/>
      </w:pPr>
      <w:r>
        <w:rPr>
          <w:rFonts w:ascii="Times New Roman"/>
          <w:b w:val="false"/>
          <w:i w:val="false"/>
          <w:color w:val="000000"/>
          <w:sz w:val="28"/>
        </w:rPr>
        <w:t>
      496. Сертификат содержит дату подписания, подпись уполномоченного сотрудника отдела (отделов) качества, наименование, адрес и номер телефона первоначального производителя. Если анализ был проведен предприятием по переупаковке (повторной обработке), сертификате анализа следует указать наименование, адрес, номер телефона предприятия по переупаковке (повторной обработке) и дать ссылку на наименование первоначального производителя.</w:t>
      </w:r>
    </w:p>
    <w:bookmarkEnd w:id="3252"/>
    <w:bookmarkStart w:name="z3356" w:id="3253"/>
    <w:p>
      <w:pPr>
        <w:spacing w:after="0"/>
        <w:ind w:left="0"/>
        <w:jc w:val="both"/>
      </w:pPr>
      <w:r>
        <w:rPr>
          <w:rFonts w:ascii="Times New Roman"/>
          <w:b w:val="false"/>
          <w:i w:val="false"/>
          <w:color w:val="000000"/>
          <w:sz w:val="28"/>
        </w:rPr>
        <w:t>
      497. Если новые сертификаты выдаются предприятием по переупаковке (повторной обработке), поставщиками или уполномоченными ими лицами, действующими от своего имени или от имени этого предприятия, то в них следует указывать наименование, адрес и номер телефона лаборатории, проводившей анализы.</w:t>
      </w:r>
    </w:p>
    <w:bookmarkEnd w:id="3253"/>
    <w:bookmarkStart w:name="z3357" w:id="3254"/>
    <w:p>
      <w:pPr>
        <w:spacing w:after="0"/>
        <w:ind w:left="0"/>
        <w:jc w:val="both"/>
      </w:pPr>
      <w:r>
        <w:rPr>
          <w:rFonts w:ascii="Times New Roman"/>
          <w:b w:val="false"/>
          <w:i w:val="false"/>
          <w:color w:val="000000"/>
          <w:sz w:val="28"/>
        </w:rPr>
        <w:t>
      Такие сертификаты содержат ссылку на наименование и адрес первоначального производителя и первоначальный сертификат серии, копия которого прилагается к новому сертификату.</w:t>
      </w:r>
    </w:p>
    <w:bookmarkEnd w:id="3254"/>
    <w:bookmarkStart w:name="z3358" w:id="3255"/>
    <w:p>
      <w:pPr>
        <w:spacing w:after="0"/>
        <w:ind w:left="0"/>
        <w:jc w:val="left"/>
      </w:pPr>
      <w:r>
        <w:rPr>
          <w:rFonts w:ascii="Times New Roman"/>
          <w:b/>
          <w:i w:val="false"/>
          <w:color w:val="000000"/>
        </w:rPr>
        <w:t xml:space="preserve"> Параграф 51. Контроль стабильности АФС</w:t>
      </w:r>
    </w:p>
    <w:bookmarkEnd w:id="3255"/>
    <w:bookmarkStart w:name="z3359" w:id="3256"/>
    <w:p>
      <w:pPr>
        <w:spacing w:after="0"/>
        <w:ind w:left="0"/>
        <w:jc w:val="both"/>
      </w:pPr>
      <w:r>
        <w:rPr>
          <w:rFonts w:ascii="Times New Roman"/>
          <w:b w:val="false"/>
          <w:i w:val="false"/>
          <w:color w:val="000000"/>
          <w:sz w:val="28"/>
        </w:rPr>
        <w:t>
      498. Принимают в форме письменного документа программу продолжающихся испытаний, предназначенную для контроля стабильности характеристик АФС, полученные результаты испытаний используют для подтверждения надлежащих условий хранения и дат проведения повторных испытаний или истечения срока годности АФС.</w:t>
      </w:r>
    </w:p>
    <w:bookmarkEnd w:id="3256"/>
    <w:bookmarkStart w:name="z3360" w:id="3257"/>
    <w:p>
      <w:pPr>
        <w:spacing w:after="0"/>
        <w:ind w:left="0"/>
        <w:jc w:val="both"/>
      </w:pPr>
      <w:r>
        <w:rPr>
          <w:rFonts w:ascii="Times New Roman"/>
          <w:b w:val="false"/>
          <w:i w:val="false"/>
          <w:color w:val="000000"/>
          <w:sz w:val="28"/>
        </w:rPr>
        <w:t>
      499. Методики испытаний, используемые при исследовании стабильности, проходят валидацию и обеспечивают получение необходимых данных о стабильности.</w:t>
      </w:r>
    </w:p>
    <w:bookmarkEnd w:id="3257"/>
    <w:bookmarkStart w:name="z3361" w:id="3258"/>
    <w:p>
      <w:pPr>
        <w:spacing w:after="0"/>
        <w:ind w:left="0"/>
        <w:jc w:val="both"/>
      </w:pPr>
      <w:r>
        <w:rPr>
          <w:rFonts w:ascii="Times New Roman"/>
          <w:b w:val="false"/>
          <w:i w:val="false"/>
          <w:color w:val="000000"/>
          <w:sz w:val="28"/>
        </w:rPr>
        <w:t>
      500. Образцы для испытания на стабильность следует хранить в контейнерах (упаковках), аналогичных коммерческим контейнерам (упаковкам). Например, если АФС реализуют в мешках, упакованных в фибровые барабаны, то образцы для испытаний на стабильность могут быть упакованы в мешки из того же материала, помещенные в барабаны меньшего размера, изготовленные из материала, аналогичного или идентичного материалу фибровых барабанов, в которых АФС поступает в продажу.</w:t>
      </w:r>
    </w:p>
    <w:bookmarkEnd w:id="3258"/>
    <w:bookmarkStart w:name="z3362" w:id="3259"/>
    <w:p>
      <w:pPr>
        <w:spacing w:after="0"/>
        <w:ind w:left="0"/>
        <w:jc w:val="both"/>
      </w:pPr>
      <w:r>
        <w:rPr>
          <w:rFonts w:ascii="Times New Roman"/>
          <w:b w:val="false"/>
          <w:i w:val="false"/>
          <w:color w:val="000000"/>
          <w:sz w:val="28"/>
        </w:rPr>
        <w:t>
      501. Как правило, в программу мониторинга стабильности для подтверждения дат проведения повторных испытаний или истечения срока годности включают первые 3 реализуемые производственные серии. Однако если данные предварительного исследования свидетельствуют, что АФС сохраняют стабильность по крайней мере в течение 2 лет, допускается использовать менее 3 серий.</w:t>
      </w:r>
    </w:p>
    <w:bookmarkEnd w:id="3259"/>
    <w:bookmarkStart w:name="z3363" w:id="3260"/>
    <w:p>
      <w:pPr>
        <w:spacing w:after="0"/>
        <w:ind w:left="0"/>
        <w:jc w:val="both"/>
      </w:pPr>
      <w:r>
        <w:rPr>
          <w:rFonts w:ascii="Times New Roman"/>
          <w:b w:val="false"/>
          <w:i w:val="false"/>
          <w:color w:val="000000"/>
          <w:sz w:val="28"/>
        </w:rPr>
        <w:t>
      502. В программу продолжающихся испытаний стабильности включают как минимум одну произведенную серию АФС в год (за исключением тех случаев, когда производственные серии в данном году не выпускались) и по крайней мере ежегодно проводить ее испытания для подтверждения стабильности.</w:t>
      </w:r>
    </w:p>
    <w:bookmarkEnd w:id="3260"/>
    <w:bookmarkStart w:name="z3364" w:id="3261"/>
    <w:p>
      <w:pPr>
        <w:spacing w:after="0"/>
        <w:ind w:left="0"/>
        <w:jc w:val="both"/>
      </w:pPr>
      <w:r>
        <w:rPr>
          <w:rFonts w:ascii="Times New Roman"/>
          <w:b w:val="false"/>
          <w:i w:val="false"/>
          <w:color w:val="000000"/>
          <w:sz w:val="28"/>
        </w:rPr>
        <w:t>
      503. Для АФС с короткими сроками хранения испытания проводятся чаще. Например, для тех биотехнологических, биологических и других АФС, сроки хранения которых составляют 1 год или меньше, следует отбирать образцы для испытаний на стабильность и проводить испытания ежемесячно в течение первых 3 месяцев, а затем каждые 3 месяца. Если имеются данные, подтверждающие сохранение стабильности АФC, допускается исключить некоторые интервалы испытаний (например, 9-месячные испытания).</w:t>
      </w:r>
    </w:p>
    <w:bookmarkEnd w:id="3261"/>
    <w:bookmarkStart w:name="z3365" w:id="3262"/>
    <w:p>
      <w:pPr>
        <w:spacing w:after="0"/>
        <w:ind w:left="0"/>
        <w:jc w:val="both"/>
      </w:pPr>
      <w:r>
        <w:rPr>
          <w:rFonts w:ascii="Times New Roman"/>
          <w:b w:val="false"/>
          <w:i w:val="false"/>
          <w:color w:val="000000"/>
          <w:sz w:val="28"/>
        </w:rPr>
        <w:t>
      504. Необходимо, чтобы условия хранения при испытаниях на стабильность соответствовали требованиям законодательства в отношении испытаний стабильности.</w:t>
      </w:r>
    </w:p>
    <w:bookmarkEnd w:id="3262"/>
    <w:bookmarkStart w:name="z3366" w:id="3263"/>
    <w:p>
      <w:pPr>
        <w:spacing w:after="0"/>
        <w:ind w:left="0"/>
        <w:jc w:val="left"/>
      </w:pPr>
      <w:r>
        <w:rPr>
          <w:rFonts w:ascii="Times New Roman"/>
          <w:b/>
          <w:i w:val="false"/>
          <w:color w:val="000000"/>
        </w:rPr>
        <w:t xml:space="preserve"> Параграф 52. Даты истечения срока годности и проведения повторных испытаний</w:t>
      </w:r>
    </w:p>
    <w:bookmarkEnd w:id="3263"/>
    <w:bookmarkStart w:name="z3367" w:id="3264"/>
    <w:p>
      <w:pPr>
        <w:spacing w:after="0"/>
        <w:ind w:left="0"/>
        <w:jc w:val="both"/>
      </w:pPr>
      <w:r>
        <w:rPr>
          <w:rFonts w:ascii="Times New Roman"/>
          <w:b w:val="false"/>
          <w:i w:val="false"/>
          <w:color w:val="000000"/>
          <w:sz w:val="28"/>
        </w:rPr>
        <w:t>
      505. Если промежуточная продукция предназначена для передачи за пределы сферы контроля системы управления материалами производителя и для нее определена дата истечения срока годности или проведения повторных испытаний, то получают информация, подтверждающая стабильность промежуточной продукции (например, опубликованные данные, результаты испытаний).</w:t>
      </w:r>
    </w:p>
    <w:bookmarkEnd w:id="3264"/>
    <w:bookmarkStart w:name="z3368" w:id="3265"/>
    <w:p>
      <w:pPr>
        <w:spacing w:after="0"/>
        <w:ind w:left="0"/>
        <w:jc w:val="both"/>
      </w:pPr>
      <w:r>
        <w:rPr>
          <w:rFonts w:ascii="Times New Roman"/>
          <w:b w:val="false"/>
          <w:i w:val="false"/>
          <w:color w:val="000000"/>
          <w:sz w:val="28"/>
        </w:rPr>
        <w:t>
      506. Даты истечения срока годности или проведения повторных испытаний АФС основываются на результатах оценки данных, полученных при изучении стабильности. Общепринятой практикой является указание для АФС даты проведения повторных испытаний, а не даты истечения срока годности.</w:t>
      </w:r>
    </w:p>
    <w:bookmarkEnd w:id="3265"/>
    <w:bookmarkStart w:name="z3369" w:id="3266"/>
    <w:p>
      <w:pPr>
        <w:spacing w:after="0"/>
        <w:ind w:left="0"/>
        <w:jc w:val="both"/>
      </w:pPr>
      <w:r>
        <w:rPr>
          <w:rFonts w:ascii="Times New Roman"/>
          <w:b w:val="false"/>
          <w:i w:val="false"/>
          <w:color w:val="000000"/>
          <w:sz w:val="28"/>
        </w:rPr>
        <w:t>
      507. Предварительные даты истечения срока годности или проведения повторных испытаний АФС могут основываться на результатах, полученных для опытных серий, в следующих случаях:</w:t>
      </w:r>
    </w:p>
    <w:bookmarkEnd w:id="3266"/>
    <w:bookmarkStart w:name="z3370" w:id="3267"/>
    <w:p>
      <w:pPr>
        <w:spacing w:after="0"/>
        <w:ind w:left="0"/>
        <w:jc w:val="both"/>
      </w:pPr>
      <w:r>
        <w:rPr>
          <w:rFonts w:ascii="Times New Roman"/>
          <w:b w:val="false"/>
          <w:i w:val="false"/>
          <w:color w:val="000000"/>
          <w:sz w:val="28"/>
        </w:rPr>
        <w:t>
      если для опытных серий используются способ производства и процедуры, моделирующие окончательный процесс промышленного производства;</w:t>
      </w:r>
    </w:p>
    <w:bookmarkEnd w:id="3267"/>
    <w:bookmarkStart w:name="z3371" w:id="3268"/>
    <w:p>
      <w:pPr>
        <w:spacing w:after="0"/>
        <w:ind w:left="0"/>
        <w:jc w:val="both"/>
      </w:pPr>
      <w:r>
        <w:rPr>
          <w:rFonts w:ascii="Times New Roman"/>
          <w:b w:val="false"/>
          <w:i w:val="false"/>
          <w:color w:val="000000"/>
          <w:sz w:val="28"/>
        </w:rPr>
        <w:t>
      если качество АФС соответствует качеству вещества, которое будет выпускаться в промышленном масштабе.</w:t>
      </w:r>
    </w:p>
    <w:bookmarkEnd w:id="3268"/>
    <w:bookmarkStart w:name="z3372" w:id="3269"/>
    <w:p>
      <w:pPr>
        <w:spacing w:after="0"/>
        <w:ind w:left="0"/>
        <w:jc w:val="both"/>
      </w:pPr>
      <w:r>
        <w:rPr>
          <w:rFonts w:ascii="Times New Roman"/>
          <w:b w:val="false"/>
          <w:i w:val="false"/>
          <w:color w:val="000000"/>
          <w:sz w:val="28"/>
        </w:rPr>
        <w:t>
      508. Для проведения повторных испытаний следует отбирать репрезентативные образцы.</w:t>
      </w:r>
    </w:p>
    <w:bookmarkEnd w:id="3269"/>
    <w:bookmarkStart w:name="z3373" w:id="3270"/>
    <w:p>
      <w:pPr>
        <w:spacing w:after="0"/>
        <w:ind w:left="0"/>
        <w:jc w:val="left"/>
      </w:pPr>
      <w:r>
        <w:rPr>
          <w:rFonts w:ascii="Times New Roman"/>
          <w:b/>
          <w:i w:val="false"/>
          <w:color w:val="000000"/>
        </w:rPr>
        <w:t xml:space="preserve"> Параграф 53. Архивные образцы</w:t>
      </w:r>
    </w:p>
    <w:bookmarkEnd w:id="3270"/>
    <w:bookmarkStart w:name="z3374" w:id="3271"/>
    <w:p>
      <w:pPr>
        <w:spacing w:after="0"/>
        <w:ind w:left="0"/>
        <w:jc w:val="both"/>
      </w:pPr>
      <w:r>
        <w:rPr>
          <w:rFonts w:ascii="Times New Roman"/>
          <w:b w:val="false"/>
          <w:i w:val="false"/>
          <w:color w:val="000000"/>
          <w:sz w:val="28"/>
        </w:rPr>
        <w:t>
      509. Архивные образцы упаковывают и хранят с целью возможной последующей оценки качества серий АФС, но не для проведения испытаний на стабильность.</w:t>
      </w:r>
    </w:p>
    <w:bookmarkEnd w:id="3271"/>
    <w:bookmarkStart w:name="z3375" w:id="3272"/>
    <w:p>
      <w:pPr>
        <w:spacing w:after="0"/>
        <w:ind w:left="0"/>
        <w:jc w:val="both"/>
      </w:pPr>
      <w:r>
        <w:rPr>
          <w:rFonts w:ascii="Times New Roman"/>
          <w:b w:val="false"/>
          <w:i w:val="false"/>
          <w:color w:val="000000"/>
          <w:sz w:val="28"/>
        </w:rPr>
        <w:t>
      510. Архивные образцы каждой серии АФС, надлежащим образом маркированные, следует хранить в течение 1 года после даты истечения срока годности серии, которая определяется производителем, или в течение 3 лет после реализации серии в зависимости от того, какой срок является более длительным. Архивные образцы АФС с установленной датой повторных испытаний следует хранить в течение 3 лет после того, как серия была полностью реализована производителем.</w:t>
      </w:r>
    </w:p>
    <w:bookmarkEnd w:id="3272"/>
    <w:bookmarkStart w:name="z3376" w:id="3273"/>
    <w:p>
      <w:pPr>
        <w:spacing w:after="0"/>
        <w:ind w:left="0"/>
        <w:jc w:val="both"/>
      </w:pPr>
      <w:r>
        <w:rPr>
          <w:rFonts w:ascii="Times New Roman"/>
          <w:b w:val="false"/>
          <w:i w:val="false"/>
          <w:color w:val="000000"/>
          <w:sz w:val="28"/>
        </w:rPr>
        <w:t>
      511. При хранении архивного образца следует использовать такую же систему контейнер (упаковка), в которой хранится АФС, или такую, которая эквивалентна системе упаковки, предназначенной для продажи, или обеспечивает лучшую защиту. Следует хранить архивные образцы в количестве, достаточном для проведения как минимум 2 полных анализов в соответствии с требованиями фармакопейной статьи или при отсутствии фармакопейной статьи - 2 полных анализов соответствии со спецификацией (нормативным документом по качеству).</w:t>
      </w:r>
    </w:p>
    <w:bookmarkEnd w:id="3273"/>
    <w:bookmarkStart w:name="z3377" w:id="3274"/>
    <w:p>
      <w:pPr>
        <w:spacing w:after="0"/>
        <w:ind w:left="0"/>
        <w:jc w:val="left"/>
      </w:pPr>
      <w:r>
        <w:rPr>
          <w:rFonts w:ascii="Times New Roman"/>
          <w:b/>
          <w:i w:val="false"/>
          <w:color w:val="000000"/>
        </w:rPr>
        <w:t xml:space="preserve"> Параграф 54. Валидация</w:t>
      </w:r>
    </w:p>
    <w:bookmarkEnd w:id="3274"/>
    <w:bookmarkStart w:name="z3378" w:id="3275"/>
    <w:p>
      <w:pPr>
        <w:spacing w:after="0"/>
        <w:ind w:left="0"/>
        <w:jc w:val="both"/>
      </w:pPr>
      <w:r>
        <w:rPr>
          <w:rFonts w:ascii="Times New Roman"/>
          <w:b w:val="false"/>
          <w:i w:val="false"/>
          <w:color w:val="000000"/>
          <w:sz w:val="28"/>
        </w:rPr>
        <w:t>
      512. Производителем документально оформляется концепция в отношении поставленных целей и подхода к валидации, включая валидацию технологических процессов, процедур очистки, аналитических методик, процедур контроля в процессе производства, компьютеризированных систем, и в отношении лиц, ответственных за разработку, проверку, утверждение и документальное оформление каждого этапа валидации.</w:t>
      </w:r>
    </w:p>
    <w:bookmarkEnd w:id="3275"/>
    <w:bookmarkStart w:name="z3379" w:id="3276"/>
    <w:p>
      <w:pPr>
        <w:spacing w:after="0"/>
        <w:ind w:left="0"/>
        <w:jc w:val="both"/>
      </w:pPr>
      <w:r>
        <w:rPr>
          <w:rFonts w:ascii="Times New Roman"/>
          <w:b w:val="false"/>
          <w:i w:val="false"/>
          <w:color w:val="000000"/>
          <w:sz w:val="28"/>
        </w:rPr>
        <w:t>
      513. Критические параметры (показатели) качества, как правило, следует определять на стадии разработки или на основании данных предварительного опыта работы. Следует также определить диапазоны значений этих критических параметров (показателей) качества, необходимые для обеспечения воспроизводимости процесса. При этом необходимо:</w:t>
      </w:r>
    </w:p>
    <w:bookmarkEnd w:id="3276"/>
    <w:bookmarkStart w:name="z3380" w:id="3277"/>
    <w:p>
      <w:pPr>
        <w:spacing w:after="0"/>
        <w:ind w:left="0"/>
        <w:jc w:val="both"/>
      </w:pPr>
      <w:r>
        <w:rPr>
          <w:rFonts w:ascii="Times New Roman"/>
          <w:b w:val="false"/>
          <w:i w:val="false"/>
          <w:color w:val="000000"/>
          <w:sz w:val="28"/>
        </w:rPr>
        <w:t>
      определить критические показатели качества АФС как продукции; указать параметры процесса, которые могут влиять на критические показатели качества АФС;</w:t>
      </w:r>
    </w:p>
    <w:bookmarkEnd w:id="3277"/>
    <w:bookmarkStart w:name="z3381" w:id="3278"/>
    <w:p>
      <w:pPr>
        <w:spacing w:after="0"/>
        <w:ind w:left="0"/>
        <w:jc w:val="both"/>
      </w:pPr>
      <w:r>
        <w:rPr>
          <w:rFonts w:ascii="Times New Roman"/>
          <w:b w:val="false"/>
          <w:i w:val="false"/>
          <w:color w:val="000000"/>
          <w:sz w:val="28"/>
        </w:rPr>
        <w:t>
      установить диапазон значений каждого критического параметра процесса, который предполагается использовать при серийном производстве и контроле процесса.</w:t>
      </w:r>
    </w:p>
    <w:bookmarkEnd w:id="3278"/>
    <w:bookmarkStart w:name="z3382" w:id="3279"/>
    <w:p>
      <w:pPr>
        <w:spacing w:after="0"/>
        <w:ind w:left="0"/>
        <w:jc w:val="both"/>
      </w:pPr>
      <w:r>
        <w:rPr>
          <w:rFonts w:ascii="Times New Roman"/>
          <w:b w:val="false"/>
          <w:i w:val="false"/>
          <w:color w:val="000000"/>
          <w:sz w:val="28"/>
        </w:rPr>
        <w:t>
      514. Операции, которые считаются критическими для качества и чистоты АФС, подлежат валидации.</w:t>
      </w:r>
    </w:p>
    <w:bookmarkEnd w:id="3279"/>
    <w:bookmarkStart w:name="z3383" w:id="3280"/>
    <w:p>
      <w:pPr>
        <w:spacing w:after="0"/>
        <w:ind w:left="0"/>
        <w:jc w:val="left"/>
      </w:pPr>
      <w:r>
        <w:rPr>
          <w:rFonts w:ascii="Times New Roman"/>
          <w:b/>
          <w:i w:val="false"/>
          <w:color w:val="000000"/>
        </w:rPr>
        <w:t xml:space="preserve"> Параграф 55. Документация по валидации</w:t>
      </w:r>
    </w:p>
    <w:bookmarkEnd w:id="3280"/>
    <w:bookmarkStart w:name="z3384" w:id="3281"/>
    <w:p>
      <w:pPr>
        <w:spacing w:after="0"/>
        <w:ind w:left="0"/>
        <w:jc w:val="both"/>
      </w:pPr>
      <w:r>
        <w:rPr>
          <w:rFonts w:ascii="Times New Roman"/>
          <w:b w:val="false"/>
          <w:i w:val="false"/>
          <w:color w:val="000000"/>
          <w:sz w:val="28"/>
        </w:rPr>
        <w:t>
      515. Для каждого процесса, подлежащего валидации, следует разработать протокол валидации. Этот протокол проверен и утвержден отделом (отделами) качества и другими соответствующими службами.</w:t>
      </w:r>
    </w:p>
    <w:bookmarkEnd w:id="3281"/>
    <w:bookmarkStart w:name="z3385" w:id="3282"/>
    <w:p>
      <w:pPr>
        <w:spacing w:after="0"/>
        <w:ind w:left="0"/>
        <w:jc w:val="both"/>
      </w:pPr>
      <w:r>
        <w:rPr>
          <w:rFonts w:ascii="Times New Roman"/>
          <w:b w:val="false"/>
          <w:i w:val="false"/>
          <w:color w:val="000000"/>
          <w:sz w:val="28"/>
        </w:rPr>
        <w:t>
      516. В протоколе валидации определяются критические стадии процесса и критерии приемлемости, а также вид проводимой валидации (например, ретроспективная, перспективная, сопутствующая) и количество производственных циклов.</w:t>
      </w:r>
    </w:p>
    <w:bookmarkEnd w:id="3282"/>
    <w:bookmarkStart w:name="z3386" w:id="3283"/>
    <w:p>
      <w:pPr>
        <w:spacing w:after="0"/>
        <w:ind w:left="0"/>
        <w:jc w:val="both"/>
      </w:pPr>
      <w:r>
        <w:rPr>
          <w:rFonts w:ascii="Times New Roman"/>
          <w:b w:val="false"/>
          <w:i w:val="false"/>
          <w:color w:val="000000"/>
          <w:sz w:val="28"/>
        </w:rPr>
        <w:t>
      517. Отчет о валидации содержит перекрестные ссылки на протокол валидации, обобщать полученные результаты и объяснять с соответствующими выводами любые обнаруженные отклонения, включая рекомендуемые изменения для исправления недостатков.</w:t>
      </w:r>
    </w:p>
    <w:bookmarkEnd w:id="3283"/>
    <w:bookmarkStart w:name="z3387" w:id="3284"/>
    <w:p>
      <w:pPr>
        <w:spacing w:after="0"/>
        <w:ind w:left="0"/>
        <w:jc w:val="both"/>
      </w:pPr>
      <w:r>
        <w:rPr>
          <w:rFonts w:ascii="Times New Roman"/>
          <w:b w:val="false"/>
          <w:i w:val="false"/>
          <w:color w:val="000000"/>
          <w:sz w:val="28"/>
        </w:rPr>
        <w:t>
      518. Любые отклонения от протокола валидации оформляются документально с соответствующим обоснованием.</w:t>
      </w:r>
    </w:p>
    <w:bookmarkEnd w:id="3284"/>
    <w:bookmarkStart w:name="z3388" w:id="3285"/>
    <w:p>
      <w:pPr>
        <w:spacing w:after="0"/>
        <w:ind w:left="0"/>
        <w:jc w:val="left"/>
      </w:pPr>
      <w:r>
        <w:rPr>
          <w:rFonts w:ascii="Times New Roman"/>
          <w:b/>
          <w:i w:val="false"/>
          <w:color w:val="000000"/>
        </w:rPr>
        <w:t xml:space="preserve"> Параграф 56. Квалификация</w:t>
      </w:r>
    </w:p>
    <w:bookmarkEnd w:id="3285"/>
    <w:bookmarkStart w:name="z3389" w:id="3286"/>
    <w:p>
      <w:pPr>
        <w:spacing w:after="0"/>
        <w:ind w:left="0"/>
        <w:jc w:val="both"/>
      </w:pPr>
      <w:r>
        <w:rPr>
          <w:rFonts w:ascii="Times New Roman"/>
          <w:b w:val="false"/>
          <w:i w:val="false"/>
          <w:color w:val="000000"/>
          <w:sz w:val="28"/>
        </w:rPr>
        <w:t>
      519. До начала работ по валидации процесса следует завершить надлежащую квалификацию критического оборудования и вспомогательных систем. Квалификация обычно проводится по следующим этапам (по каждому этапу отдельно или по всем этапам в совокупности):</w:t>
      </w:r>
    </w:p>
    <w:bookmarkEnd w:id="3286"/>
    <w:bookmarkStart w:name="z3390" w:id="3287"/>
    <w:p>
      <w:pPr>
        <w:spacing w:after="0"/>
        <w:ind w:left="0"/>
        <w:jc w:val="both"/>
      </w:pPr>
      <w:r>
        <w:rPr>
          <w:rFonts w:ascii="Times New Roman"/>
          <w:b w:val="false"/>
          <w:i w:val="false"/>
          <w:color w:val="000000"/>
          <w:sz w:val="28"/>
        </w:rPr>
        <w:t>
      1) квалификация проекта (design qualification, DQ)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bookmarkEnd w:id="3287"/>
    <w:bookmarkStart w:name="z3391" w:id="3288"/>
    <w:p>
      <w:pPr>
        <w:spacing w:after="0"/>
        <w:ind w:left="0"/>
        <w:jc w:val="both"/>
      </w:pPr>
      <w:r>
        <w:rPr>
          <w:rFonts w:ascii="Times New Roman"/>
          <w:b w:val="false"/>
          <w:i w:val="false"/>
          <w:color w:val="000000"/>
          <w:sz w:val="28"/>
        </w:rPr>
        <w:t>
      2) квалификация монтажа (installation qualification, IQ)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w:t>
      </w:r>
    </w:p>
    <w:bookmarkEnd w:id="3288"/>
    <w:bookmarkStart w:name="z3392" w:id="3289"/>
    <w:p>
      <w:pPr>
        <w:spacing w:after="0"/>
        <w:ind w:left="0"/>
        <w:jc w:val="both"/>
      </w:pPr>
      <w:r>
        <w:rPr>
          <w:rFonts w:ascii="Times New Roman"/>
          <w:b w:val="false"/>
          <w:i w:val="false"/>
          <w:color w:val="000000"/>
          <w:sz w:val="28"/>
        </w:rPr>
        <w:t>
      3) квалификация функционирования (operational qualification, ОQ)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bookmarkEnd w:id="3289"/>
    <w:bookmarkStart w:name="z3393" w:id="3290"/>
    <w:p>
      <w:pPr>
        <w:spacing w:after="0"/>
        <w:ind w:left="0"/>
        <w:jc w:val="both"/>
      </w:pPr>
      <w:r>
        <w:rPr>
          <w:rFonts w:ascii="Times New Roman"/>
          <w:b w:val="false"/>
          <w:i w:val="false"/>
          <w:color w:val="000000"/>
          <w:sz w:val="28"/>
        </w:rPr>
        <w:t>
      4) квалификация эксплуатации (performance qualification, PQ) - документально оформленное подтверждение того, что помещения, системы и оборудование при совместном использовании работают эффективно и воспроизводятся показатели, соответствующие утвержденным требованиям и характеристикам процесса.</w:t>
      </w:r>
    </w:p>
    <w:bookmarkEnd w:id="3290"/>
    <w:bookmarkStart w:name="z3394" w:id="3291"/>
    <w:p>
      <w:pPr>
        <w:spacing w:after="0"/>
        <w:ind w:left="0"/>
        <w:jc w:val="left"/>
      </w:pPr>
      <w:r>
        <w:rPr>
          <w:rFonts w:ascii="Times New Roman"/>
          <w:b/>
          <w:i w:val="false"/>
          <w:color w:val="000000"/>
        </w:rPr>
        <w:t xml:space="preserve"> Параграф 57. Подходы к валидации процесса</w:t>
      </w:r>
    </w:p>
    <w:bookmarkEnd w:id="3291"/>
    <w:bookmarkStart w:name="z3395" w:id="3292"/>
    <w:p>
      <w:pPr>
        <w:spacing w:after="0"/>
        <w:ind w:left="0"/>
        <w:jc w:val="both"/>
      </w:pPr>
      <w:r>
        <w:rPr>
          <w:rFonts w:ascii="Times New Roman"/>
          <w:b w:val="false"/>
          <w:i w:val="false"/>
          <w:color w:val="000000"/>
          <w:sz w:val="28"/>
        </w:rPr>
        <w:t>
      520. Валидация процесса - это документально оформленное доказательство того, что процесс, протекающий в пределах установленных параметров, обеспечивает эффективное и с воспроизводимыми результатами производство промежуточной продукции или АФС, соответствующих предварительно заданным спецификациям и показателям качества.</w:t>
      </w:r>
    </w:p>
    <w:bookmarkEnd w:id="3292"/>
    <w:bookmarkStart w:name="z3396" w:id="3293"/>
    <w:p>
      <w:pPr>
        <w:spacing w:after="0"/>
        <w:ind w:left="0"/>
        <w:jc w:val="both"/>
      </w:pPr>
      <w:r>
        <w:rPr>
          <w:rFonts w:ascii="Times New Roman"/>
          <w:b w:val="false"/>
          <w:i w:val="false"/>
          <w:color w:val="000000"/>
          <w:sz w:val="28"/>
        </w:rPr>
        <w:t>
      521. Существует 3 подхода к валидации. Перспективная валидация является предпочтительным подходом, но имеются исключения, позволяющие использовать другие подходы. Эти подходы и их применимость описаны ниже.</w:t>
      </w:r>
    </w:p>
    <w:bookmarkEnd w:id="3293"/>
    <w:bookmarkStart w:name="z3397" w:id="3294"/>
    <w:p>
      <w:pPr>
        <w:spacing w:after="0"/>
        <w:ind w:left="0"/>
        <w:jc w:val="both"/>
      </w:pPr>
      <w:r>
        <w:rPr>
          <w:rFonts w:ascii="Times New Roman"/>
          <w:b w:val="false"/>
          <w:i w:val="false"/>
          <w:color w:val="000000"/>
          <w:sz w:val="28"/>
        </w:rPr>
        <w:t>
      522. Перспективную валидацию обычно следует выполнять для всех процессов, связанных с производством АФС, как указано в пункте 514 настоящей части. Перспективная валидация, проводимая для процесса, связанного с производством АФС, завершается до начала реализации готового лекарственного препарата, произведенного из этой АФС.</w:t>
      </w:r>
    </w:p>
    <w:bookmarkEnd w:id="3294"/>
    <w:bookmarkStart w:name="z3398" w:id="3295"/>
    <w:p>
      <w:pPr>
        <w:spacing w:after="0"/>
        <w:ind w:left="0"/>
        <w:jc w:val="both"/>
      </w:pPr>
      <w:r>
        <w:rPr>
          <w:rFonts w:ascii="Times New Roman"/>
          <w:b w:val="false"/>
          <w:i w:val="false"/>
          <w:color w:val="000000"/>
          <w:sz w:val="28"/>
        </w:rPr>
        <w:t>
      523. Сопутствующая валидация проводится при отсутствии данных для повторяющихся технологических циклов, если выпущено ограниченное число серий АФС, если серии АФС выпускались редко или были произведены посредством валидированного процесса, который был модифицирован. До завершения сопутствующей валидации серии АФС могут быть выпущены и использованы для производства лекарственного препарата, предназначенного для реализации, при условии полного контроля и мониторинга серий АФС.</w:t>
      </w:r>
    </w:p>
    <w:bookmarkEnd w:id="3295"/>
    <w:bookmarkStart w:name="z3399" w:id="3296"/>
    <w:p>
      <w:pPr>
        <w:spacing w:after="0"/>
        <w:ind w:left="0"/>
        <w:jc w:val="both"/>
      </w:pPr>
      <w:r>
        <w:rPr>
          <w:rFonts w:ascii="Times New Roman"/>
          <w:b w:val="false"/>
          <w:i w:val="false"/>
          <w:color w:val="000000"/>
          <w:sz w:val="28"/>
        </w:rPr>
        <w:t>
      524. Исключением, позволяющим провести ретроспективную валидацию, являются достаточно организованные процессы, которые обеспечивают производство АФС без существенных изменений его качества вследствие изменений сырья, оборудования, систем, помещений и процесса производства. Такой подход к валидации используются, если:</w:t>
      </w:r>
    </w:p>
    <w:bookmarkEnd w:id="3296"/>
    <w:bookmarkStart w:name="z3400" w:id="3297"/>
    <w:p>
      <w:pPr>
        <w:spacing w:after="0"/>
        <w:ind w:left="0"/>
        <w:jc w:val="both"/>
      </w:pPr>
      <w:r>
        <w:rPr>
          <w:rFonts w:ascii="Times New Roman"/>
          <w:b w:val="false"/>
          <w:i w:val="false"/>
          <w:color w:val="000000"/>
          <w:sz w:val="28"/>
        </w:rPr>
        <w:t>
      определены критические показатели качества и критические параметры процесса;</w:t>
      </w:r>
    </w:p>
    <w:bookmarkEnd w:id="3297"/>
    <w:bookmarkStart w:name="z3401" w:id="3298"/>
    <w:p>
      <w:pPr>
        <w:spacing w:after="0"/>
        <w:ind w:left="0"/>
        <w:jc w:val="both"/>
      </w:pPr>
      <w:r>
        <w:rPr>
          <w:rFonts w:ascii="Times New Roman"/>
          <w:b w:val="false"/>
          <w:i w:val="false"/>
          <w:color w:val="000000"/>
          <w:sz w:val="28"/>
        </w:rPr>
        <w:t>
      установлены надлежащие критерии приемлемости и контроля в процессе производства;</w:t>
      </w:r>
    </w:p>
    <w:bookmarkEnd w:id="3298"/>
    <w:bookmarkStart w:name="z3402" w:id="3299"/>
    <w:p>
      <w:pPr>
        <w:spacing w:after="0"/>
        <w:ind w:left="0"/>
        <w:jc w:val="both"/>
      </w:pPr>
      <w:r>
        <w:rPr>
          <w:rFonts w:ascii="Times New Roman"/>
          <w:b w:val="false"/>
          <w:i w:val="false"/>
          <w:color w:val="000000"/>
          <w:sz w:val="28"/>
        </w:rPr>
        <w:t>
      отсутствовали существенные сбои в ходе процесса или дефекты продукции по причинам, не связанным с ошибками оператора или отказами оборудования;</w:t>
      </w:r>
    </w:p>
    <w:bookmarkEnd w:id="3299"/>
    <w:bookmarkStart w:name="z3403" w:id="3300"/>
    <w:p>
      <w:pPr>
        <w:spacing w:after="0"/>
        <w:ind w:left="0"/>
        <w:jc w:val="both"/>
      </w:pPr>
      <w:r>
        <w:rPr>
          <w:rFonts w:ascii="Times New Roman"/>
          <w:b w:val="false"/>
          <w:i w:val="false"/>
          <w:color w:val="000000"/>
          <w:sz w:val="28"/>
        </w:rPr>
        <w:t>
      были установлены профили примесей для данной АФС.</w:t>
      </w:r>
    </w:p>
    <w:bookmarkEnd w:id="3300"/>
    <w:bookmarkStart w:name="z3404" w:id="3301"/>
    <w:p>
      <w:pPr>
        <w:spacing w:after="0"/>
        <w:ind w:left="0"/>
        <w:jc w:val="both"/>
      </w:pPr>
      <w:r>
        <w:rPr>
          <w:rFonts w:ascii="Times New Roman"/>
          <w:b w:val="false"/>
          <w:i w:val="false"/>
          <w:color w:val="000000"/>
          <w:sz w:val="28"/>
        </w:rPr>
        <w:t>
      525. Серии, отобранные для ретроспективной валидации, представляют собой репрезентативную выборку из всех серий, произведенных за проверяемый период, в том числе любых серий, не соответствующих спецификациям. При этом количество таких серий достаточным для доказательства постоянства процесса. В целях получения данных для ретроспективной валидации процесса может быть проведено испытание архивных образцов.</w:t>
      </w:r>
    </w:p>
    <w:bookmarkEnd w:id="3301"/>
    <w:bookmarkStart w:name="z3405" w:id="3302"/>
    <w:p>
      <w:pPr>
        <w:spacing w:after="0"/>
        <w:ind w:left="0"/>
        <w:jc w:val="left"/>
      </w:pPr>
      <w:r>
        <w:rPr>
          <w:rFonts w:ascii="Times New Roman"/>
          <w:b/>
          <w:i w:val="false"/>
          <w:color w:val="000000"/>
        </w:rPr>
        <w:t xml:space="preserve"> Параграф 58. Программа валидации процесса</w:t>
      </w:r>
    </w:p>
    <w:bookmarkEnd w:id="3302"/>
    <w:bookmarkStart w:name="z3406" w:id="3303"/>
    <w:p>
      <w:pPr>
        <w:spacing w:after="0"/>
        <w:ind w:left="0"/>
        <w:jc w:val="both"/>
      </w:pPr>
      <w:r>
        <w:rPr>
          <w:rFonts w:ascii="Times New Roman"/>
          <w:b w:val="false"/>
          <w:i w:val="false"/>
          <w:color w:val="000000"/>
          <w:sz w:val="28"/>
        </w:rPr>
        <w:t>
      526. Количество производственных циклов, необходимых для валидации, зависит от сложности процесса или значимости изменения процесса, подлежащих рассмотрению. Для перспективной и сопутствующей валидации используется данные, полученные для 3 последовательных производственных серий продукции надлежащего качества. Однако могут быть ситуации, когда для доказательства постоянства процесса необходимы дополнительные производственные циклы (например, процессы производства сложных АФС или длительные процессы производства АФС). Для оценки постоянства процесса при ретроспективной валидации, как правило, исследуют данные для 10 - 30 последовательных серий, но при соответствующем обосновании это число уменьшается.</w:t>
      </w:r>
    </w:p>
    <w:bookmarkEnd w:id="3303"/>
    <w:bookmarkStart w:name="z3407" w:id="3304"/>
    <w:p>
      <w:pPr>
        <w:spacing w:after="0"/>
        <w:ind w:left="0"/>
        <w:jc w:val="both"/>
      </w:pPr>
      <w:r>
        <w:rPr>
          <w:rFonts w:ascii="Times New Roman"/>
          <w:b w:val="false"/>
          <w:i w:val="false"/>
          <w:color w:val="000000"/>
          <w:sz w:val="28"/>
        </w:rPr>
        <w:t>
      527. Во время проведения исследований по валидации процесса следует контролировать и проверять его критические параметры. Параметры процесса, не связанные с качеством, например, переменные, контролируемые в целях сокращения потребления энергии или использования оборудования, можно не включать в валидацию процесса.</w:t>
      </w:r>
    </w:p>
    <w:bookmarkEnd w:id="3304"/>
    <w:bookmarkStart w:name="z3408" w:id="3305"/>
    <w:p>
      <w:pPr>
        <w:spacing w:after="0"/>
        <w:ind w:left="0"/>
        <w:jc w:val="both"/>
      </w:pPr>
      <w:r>
        <w:rPr>
          <w:rFonts w:ascii="Times New Roman"/>
          <w:b w:val="false"/>
          <w:i w:val="false"/>
          <w:color w:val="000000"/>
          <w:sz w:val="28"/>
        </w:rPr>
        <w:t>
      528. Валидация процесса подтверждает, что профиль примесей для каждого АФС находится в заданных пределах. Профиль примесей аналогичен (либо быть лучше) ранее полученному профилю примесей, а также в соответствующих случаях профилю примесей, установленному при разработке процесса, или серий, использованных для основных клинических и токсикологических исследований.</w:t>
      </w:r>
    </w:p>
    <w:bookmarkEnd w:id="3305"/>
    <w:bookmarkStart w:name="z3409" w:id="3306"/>
    <w:p>
      <w:pPr>
        <w:spacing w:after="0"/>
        <w:ind w:left="0"/>
        <w:jc w:val="left"/>
      </w:pPr>
      <w:r>
        <w:rPr>
          <w:rFonts w:ascii="Times New Roman"/>
          <w:b/>
          <w:i w:val="false"/>
          <w:color w:val="000000"/>
        </w:rPr>
        <w:t xml:space="preserve"> Параграф 59. Периодическая проверка валидированных систем</w:t>
      </w:r>
    </w:p>
    <w:bookmarkEnd w:id="3306"/>
    <w:bookmarkStart w:name="z3410" w:id="3307"/>
    <w:p>
      <w:pPr>
        <w:spacing w:after="0"/>
        <w:ind w:left="0"/>
        <w:jc w:val="both"/>
      </w:pPr>
      <w:r>
        <w:rPr>
          <w:rFonts w:ascii="Times New Roman"/>
          <w:b w:val="false"/>
          <w:i w:val="false"/>
          <w:color w:val="000000"/>
          <w:sz w:val="28"/>
        </w:rPr>
        <w:t>
      529. Системы и процессы следует подвергать периодической оценке для подтверждения того, что они функционируют правильным образом. Если в процесс или систему не были внесены существенные изменения и обзор качества подтвердил, что система или процесс постоянно обеспечивает производство материала, соответствующего спецификациям, повторная валидация, как правило, не проводится.</w:t>
      </w:r>
    </w:p>
    <w:bookmarkEnd w:id="3307"/>
    <w:bookmarkStart w:name="z3411" w:id="3308"/>
    <w:p>
      <w:pPr>
        <w:spacing w:after="0"/>
        <w:ind w:left="0"/>
        <w:jc w:val="left"/>
      </w:pPr>
      <w:r>
        <w:rPr>
          <w:rFonts w:ascii="Times New Roman"/>
          <w:b/>
          <w:i w:val="false"/>
          <w:color w:val="000000"/>
        </w:rPr>
        <w:t xml:space="preserve"> Параграф 60. Валидация очистки</w:t>
      </w:r>
    </w:p>
    <w:bookmarkEnd w:id="3308"/>
    <w:bookmarkStart w:name="z3412" w:id="3309"/>
    <w:p>
      <w:pPr>
        <w:spacing w:after="0"/>
        <w:ind w:left="0"/>
        <w:jc w:val="both"/>
      </w:pPr>
      <w:r>
        <w:rPr>
          <w:rFonts w:ascii="Times New Roman"/>
          <w:b w:val="false"/>
          <w:i w:val="false"/>
          <w:color w:val="000000"/>
          <w:sz w:val="28"/>
        </w:rPr>
        <w:t>
      530. Процедуры очистки, как правило, проходят валидацию. Обычно валидацию очистки проводят в случаях, при которых контаминация или перенос веществ представляет наибольшую опасность для качества АФС. Например, на начальных стадиях технологического процесса не потребуются проведение валидации процедур очистки оборудования, если остаточные вещества будут удалены на последующих стадиях очистки.</w:t>
      </w:r>
    </w:p>
    <w:bookmarkEnd w:id="3309"/>
    <w:bookmarkStart w:name="z3413" w:id="3310"/>
    <w:p>
      <w:pPr>
        <w:spacing w:after="0"/>
        <w:ind w:left="0"/>
        <w:jc w:val="both"/>
      </w:pPr>
      <w:r>
        <w:rPr>
          <w:rFonts w:ascii="Times New Roman"/>
          <w:b w:val="false"/>
          <w:i w:val="false"/>
          <w:color w:val="000000"/>
          <w:sz w:val="28"/>
        </w:rPr>
        <w:t>
      531. Валидация процедур очистки отражает фактический характер использования оборудования. Если разные АФС или разную промежуточную продукцию производят на одном и том же оборудовании и это оборудование очищают одним и тем же способом, то для валидации очистки можно выбрать репрезентативную промежуточную продукцию или АФС. Такой выбор основывается на данных о растворимости и трудностях очистки, а также на расчете предельного содержания остатков с учетом их активности, токсичности и стабильности.</w:t>
      </w:r>
    </w:p>
    <w:bookmarkEnd w:id="3310"/>
    <w:bookmarkStart w:name="z3414" w:id="3311"/>
    <w:p>
      <w:pPr>
        <w:spacing w:after="0"/>
        <w:ind w:left="0"/>
        <w:jc w:val="both"/>
      </w:pPr>
      <w:r>
        <w:rPr>
          <w:rFonts w:ascii="Times New Roman"/>
          <w:b w:val="false"/>
          <w:i w:val="false"/>
          <w:color w:val="000000"/>
          <w:sz w:val="28"/>
        </w:rPr>
        <w:t>
      532. В протоколе валидации очистки описывает оборудование, подлежащее очистке, процедуры, материалы, приемлемые уровни очистки, контролируемые и регулируемые параметры и аналитические методики. В протоколе также указывают виды отбираемых проб, способы их отбора и маркировки.</w:t>
      </w:r>
    </w:p>
    <w:bookmarkEnd w:id="3311"/>
    <w:bookmarkStart w:name="z3415" w:id="3312"/>
    <w:p>
      <w:pPr>
        <w:spacing w:after="0"/>
        <w:ind w:left="0"/>
        <w:jc w:val="both"/>
      </w:pPr>
      <w:r>
        <w:rPr>
          <w:rFonts w:ascii="Times New Roman"/>
          <w:b w:val="false"/>
          <w:i w:val="false"/>
          <w:color w:val="000000"/>
          <w:sz w:val="28"/>
        </w:rPr>
        <w:t>
      533. Для обнаружения как нерастворимых, так и растворимых остатков методы отбора проб включают соответствующие методы (например, забор мазков или смывов, прямую экстракцию и др.). Используемые методы отбора проб позволяют количественно определять уровни остатков на поверхностях оборудования после очистки. Следует учитывать, что использование метода отбора проб посредством забора мазков неосуществимо, если контактирующие с продуктом поверхности являются труднодоступными вследствие конструктивных особенностей оборудования (например, внутренние поверхности шлангов, транспортных трубопроводов, емкости реакторов с узкими люками, также небольшое по размеру сложное оборудование (например, микронизаторы и микрораспылители)) и (или) если существуют ограничения процесса (например, обработка токсичных веществ), в этих случаях предусматривают иной метод отбора проб.</w:t>
      </w:r>
    </w:p>
    <w:bookmarkEnd w:id="3312"/>
    <w:bookmarkStart w:name="z3416" w:id="3313"/>
    <w:p>
      <w:pPr>
        <w:spacing w:after="0"/>
        <w:ind w:left="0"/>
        <w:jc w:val="both"/>
      </w:pPr>
      <w:r>
        <w:rPr>
          <w:rFonts w:ascii="Times New Roman"/>
          <w:b w:val="false"/>
          <w:i w:val="false"/>
          <w:color w:val="000000"/>
          <w:sz w:val="28"/>
        </w:rPr>
        <w:t xml:space="preserve">
      534. Следует использовать валидированные аналитические методики, обладающие достаточной чувствительностью для обнаружения остатков или контаминантов. Предел обнаружения каждой аналитической методики достаточный для того, чтобы установить достижение приемлемого уровня остатков или контаминантов. Для методики следует установить достигаемый уровень </w:t>
      </w:r>
    </w:p>
    <w:bookmarkEnd w:id="3313"/>
    <w:bookmarkStart w:name="z3417" w:id="3314"/>
    <w:p>
      <w:pPr>
        <w:spacing w:after="0"/>
        <w:ind w:left="0"/>
        <w:jc w:val="both"/>
      </w:pPr>
      <w:r>
        <w:rPr>
          <w:rFonts w:ascii="Times New Roman"/>
          <w:b w:val="false"/>
          <w:i w:val="false"/>
          <w:color w:val="000000"/>
          <w:sz w:val="28"/>
        </w:rPr>
        <w:t>
      извлечения вещества. Пределы содержания остатков практичные, достижимые, проверяемыми и основываются на содержании наиболее вредного остатка. Пределы устанавливают, основываясь на минимальном обладающем известной фармакологической, токсикологической или физиологической активностью количестве АФС или наиболее вредного компонента АФС.</w:t>
      </w:r>
    </w:p>
    <w:bookmarkEnd w:id="3314"/>
    <w:bookmarkStart w:name="z3418" w:id="3315"/>
    <w:p>
      <w:pPr>
        <w:spacing w:after="0"/>
        <w:ind w:left="0"/>
        <w:jc w:val="both"/>
      </w:pPr>
      <w:r>
        <w:rPr>
          <w:rFonts w:ascii="Times New Roman"/>
          <w:b w:val="false"/>
          <w:i w:val="false"/>
          <w:color w:val="000000"/>
          <w:sz w:val="28"/>
        </w:rPr>
        <w:t>
      535. Для процессов, в которых существует необходимость снижения общего количества микроорганизмов или эндотоксинов в АФС, или для других процессов, где может быть значимым такая контаминация (например, производство нестерильных АФС, используемых для производства стерильных лекарственных препаратов), исследование очистки (санитарной обработки) оборудования следует проводить в отношении контаминации микроорганизмами и эндотоксинами.</w:t>
      </w:r>
    </w:p>
    <w:bookmarkEnd w:id="3315"/>
    <w:bookmarkStart w:name="z3419" w:id="3316"/>
    <w:p>
      <w:pPr>
        <w:spacing w:after="0"/>
        <w:ind w:left="0"/>
        <w:jc w:val="both"/>
      </w:pPr>
      <w:r>
        <w:rPr>
          <w:rFonts w:ascii="Times New Roman"/>
          <w:b w:val="false"/>
          <w:i w:val="false"/>
          <w:color w:val="000000"/>
          <w:sz w:val="28"/>
        </w:rPr>
        <w:t>
      536. Процедуры очистки следует контролировать с определенной периодичностью после валидации, чтобы убедиться, что эти процедуры являются эффективными при их использовании во время текущего технологического процесса. Чистоту оборудования можно контролировать посредством проведения аналитических испытаний и визуального осмотра. Визуальный осмотр позволяет обнаружить значительные скопления контаминантов на небольших участках, если есть основания полагать, что они могут оказаться не обнаруженными иным способом при отборе проб и (или) анализе.</w:t>
      </w:r>
    </w:p>
    <w:bookmarkEnd w:id="3316"/>
    <w:bookmarkStart w:name="z3420" w:id="3317"/>
    <w:p>
      <w:pPr>
        <w:spacing w:after="0"/>
        <w:ind w:left="0"/>
        <w:jc w:val="left"/>
      </w:pPr>
      <w:r>
        <w:rPr>
          <w:rFonts w:ascii="Times New Roman"/>
          <w:b/>
          <w:i w:val="false"/>
          <w:color w:val="000000"/>
        </w:rPr>
        <w:t xml:space="preserve"> Параграф 61. Валидация аналитических методик</w:t>
      </w:r>
    </w:p>
    <w:bookmarkEnd w:id="3317"/>
    <w:bookmarkStart w:name="z3421" w:id="3318"/>
    <w:p>
      <w:pPr>
        <w:spacing w:after="0"/>
        <w:ind w:left="0"/>
        <w:jc w:val="both"/>
      </w:pPr>
      <w:r>
        <w:rPr>
          <w:rFonts w:ascii="Times New Roman"/>
          <w:b w:val="false"/>
          <w:i w:val="false"/>
          <w:color w:val="000000"/>
          <w:sz w:val="28"/>
        </w:rPr>
        <w:t>
      537. Если используемые аналитические методики не включены в Фармакопею, то они проходят валидацию.</w:t>
      </w:r>
    </w:p>
    <w:bookmarkEnd w:id="3318"/>
    <w:bookmarkStart w:name="z3422" w:id="3319"/>
    <w:p>
      <w:pPr>
        <w:spacing w:after="0"/>
        <w:ind w:left="0"/>
        <w:jc w:val="both"/>
      </w:pPr>
      <w:r>
        <w:rPr>
          <w:rFonts w:ascii="Times New Roman"/>
          <w:b w:val="false"/>
          <w:i w:val="false"/>
          <w:color w:val="000000"/>
          <w:sz w:val="28"/>
        </w:rPr>
        <w:t>
      Пригодность всех используемых методик испытаний следует проверять в реальных условиях применения и оформлять документально.</w:t>
      </w:r>
    </w:p>
    <w:bookmarkEnd w:id="3319"/>
    <w:bookmarkStart w:name="z3423" w:id="3320"/>
    <w:p>
      <w:pPr>
        <w:spacing w:after="0"/>
        <w:ind w:left="0"/>
        <w:jc w:val="both"/>
      </w:pPr>
      <w:r>
        <w:rPr>
          <w:rFonts w:ascii="Times New Roman"/>
          <w:b w:val="false"/>
          <w:i w:val="false"/>
          <w:color w:val="000000"/>
          <w:sz w:val="28"/>
        </w:rPr>
        <w:t>
      538. Валидацию методик следует проводить с учетом обоснования характеристик, по валидации аналитических методик. Объем проводимой аналитической валидации зависет от цели анализа и стадии технологического процесса производства АФС.</w:t>
      </w:r>
    </w:p>
    <w:bookmarkEnd w:id="3320"/>
    <w:bookmarkStart w:name="z3424" w:id="3321"/>
    <w:p>
      <w:pPr>
        <w:spacing w:after="0"/>
        <w:ind w:left="0"/>
        <w:jc w:val="both"/>
      </w:pPr>
      <w:r>
        <w:rPr>
          <w:rFonts w:ascii="Times New Roman"/>
          <w:b w:val="false"/>
          <w:i w:val="false"/>
          <w:color w:val="000000"/>
          <w:sz w:val="28"/>
        </w:rPr>
        <w:t>
      539. До начала валидации аналитических методик следует провести соответствующую квалификацию аналитического оборудования.</w:t>
      </w:r>
    </w:p>
    <w:bookmarkEnd w:id="3321"/>
    <w:bookmarkStart w:name="z3425" w:id="3322"/>
    <w:p>
      <w:pPr>
        <w:spacing w:after="0"/>
        <w:ind w:left="0"/>
        <w:jc w:val="both"/>
      </w:pPr>
      <w:r>
        <w:rPr>
          <w:rFonts w:ascii="Times New Roman"/>
          <w:b w:val="false"/>
          <w:i w:val="false"/>
          <w:color w:val="000000"/>
          <w:sz w:val="28"/>
        </w:rPr>
        <w:t>
      540. Следует вести подробные записи всех изменений валидированной аналитической методики. Такие записи отражают причину изменения и соответствующие данные для подтверждения того, что изменение приводит к результатам, обеспечивающим такую же точность и надежность аналитической методики, как и результаты, полученные с помощью ранее принятой аналитической методики.</w:t>
      </w:r>
    </w:p>
    <w:bookmarkEnd w:id="3322"/>
    <w:bookmarkStart w:name="z3426" w:id="3323"/>
    <w:p>
      <w:pPr>
        <w:spacing w:after="0"/>
        <w:ind w:left="0"/>
        <w:jc w:val="left"/>
      </w:pPr>
      <w:r>
        <w:rPr>
          <w:rFonts w:ascii="Times New Roman"/>
          <w:b/>
          <w:i w:val="false"/>
          <w:color w:val="000000"/>
        </w:rPr>
        <w:t xml:space="preserve"> Параграф 62. Контроль изменений</w:t>
      </w:r>
    </w:p>
    <w:bookmarkEnd w:id="3323"/>
    <w:bookmarkStart w:name="z3427" w:id="3324"/>
    <w:p>
      <w:pPr>
        <w:spacing w:after="0"/>
        <w:ind w:left="0"/>
        <w:jc w:val="both"/>
      </w:pPr>
      <w:r>
        <w:rPr>
          <w:rFonts w:ascii="Times New Roman"/>
          <w:b w:val="false"/>
          <w:i w:val="false"/>
          <w:color w:val="000000"/>
          <w:sz w:val="28"/>
        </w:rPr>
        <w:t>
      541. Следует разработать формализованную систему контроля изменений для оценки всех изменений, которые могут повлиять на производство и контроль промежуточной продукции и АФС.</w:t>
      </w:r>
    </w:p>
    <w:bookmarkEnd w:id="3324"/>
    <w:bookmarkStart w:name="z3428" w:id="3325"/>
    <w:p>
      <w:pPr>
        <w:spacing w:after="0"/>
        <w:ind w:left="0"/>
        <w:jc w:val="both"/>
      </w:pPr>
      <w:r>
        <w:rPr>
          <w:rFonts w:ascii="Times New Roman"/>
          <w:b w:val="false"/>
          <w:i w:val="false"/>
          <w:color w:val="000000"/>
          <w:sz w:val="28"/>
        </w:rPr>
        <w:t>
      542. Следует предусмотреть письменные процедуры для идентификации, документального оформления, соответствующей проверки и утверждения изменений в отношении исходного сырья, спецификаций, аналитических методик, помещений, вспомогательных систем, оборудования (включая компьютерное оборудование), стадий процесса, материалов для маркировки и упаковки, а также компьютерного программного обеспечения.</w:t>
      </w:r>
    </w:p>
    <w:bookmarkEnd w:id="3325"/>
    <w:bookmarkStart w:name="z3429" w:id="3326"/>
    <w:p>
      <w:pPr>
        <w:spacing w:after="0"/>
        <w:ind w:left="0"/>
        <w:jc w:val="both"/>
      </w:pPr>
      <w:r>
        <w:rPr>
          <w:rFonts w:ascii="Times New Roman"/>
          <w:b w:val="false"/>
          <w:i w:val="false"/>
          <w:color w:val="000000"/>
          <w:sz w:val="28"/>
        </w:rPr>
        <w:t>
      543. Любые предложения по изменениям, касающимся соблюдения требований настоящего Стандарта, составляются, проверяются и утверждаются соответствующими подразделениями производителя, а затем проверены и утверждены отделом (отделами) качества.</w:t>
      </w:r>
    </w:p>
    <w:bookmarkEnd w:id="3326"/>
    <w:bookmarkStart w:name="z3430" w:id="3327"/>
    <w:p>
      <w:pPr>
        <w:spacing w:after="0"/>
        <w:ind w:left="0"/>
        <w:jc w:val="both"/>
      </w:pPr>
      <w:r>
        <w:rPr>
          <w:rFonts w:ascii="Times New Roman"/>
          <w:b w:val="false"/>
          <w:i w:val="false"/>
          <w:color w:val="000000"/>
          <w:sz w:val="28"/>
        </w:rPr>
        <w:t>
      544. Следует оценить возможное влияние предложенного изменения на качество промежуточной продукции или АФС. Процедура классификации изменений используется при определении объема испытаний, валидации и документации, требуемых для обоснования изменений, вносимых в ранее валидированный процесс. Изменения могут быть классифицированы (например, как существенные или несущественные) в зависимости от их характера и объема, а также влияния, которое они могут оказать на процесс. С учетом обоснованного заключения следует определить, какие дополнительные испытания и исследования по валидации необходимы для обоснования таких изменений.</w:t>
      </w:r>
    </w:p>
    <w:bookmarkEnd w:id="3327"/>
    <w:bookmarkStart w:name="z3431" w:id="3328"/>
    <w:p>
      <w:pPr>
        <w:spacing w:after="0"/>
        <w:ind w:left="0"/>
        <w:jc w:val="both"/>
      </w:pPr>
      <w:r>
        <w:rPr>
          <w:rFonts w:ascii="Times New Roman"/>
          <w:b w:val="false"/>
          <w:i w:val="false"/>
          <w:color w:val="000000"/>
          <w:sz w:val="28"/>
        </w:rPr>
        <w:t>
      545. При внедрении утвержденных изменений следует принять меры по пересмотру всех документов, на содержание которых влияют эти изменения.</w:t>
      </w:r>
    </w:p>
    <w:bookmarkEnd w:id="3328"/>
    <w:bookmarkStart w:name="z3432" w:id="3329"/>
    <w:p>
      <w:pPr>
        <w:spacing w:after="0"/>
        <w:ind w:left="0"/>
        <w:jc w:val="both"/>
      </w:pPr>
      <w:r>
        <w:rPr>
          <w:rFonts w:ascii="Times New Roman"/>
          <w:b w:val="false"/>
          <w:i w:val="false"/>
          <w:color w:val="000000"/>
          <w:sz w:val="28"/>
        </w:rPr>
        <w:t>
      546. После внедрения изменения в производство следует провести оценку первых серий, произведенных или испытанных после внедрения этого изменения.</w:t>
      </w:r>
    </w:p>
    <w:bookmarkEnd w:id="3329"/>
    <w:bookmarkStart w:name="z3433" w:id="3330"/>
    <w:p>
      <w:pPr>
        <w:spacing w:after="0"/>
        <w:ind w:left="0"/>
        <w:jc w:val="both"/>
      </w:pPr>
      <w:r>
        <w:rPr>
          <w:rFonts w:ascii="Times New Roman"/>
          <w:b w:val="false"/>
          <w:i w:val="false"/>
          <w:color w:val="000000"/>
          <w:sz w:val="28"/>
        </w:rPr>
        <w:t>
      547. Следует оценить возможность воздействия критических изменений на стабильность и на установленные даты повторных испытаний или даты истечения срока годности. При необходимости образцы промежуточной продукции или АФС, которые были произведены посредством измененного процесса, могут быть введены в</w:t>
      </w:r>
    </w:p>
    <w:bookmarkEnd w:id="3330"/>
    <w:bookmarkStart w:name="z3434" w:id="3331"/>
    <w:p>
      <w:pPr>
        <w:spacing w:after="0"/>
        <w:ind w:left="0"/>
        <w:jc w:val="both"/>
      </w:pPr>
      <w:r>
        <w:rPr>
          <w:rFonts w:ascii="Times New Roman"/>
          <w:b w:val="false"/>
          <w:i w:val="false"/>
          <w:color w:val="000000"/>
          <w:sz w:val="28"/>
        </w:rPr>
        <w:t>
      программу ускоренного изучения стабильности и (или) включены в программу мониторинга стабильности.</w:t>
      </w:r>
    </w:p>
    <w:bookmarkEnd w:id="3331"/>
    <w:bookmarkStart w:name="z3435" w:id="3332"/>
    <w:p>
      <w:pPr>
        <w:spacing w:after="0"/>
        <w:ind w:left="0"/>
        <w:jc w:val="both"/>
      </w:pPr>
      <w:r>
        <w:rPr>
          <w:rFonts w:ascii="Times New Roman"/>
          <w:b w:val="false"/>
          <w:i w:val="false"/>
          <w:color w:val="000000"/>
          <w:sz w:val="28"/>
        </w:rPr>
        <w:t>
      548. Следует проинформировать соответствующих производителей лекарственных препаратов (в том числе лекарственных препаратов в форме нерасфасованных продуктов) об изменениях в установленных технологических процессах и процедурах контроля процесса, которые могут повлиять на качество АФС.</w:t>
      </w:r>
    </w:p>
    <w:bookmarkEnd w:id="3332"/>
    <w:bookmarkStart w:name="z3436" w:id="3333"/>
    <w:p>
      <w:pPr>
        <w:spacing w:after="0"/>
        <w:ind w:left="0"/>
        <w:jc w:val="left"/>
      </w:pPr>
      <w:r>
        <w:rPr>
          <w:rFonts w:ascii="Times New Roman"/>
          <w:b/>
          <w:i w:val="false"/>
          <w:color w:val="000000"/>
        </w:rPr>
        <w:t xml:space="preserve"> Параграф 63. Отклонение и повторное использование материалов.</w:t>
      </w:r>
    </w:p>
    <w:bookmarkEnd w:id="3333"/>
    <w:bookmarkStart w:name="z3437" w:id="3334"/>
    <w:p>
      <w:pPr>
        <w:spacing w:after="0"/>
        <w:ind w:left="0"/>
        <w:jc w:val="both"/>
      </w:pPr>
      <w:r>
        <w:rPr>
          <w:rFonts w:ascii="Times New Roman"/>
          <w:b w:val="false"/>
          <w:i w:val="false"/>
          <w:color w:val="000000"/>
          <w:sz w:val="28"/>
        </w:rPr>
        <w:t>
      549. Промежуточную продукцию и АФС, которые не соответствуют установленным спецификациям, следует содержать в условиях карантина, промаркировав так, чтобы обеспечить их явное отличие от продукции и АФС, соответствующих установленным спецификациям. Такую промежуточную продукцию или АФС можно подвергнуть повторной обработке или переработке. Окончательное решение в отношении отклоненных материалов оформляется документально.</w:t>
      </w:r>
    </w:p>
    <w:bookmarkEnd w:id="3334"/>
    <w:bookmarkStart w:name="z3438" w:id="3335"/>
    <w:p>
      <w:pPr>
        <w:spacing w:after="0"/>
        <w:ind w:left="0"/>
        <w:jc w:val="left"/>
      </w:pPr>
      <w:r>
        <w:rPr>
          <w:rFonts w:ascii="Times New Roman"/>
          <w:b/>
          <w:i w:val="false"/>
          <w:color w:val="000000"/>
        </w:rPr>
        <w:t xml:space="preserve"> Параграф 64. Повторная обработка</w:t>
      </w:r>
    </w:p>
    <w:bookmarkEnd w:id="3335"/>
    <w:bookmarkStart w:name="z3439" w:id="3336"/>
    <w:p>
      <w:pPr>
        <w:spacing w:after="0"/>
        <w:ind w:left="0"/>
        <w:jc w:val="both"/>
      </w:pPr>
      <w:r>
        <w:rPr>
          <w:rFonts w:ascii="Times New Roman"/>
          <w:b w:val="false"/>
          <w:i w:val="false"/>
          <w:color w:val="000000"/>
          <w:sz w:val="28"/>
        </w:rPr>
        <w:t>
      550. Повторное использование в процессе производства промежуточной продукции или АФС, включая продукцию, не соответствующую стандартам или спецификациям, и их повторная обработка путем повторения стадии кристаллизации или других соответствующих стадий обработки химическими или физическими способами (например, дистилляция, фильтрация, хроматографирование, измельчение), являющихся частью установленного производственного процесса, обычно считаются приемлемыми. Однако если повторная обработка используется для большинства серий, то ее следует включить в качестве части стандартного технологического процесса.</w:t>
      </w:r>
    </w:p>
    <w:bookmarkEnd w:id="3336"/>
    <w:bookmarkStart w:name="z3440" w:id="3337"/>
    <w:p>
      <w:pPr>
        <w:spacing w:after="0"/>
        <w:ind w:left="0"/>
        <w:jc w:val="both"/>
      </w:pPr>
      <w:r>
        <w:rPr>
          <w:rFonts w:ascii="Times New Roman"/>
          <w:b w:val="false"/>
          <w:i w:val="false"/>
          <w:color w:val="000000"/>
          <w:sz w:val="28"/>
        </w:rPr>
        <w:t>
      551. Продолжение осуществления стадии технологического процесса, для которой контроль в процессе производства показал, что она не завершена, считается частью обычного технологического процесса, а не повторной обработкой.</w:t>
      </w:r>
    </w:p>
    <w:bookmarkEnd w:id="3337"/>
    <w:bookmarkStart w:name="z3441" w:id="3338"/>
    <w:p>
      <w:pPr>
        <w:spacing w:after="0"/>
        <w:ind w:left="0"/>
        <w:jc w:val="both"/>
      </w:pPr>
      <w:r>
        <w:rPr>
          <w:rFonts w:ascii="Times New Roman"/>
          <w:b w:val="false"/>
          <w:i w:val="false"/>
          <w:color w:val="000000"/>
          <w:sz w:val="28"/>
        </w:rPr>
        <w:t>
      552. Введение непрореагировавшего вещества в процесс вновь и повторное проведение химической реакции считаются повторной обработкой, если это не является частью установленного процесса. Такой повторной обработке предшествует тщательная оценка, гарантирующая, что это не окажет негативного влияния на качество промежуточной продукции или АФС вследствие возможного образования побочных продуктов и веществ, прореагировавших сверх установленной нормы.</w:t>
      </w:r>
    </w:p>
    <w:bookmarkEnd w:id="3338"/>
    <w:bookmarkStart w:name="z3442" w:id="3339"/>
    <w:p>
      <w:pPr>
        <w:spacing w:after="0"/>
        <w:ind w:left="0"/>
        <w:jc w:val="left"/>
      </w:pPr>
      <w:r>
        <w:rPr>
          <w:rFonts w:ascii="Times New Roman"/>
          <w:b/>
          <w:i w:val="false"/>
          <w:color w:val="000000"/>
        </w:rPr>
        <w:t xml:space="preserve"> Параграф 65. Переработка</w:t>
      </w:r>
    </w:p>
    <w:bookmarkEnd w:id="3339"/>
    <w:bookmarkStart w:name="z3443" w:id="3340"/>
    <w:p>
      <w:pPr>
        <w:spacing w:after="0"/>
        <w:ind w:left="0"/>
        <w:jc w:val="both"/>
      </w:pPr>
      <w:r>
        <w:rPr>
          <w:rFonts w:ascii="Times New Roman"/>
          <w:b w:val="false"/>
          <w:i w:val="false"/>
          <w:color w:val="000000"/>
          <w:sz w:val="28"/>
        </w:rPr>
        <w:t>
      553. Перед принятием решения о переработке серий, не соответствующих установленным нормам или спецификациям (нормативным документам по качеству), следует провести расследование причин такого несоответствия.</w:t>
      </w:r>
    </w:p>
    <w:bookmarkEnd w:id="3340"/>
    <w:bookmarkStart w:name="z3444" w:id="3341"/>
    <w:p>
      <w:pPr>
        <w:spacing w:after="0"/>
        <w:ind w:left="0"/>
        <w:jc w:val="both"/>
      </w:pPr>
      <w:r>
        <w:rPr>
          <w:rFonts w:ascii="Times New Roman"/>
          <w:b w:val="false"/>
          <w:i w:val="false"/>
          <w:color w:val="000000"/>
          <w:sz w:val="28"/>
        </w:rPr>
        <w:t>
      554. Серии, подвергнутые переработке, объектом соответствующей оценки, испытаний, исследования стабильности, если для этого есть основания, и документального оформления, чтобы показать, что переработанная продукция по качеству эквивалентна продукции, произведенной посредством первоначально установленного производственного процесса. Наиболее целесообразным подходом к валидации процедур переработки является сопутствующая валидация. Это позволяет составить записи процедуры переработки, установить порядок ее проведения и определить ожидаемые результаты. Если переработке подлежит только одна серия, то составляется письменный отчет, а серия разрешена к выпуску сразу после подтверждения ее приемлемости.</w:t>
      </w:r>
    </w:p>
    <w:bookmarkEnd w:id="3341"/>
    <w:bookmarkStart w:name="z3445" w:id="3342"/>
    <w:p>
      <w:pPr>
        <w:spacing w:after="0"/>
        <w:ind w:left="0"/>
        <w:jc w:val="both"/>
      </w:pPr>
      <w:r>
        <w:rPr>
          <w:rFonts w:ascii="Times New Roman"/>
          <w:b w:val="false"/>
          <w:i w:val="false"/>
          <w:color w:val="000000"/>
          <w:sz w:val="28"/>
        </w:rPr>
        <w:t>
      555. Приняты в форме письменного документа процедуры для сравнения профиля примесей каждой переработанной серии с профилями примесей серий, произведенных посредством установленного процесса. Если применяемые аналитические методики не позволяют адекватно охарактеризовать переработанную серию, то следует воспользоваться дополнительными методиками.</w:t>
      </w:r>
    </w:p>
    <w:bookmarkEnd w:id="3342"/>
    <w:bookmarkStart w:name="z3446" w:id="3343"/>
    <w:p>
      <w:pPr>
        <w:spacing w:after="0"/>
        <w:ind w:left="0"/>
        <w:jc w:val="left"/>
      </w:pPr>
      <w:r>
        <w:rPr>
          <w:rFonts w:ascii="Times New Roman"/>
          <w:b/>
          <w:i w:val="false"/>
          <w:color w:val="000000"/>
        </w:rPr>
        <w:t xml:space="preserve"> Параграф 66. Регенерация материалов и растворителей</w:t>
      </w:r>
    </w:p>
    <w:bookmarkEnd w:id="3343"/>
    <w:bookmarkStart w:name="z3447" w:id="3344"/>
    <w:p>
      <w:pPr>
        <w:spacing w:after="0"/>
        <w:ind w:left="0"/>
        <w:jc w:val="both"/>
      </w:pPr>
      <w:r>
        <w:rPr>
          <w:rFonts w:ascii="Times New Roman"/>
          <w:b w:val="false"/>
          <w:i w:val="false"/>
          <w:color w:val="000000"/>
          <w:sz w:val="28"/>
        </w:rPr>
        <w:t>
      556. Регенерация реактивов, промежуточной продукции или АФС (например, из маточной жидкости или фильтратов) считается допустимой при условии наличия утвержденных процедур регенерации соответствия регенерированных материалов спецификациям, подходящим для их предполагаемого использования.</w:t>
      </w:r>
    </w:p>
    <w:bookmarkEnd w:id="3344"/>
    <w:bookmarkStart w:name="z3448" w:id="3345"/>
    <w:p>
      <w:pPr>
        <w:spacing w:after="0"/>
        <w:ind w:left="0"/>
        <w:jc w:val="both"/>
      </w:pPr>
      <w:r>
        <w:rPr>
          <w:rFonts w:ascii="Times New Roman"/>
          <w:b w:val="false"/>
          <w:i w:val="false"/>
          <w:color w:val="000000"/>
          <w:sz w:val="28"/>
        </w:rPr>
        <w:t>
      557. Допускаются регенерация и повторное использование растворителей в тех же или других процессах при условии, что процедуры регенерации контролируются и проверяются для обеспечения соответствия растворителей соответствующим стандартам перед их повторным использованием или смешиванием с другими материалами, допустимыми к использованию.</w:t>
      </w:r>
    </w:p>
    <w:bookmarkEnd w:id="3345"/>
    <w:bookmarkStart w:name="z3449" w:id="3346"/>
    <w:p>
      <w:pPr>
        <w:spacing w:after="0"/>
        <w:ind w:left="0"/>
        <w:jc w:val="both"/>
      </w:pPr>
      <w:r>
        <w:rPr>
          <w:rFonts w:ascii="Times New Roman"/>
          <w:b w:val="false"/>
          <w:i w:val="false"/>
          <w:color w:val="000000"/>
          <w:sz w:val="28"/>
        </w:rPr>
        <w:t>
      558. Новые и регенерированные растворители и реактивы можно смешивать, если в ходе соответствующих испытаний показана их пригодность для всех технологических процессов, в которых они могут использоваться.</w:t>
      </w:r>
    </w:p>
    <w:bookmarkEnd w:id="3346"/>
    <w:bookmarkStart w:name="z3450" w:id="3347"/>
    <w:p>
      <w:pPr>
        <w:spacing w:after="0"/>
        <w:ind w:left="0"/>
        <w:jc w:val="both"/>
      </w:pPr>
      <w:r>
        <w:rPr>
          <w:rFonts w:ascii="Times New Roman"/>
          <w:b w:val="false"/>
          <w:i w:val="false"/>
          <w:color w:val="000000"/>
          <w:sz w:val="28"/>
        </w:rPr>
        <w:t>
      559. Использование регенерированных растворителей, маточных жидкостей и других регенерированных веществ оформляется документально.</w:t>
      </w:r>
    </w:p>
    <w:bookmarkEnd w:id="3347"/>
    <w:bookmarkStart w:name="z3451" w:id="3348"/>
    <w:p>
      <w:pPr>
        <w:spacing w:after="0"/>
        <w:ind w:left="0"/>
        <w:jc w:val="left"/>
      </w:pPr>
      <w:r>
        <w:rPr>
          <w:rFonts w:ascii="Times New Roman"/>
          <w:b/>
          <w:i w:val="false"/>
          <w:color w:val="000000"/>
        </w:rPr>
        <w:t xml:space="preserve"> Параграф 67. Возврат</w:t>
      </w:r>
    </w:p>
    <w:bookmarkEnd w:id="3348"/>
    <w:bookmarkStart w:name="z3452" w:id="3349"/>
    <w:p>
      <w:pPr>
        <w:spacing w:after="0"/>
        <w:ind w:left="0"/>
        <w:jc w:val="both"/>
      </w:pPr>
      <w:r>
        <w:rPr>
          <w:rFonts w:ascii="Times New Roman"/>
          <w:b w:val="false"/>
          <w:i w:val="false"/>
          <w:color w:val="000000"/>
          <w:sz w:val="28"/>
        </w:rPr>
        <w:t>
      560. Возвращенную промежуточную продукцию или возвращенные АФС следует маркировать соответствующим образом и содержать в условиях карантина.</w:t>
      </w:r>
    </w:p>
    <w:bookmarkEnd w:id="3349"/>
    <w:bookmarkStart w:name="z3453" w:id="3350"/>
    <w:p>
      <w:pPr>
        <w:spacing w:after="0"/>
        <w:ind w:left="0"/>
        <w:jc w:val="both"/>
      </w:pPr>
      <w:r>
        <w:rPr>
          <w:rFonts w:ascii="Times New Roman"/>
          <w:b w:val="false"/>
          <w:i w:val="false"/>
          <w:color w:val="000000"/>
          <w:sz w:val="28"/>
        </w:rPr>
        <w:t>
      561. Если состояние контейнеров (упаковки) или условия, которых хранились или транспортировались промежуточная продукция или АФС до или в процессе их возврата, вызывают сомнения относительно качества промежуточной продукции или АФС, то возвращенная промежуточная продукция или возвращенные АФС подлежат повторной обработке, переработке или уничтожению.</w:t>
      </w:r>
    </w:p>
    <w:bookmarkEnd w:id="3350"/>
    <w:bookmarkStart w:name="z3454" w:id="3351"/>
    <w:p>
      <w:pPr>
        <w:spacing w:after="0"/>
        <w:ind w:left="0"/>
        <w:jc w:val="both"/>
      </w:pPr>
      <w:r>
        <w:rPr>
          <w:rFonts w:ascii="Times New Roman"/>
          <w:b w:val="false"/>
          <w:i w:val="false"/>
          <w:color w:val="000000"/>
          <w:sz w:val="28"/>
        </w:rPr>
        <w:t>
      562. Следует вести записи возврата промежуточной продукции или АФС. Для каждого возврата в документации следует указать:</w:t>
      </w:r>
    </w:p>
    <w:bookmarkEnd w:id="3351"/>
    <w:bookmarkStart w:name="z3455" w:id="3352"/>
    <w:p>
      <w:pPr>
        <w:spacing w:after="0"/>
        <w:ind w:left="0"/>
        <w:jc w:val="both"/>
      </w:pPr>
      <w:r>
        <w:rPr>
          <w:rFonts w:ascii="Times New Roman"/>
          <w:b w:val="false"/>
          <w:i w:val="false"/>
          <w:color w:val="000000"/>
          <w:sz w:val="28"/>
        </w:rPr>
        <w:t>
      1) наименование и адрес грузополучателя;</w:t>
      </w:r>
    </w:p>
    <w:bookmarkEnd w:id="3352"/>
    <w:bookmarkStart w:name="z3456" w:id="3353"/>
    <w:p>
      <w:pPr>
        <w:spacing w:after="0"/>
        <w:ind w:left="0"/>
        <w:jc w:val="both"/>
      </w:pPr>
      <w:r>
        <w:rPr>
          <w:rFonts w:ascii="Times New Roman"/>
          <w:b w:val="false"/>
          <w:i w:val="false"/>
          <w:color w:val="000000"/>
          <w:sz w:val="28"/>
        </w:rPr>
        <w:t>
      2) наименование промежуточной продукции или АФС, номер серии и возвращенное количество промежуточной продукции или АФС;</w:t>
      </w:r>
    </w:p>
    <w:bookmarkEnd w:id="3353"/>
    <w:bookmarkStart w:name="z3457" w:id="3354"/>
    <w:p>
      <w:pPr>
        <w:spacing w:after="0"/>
        <w:ind w:left="0"/>
        <w:jc w:val="both"/>
      </w:pPr>
      <w:r>
        <w:rPr>
          <w:rFonts w:ascii="Times New Roman"/>
          <w:b w:val="false"/>
          <w:i w:val="false"/>
          <w:color w:val="000000"/>
          <w:sz w:val="28"/>
        </w:rPr>
        <w:t>
      3) причину возврата;</w:t>
      </w:r>
    </w:p>
    <w:bookmarkEnd w:id="3354"/>
    <w:bookmarkStart w:name="z3458" w:id="3355"/>
    <w:p>
      <w:pPr>
        <w:spacing w:after="0"/>
        <w:ind w:left="0"/>
        <w:jc w:val="both"/>
      </w:pPr>
      <w:r>
        <w:rPr>
          <w:rFonts w:ascii="Times New Roman"/>
          <w:b w:val="false"/>
          <w:i w:val="false"/>
          <w:color w:val="000000"/>
          <w:sz w:val="28"/>
        </w:rPr>
        <w:t>
      указание на использование или уничтожение возвращенной промежуточной продукции или АФС.</w:t>
      </w:r>
    </w:p>
    <w:bookmarkEnd w:id="3355"/>
    <w:bookmarkStart w:name="z3459" w:id="3356"/>
    <w:p>
      <w:pPr>
        <w:spacing w:after="0"/>
        <w:ind w:left="0"/>
        <w:jc w:val="left"/>
      </w:pPr>
      <w:r>
        <w:rPr>
          <w:rFonts w:ascii="Times New Roman"/>
          <w:b/>
          <w:i w:val="false"/>
          <w:color w:val="000000"/>
        </w:rPr>
        <w:t xml:space="preserve"> Параграф 68. Претензии и отзывы</w:t>
      </w:r>
    </w:p>
    <w:bookmarkEnd w:id="3356"/>
    <w:bookmarkStart w:name="z3460" w:id="3357"/>
    <w:p>
      <w:pPr>
        <w:spacing w:after="0"/>
        <w:ind w:left="0"/>
        <w:jc w:val="both"/>
      </w:pPr>
      <w:r>
        <w:rPr>
          <w:rFonts w:ascii="Times New Roman"/>
          <w:b w:val="false"/>
          <w:i w:val="false"/>
          <w:color w:val="000000"/>
          <w:sz w:val="28"/>
        </w:rPr>
        <w:t>
      563. Все претензии к качеству, полученные в устной или письменной форме, оформлены документально и расследованы согласно письменной инструкции.</w:t>
      </w:r>
    </w:p>
    <w:bookmarkEnd w:id="3357"/>
    <w:bookmarkStart w:name="z3461" w:id="3358"/>
    <w:p>
      <w:pPr>
        <w:spacing w:after="0"/>
        <w:ind w:left="0"/>
        <w:jc w:val="both"/>
      </w:pPr>
      <w:r>
        <w:rPr>
          <w:rFonts w:ascii="Times New Roman"/>
          <w:b w:val="false"/>
          <w:i w:val="false"/>
          <w:color w:val="000000"/>
          <w:sz w:val="28"/>
        </w:rPr>
        <w:t>
      564. Записи рассмотрения претензий содержат:</w:t>
      </w:r>
    </w:p>
    <w:bookmarkEnd w:id="3358"/>
    <w:bookmarkStart w:name="z3462" w:id="3359"/>
    <w:p>
      <w:pPr>
        <w:spacing w:after="0"/>
        <w:ind w:left="0"/>
        <w:jc w:val="both"/>
      </w:pPr>
      <w:r>
        <w:rPr>
          <w:rFonts w:ascii="Times New Roman"/>
          <w:b w:val="false"/>
          <w:i w:val="false"/>
          <w:color w:val="000000"/>
          <w:sz w:val="28"/>
        </w:rPr>
        <w:t>
      1) наименование, адрес и номер телефона лица, предъявившего претензию;</w:t>
      </w:r>
    </w:p>
    <w:bookmarkEnd w:id="3359"/>
    <w:bookmarkStart w:name="z3463" w:id="3360"/>
    <w:p>
      <w:pPr>
        <w:spacing w:after="0"/>
        <w:ind w:left="0"/>
        <w:jc w:val="both"/>
      </w:pPr>
      <w:r>
        <w:rPr>
          <w:rFonts w:ascii="Times New Roman"/>
          <w:b w:val="false"/>
          <w:i w:val="false"/>
          <w:color w:val="000000"/>
          <w:sz w:val="28"/>
        </w:rPr>
        <w:t>
      2) фамилия, имя, отчество (при наличии) лица, предъявившего претензию, его должность (при наличии);</w:t>
      </w:r>
    </w:p>
    <w:bookmarkEnd w:id="3360"/>
    <w:bookmarkStart w:name="z3464" w:id="3361"/>
    <w:p>
      <w:pPr>
        <w:spacing w:after="0"/>
        <w:ind w:left="0"/>
        <w:jc w:val="both"/>
      </w:pPr>
      <w:r>
        <w:rPr>
          <w:rFonts w:ascii="Times New Roman"/>
          <w:b w:val="false"/>
          <w:i w:val="false"/>
          <w:color w:val="000000"/>
          <w:sz w:val="28"/>
        </w:rPr>
        <w:t>
      3) суть претензии (включая наименование и номер серии АФС);</w:t>
      </w:r>
    </w:p>
    <w:bookmarkEnd w:id="3361"/>
    <w:bookmarkStart w:name="z3465" w:id="3362"/>
    <w:p>
      <w:pPr>
        <w:spacing w:after="0"/>
        <w:ind w:left="0"/>
        <w:jc w:val="both"/>
      </w:pPr>
      <w:r>
        <w:rPr>
          <w:rFonts w:ascii="Times New Roman"/>
          <w:b w:val="false"/>
          <w:i w:val="false"/>
          <w:color w:val="000000"/>
          <w:sz w:val="28"/>
        </w:rPr>
        <w:t>
      4) дату поступления претензии;</w:t>
      </w:r>
    </w:p>
    <w:bookmarkEnd w:id="3362"/>
    <w:bookmarkStart w:name="z3466" w:id="3363"/>
    <w:p>
      <w:pPr>
        <w:spacing w:after="0"/>
        <w:ind w:left="0"/>
        <w:jc w:val="both"/>
      </w:pPr>
      <w:r>
        <w:rPr>
          <w:rFonts w:ascii="Times New Roman"/>
          <w:b w:val="false"/>
          <w:i w:val="false"/>
          <w:color w:val="000000"/>
          <w:sz w:val="28"/>
        </w:rPr>
        <w:t>
      5) первоначально принятые меры с указанием даты их осуществления и лица, принявшего меры;</w:t>
      </w:r>
    </w:p>
    <w:bookmarkEnd w:id="3363"/>
    <w:bookmarkStart w:name="z3467" w:id="3364"/>
    <w:p>
      <w:pPr>
        <w:spacing w:after="0"/>
        <w:ind w:left="0"/>
        <w:jc w:val="both"/>
      </w:pPr>
      <w:r>
        <w:rPr>
          <w:rFonts w:ascii="Times New Roman"/>
          <w:b w:val="false"/>
          <w:i w:val="false"/>
          <w:color w:val="000000"/>
          <w:sz w:val="28"/>
        </w:rPr>
        <w:t>
      6) любые последующие действия, связанные с предъявленной претензией;</w:t>
      </w:r>
    </w:p>
    <w:bookmarkEnd w:id="3364"/>
    <w:bookmarkStart w:name="z3468" w:id="3365"/>
    <w:p>
      <w:pPr>
        <w:spacing w:after="0"/>
        <w:ind w:left="0"/>
        <w:jc w:val="both"/>
      </w:pPr>
      <w:r>
        <w:rPr>
          <w:rFonts w:ascii="Times New Roman"/>
          <w:b w:val="false"/>
          <w:i w:val="false"/>
          <w:color w:val="000000"/>
          <w:sz w:val="28"/>
        </w:rPr>
        <w:t>
      7) ответ, направленный лицу, предъявившему претензию (включая дату направления ответа);</w:t>
      </w:r>
    </w:p>
    <w:bookmarkEnd w:id="3365"/>
    <w:bookmarkStart w:name="z3469" w:id="3366"/>
    <w:p>
      <w:pPr>
        <w:spacing w:after="0"/>
        <w:ind w:left="0"/>
        <w:jc w:val="both"/>
      </w:pPr>
      <w:r>
        <w:rPr>
          <w:rFonts w:ascii="Times New Roman"/>
          <w:b w:val="false"/>
          <w:i w:val="false"/>
          <w:color w:val="000000"/>
          <w:sz w:val="28"/>
        </w:rPr>
        <w:t>
      8) окончательное решение, принятое в отношении серии или партии промежуточной продукции или АФС в связи с предъявленной претензией.</w:t>
      </w:r>
    </w:p>
    <w:bookmarkEnd w:id="3366"/>
    <w:bookmarkStart w:name="z3470" w:id="3367"/>
    <w:p>
      <w:pPr>
        <w:spacing w:after="0"/>
        <w:ind w:left="0"/>
        <w:jc w:val="both"/>
      </w:pPr>
      <w:r>
        <w:rPr>
          <w:rFonts w:ascii="Times New Roman"/>
          <w:b w:val="false"/>
          <w:i w:val="false"/>
          <w:color w:val="000000"/>
          <w:sz w:val="28"/>
        </w:rPr>
        <w:t>
      565. Записи рассмотрения претензий следует сохранять с целью оценки тенденций, частоты поступления претензий и их значимости для принятия дополнительного и при необходимости немедленного корректирующего действия.</w:t>
      </w:r>
    </w:p>
    <w:bookmarkEnd w:id="3367"/>
    <w:bookmarkStart w:name="z3471" w:id="3368"/>
    <w:p>
      <w:pPr>
        <w:spacing w:after="0"/>
        <w:ind w:left="0"/>
        <w:jc w:val="both"/>
      </w:pPr>
      <w:r>
        <w:rPr>
          <w:rFonts w:ascii="Times New Roman"/>
          <w:b w:val="false"/>
          <w:i w:val="false"/>
          <w:color w:val="000000"/>
          <w:sz w:val="28"/>
        </w:rPr>
        <w:t>
      566. Принимают в форме письменного документа процедуру для определения обстоятельств, при которых следует рассматривать вопрос об отзыве промежуточной продукции или АФС.</w:t>
      </w:r>
    </w:p>
    <w:bookmarkEnd w:id="3368"/>
    <w:bookmarkStart w:name="z3472" w:id="3369"/>
    <w:p>
      <w:pPr>
        <w:spacing w:after="0"/>
        <w:ind w:left="0"/>
        <w:jc w:val="both"/>
      </w:pPr>
      <w:r>
        <w:rPr>
          <w:rFonts w:ascii="Times New Roman"/>
          <w:b w:val="false"/>
          <w:i w:val="false"/>
          <w:color w:val="000000"/>
          <w:sz w:val="28"/>
        </w:rPr>
        <w:t>
      567. Процедура отзыва определяет, кто принимает участие в оценке информации, как следует начинать процедуру отзыва, кого следует проинформировать об отзыве промежуточной продукции или АФС и как следует поступать с отозванной промежуточной продукцией или АФС.</w:t>
      </w:r>
    </w:p>
    <w:bookmarkEnd w:id="3369"/>
    <w:bookmarkStart w:name="z3473" w:id="3370"/>
    <w:p>
      <w:pPr>
        <w:spacing w:after="0"/>
        <w:ind w:left="0"/>
        <w:jc w:val="both"/>
      </w:pPr>
      <w:r>
        <w:rPr>
          <w:rFonts w:ascii="Times New Roman"/>
          <w:b w:val="false"/>
          <w:i w:val="false"/>
          <w:color w:val="000000"/>
          <w:sz w:val="28"/>
        </w:rPr>
        <w:t>
      568. В случае серьезной или потенциально угрожающей жизни ситуации следует проинформировать об этом уполномоченные органы, местные и (или) международные уполномоченные органы, а также при необходимости дальнейших совместных действий обратиться к ним за консультацией.</w:t>
      </w:r>
    </w:p>
    <w:bookmarkEnd w:id="3370"/>
    <w:bookmarkStart w:name="z3474" w:id="3371"/>
    <w:p>
      <w:pPr>
        <w:spacing w:after="0"/>
        <w:ind w:left="0"/>
        <w:jc w:val="left"/>
      </w:pPr>
      <w:r>
        <w:rPr>
          <w:rFonts w:ascii="Times New Roman"/>
          <w:b/>
          <w:i w:val="false"/>
          <w:color w:val="000000"/>
        </w:rPr>
        <w:t xml:space="preserve"> Параграф 69. Производство по контракту  (включая лабораторный контроль качества)</w:t>
      </w:r>
    </w:p>
    <w:bookmarkEnd w:id="3371"/>
    <w:bookmarkStart w:name="z3475" w:id="3372"/>
    <w:p>
      <w:pPr>
        <w:spacing w:after="0"/>
        <w:ind w:left="0"/>
        <w:jc w:val="both"/>
      </w:pPr>
      <w:r>
        <w:rPr>
          <w:rFonts w:ascii="Times New Roman"/>
          <w:b w:val="false"/>
          <w:i w:val="false"/>
          <w:color w:val="000000"/>
          <w:sz w:val="28"/>
        </w:rPr>
        <w:t>
      569. Работающие по контрактам производители, а также осуществляющие контроль качества лаборатории, соблюдают требования настоящего Стандарта. Следует уделить особое внимание предотвращению перекрестной контаминации и обеспечению прослеживаемости.</w:t>
      </w:r>
    </w:p>
    <w:bookmarkEnd w:id="3372"/>
    <w:bookmarkStart w:name="z3476" w:id="3373"/>
    <w:p>
      <w:pPr>
        <w:spacing w:after="0"/>
        <w:ind w:left="0"/>
        <w:jc w:val="both"/>
      </w:pPr>
      <w:r>
        <w:rPr>
          <w:rFonts w:ascii="Times New Roman"/>
          <w:b w:val="false"/>
          <w:i w:val="false"/>
          <w:color w:val="000000"/>
          <w:sz w:val="28"/>
        </w:rPr>
        <w:t>
      570. Производитель проводит оценку конкретных операций, выполняемых на участках, выполняющих по его заказу работы по контракту других производителей, а также осуществляющих контроль качества лабораторий, на соответствие требованиям настоящего Стандарта.</w:t>
      </w:r>
    </w:p>
    <w:bookmarkEnd w:id="3373"/>
    <w:bookmarkStart w:name="z3477" w:id="3374"/>
    <w:p>
      <w:pPr>
        <w:spacing w:after="0"/>
        <w:ind w:left="0"/>
        <w:jc w:val="both"/>
      </w:pPr>
      <w:r>
        <w:rPr>
          <w:rFonts w:ascii="Times New Roman"/>
          <w:b w:val="false"/>
          <w:i w:val="false"/>
          <w:color w:val="000000"/>
          <w:sz w:val="28"/>
        </w:rPr>
        <w:t>
      571. У производителя хранится оригинал заключенного письменной форме договора (контракта или официального соглашения) между заказчиком и исполнителем, в котором подробно определены обязанности каждой из сторон по соблюдению требований настоящего Стандарта, включая мероприятия в отношении качества.</w:t>
      </w:r>
    </w:p>
    <w:bookmarkEnd w:id="3374"/>
    <w:bookmarkStart w:name="z3478" w:id="3375"/>
    <w:p>
      <w:pPr>
        <w:spacing w:after="0"/>
        <w:ind w:left="0"/>
        <w:jc w:val="both"/>
      </w:pPr>
      <w:r>
        <w:rPr>
          <w:rFonts w:ascii="Times New Roman"/>
          <w:b w:val="false"/>
          <w:i w:val="false"/>
          <w:color w:val="000000"/>
          <w:sz w:val="28"/>
        </w:rPr>
        <w:t>
      572. Контрактом предусмотрено право заказчика проводить аудит производства исполнителя на соответствие требованиям настоящего Стандарта.</w:t>
      </w:r>
    </w:p>
    <w:bookmarkEnd w:id="3375"/>
    <w:bookmarkStart w:name="z3479" w:id="3376"/>
    <w:p>
      <w:pPr>
        <w:spacing w:after="0"/>
        <w:ind w:left="0"/>
        <w:jc w:val="both"/>
      </w:pPr>
      <w:r>
        <w:rPr>
          <w:rFonts w:ascii="Times New Roman"/>
          <w:b w:val="false"/>
          <w:i w:val="false"/>
          <w:color w:val="000000"/>
          <w:sz w:val="28"/>
        </w:rPr>
        <w:t>
      573. Если разрешено выполнение работ по субподрядам, то исполнитель не передает третьей стороне какую-либо часть доверенных ему по контракту работ без предварительной оценки и заключения дополнительных соглашений с производителем, по заказу которого выполняются работы.</w:t>
      </w:r>
    </w:p>
    <w:bookmarkEnd w:id="3376"/>
    <w:bookmarkStart w:name="z3480" w:id="3377"/>
    <w:p>
      <w:pPr>
        <w:spacing w:after="0"/>
        <w:ind w:left="0"/>
        <w:jc w:val="both"/>
      </w:pPr>
      <w:r>
        <w:rPr>
          <w:rFonts w:ascii="Times New Roman"/>
          <w:b w:val="false"/>
          <w:i w:val="false"/>
          <w:color w:val="000000"/>
          <w:sz w:val="28"/>
        </w:rPr>
        <w:t>
      574. Производственные и лабораторные записи следует хранить на участке, на котором выполнялись работы. Производителем организована возможность доступа к указанным записям.</w:t>
      </w:r>
    </w:p>
    <w:bookmarkEnd w:id="3377"/>
    <w:bookmarkStart w:name="z3481" w:id="3378"/>
    <w:p>
      <w:pPr>
        <w:spacing w:after="0"/>
        <w:ind w:left="0"/>
        <w:jc w:val="both"/>
      </w:pPr>
      <w:r>
        <w:rPr>
          <w:rFonts w:ascii="Times New Roman"/>
          <w:b w:val="false"/>
          <w:i w:val="false"/>
          <w:color w:val="000000"/>
          <w:sz w:val="28"/>
        </w:rPr>
        <w:t>
      575. Не допускается внесение изменений в технологический процесс, методики испытаний, спецификации или другие требования контракта, а также замена или модернизация оборудования, относящиеся к предмету контракта, без уведомления заказчика и утверждения им изменений.</w:t>
      </w:r>
    </w:p>
    <w:bookmarkEnd w:id="3378"/>
    <w:bookmarkStart w:name="z3482" w:id="3379"/>
    <w:p>
      <w:pPr>
        <w:spacing w:after="0"/>
        <w:ind w:left="0"/>
        <w:jc w:val="both"/>
      </w:pPr>
      <w:r>
        <w:rPr>
          <w:rFonts w:ascii="Times New Roman"/>
          <w:b w:val="false"/>
          <w:i w:val="false"/>
          <w:color w:val="000000"/>
          <w:sz w:val="28"/>
        </w:rPr>
        <w:t>
      Поставщики или лица, действующие от их имени (агенты, брокеры и трейдеры), дистрибьюторы, предприятия по переупаковке или перемаркировке</w:t>
      </w:r>
    </w:p>
    <w:bookmarkEnd w:id="3379"/>
    <w:bookmarkStart w:name="z3483" w:id="3380"/>
    <w:p>
      <w:pPr>
        <w:spacing w:after="0"/>
        <w:ind w:left="0"/>
        <w:jc w:val="left"/>
      </w:pPr>
      <w:r>
        <w:rPr>
          <w:rFonts w:ascii="Times New Roman"/>
          <w:b/>
          <w:i w:val="false"/>
          <w:color w:val="000000"/>
        </w:rPr>
        <w:t xml:space="preserve"> Параграф 70. Область применения</w:t>
      </w:r>
    </w:p>
    <w:bookmarkEnd w:id="3380"/>
    <w:bookmarkStart w:name="z3484" w:id="3381"/>
    <w:p>
      <w:pPr>
        <w:spacing w:after="0"/>
        <w:ind w:left="0"/>
        <w:jc w:val="both"/>
      </w:pPr>
      <w:r>
        <w:rPr>
          <w:rFonts w:ascii="Times New Roman"/>
          <w:b w:val="false"/>
          <w:i w:val="false"/>
          <w:color w:val="000000"/>
          <w:sz w:val="28"/>
        </w:rPr>
        <w:t>
      576. Настоящий раздел относится к лицам и организациям, не являющимся первоначальным производителем, которые могут приобретать, переупаковывать, перемаркировывать, поставлять (продавать) и хранить АФС или промежуточную продукцию.</w:t>
      </w:r>
    </w:p>
    <w:bookmarkEnd w:id="3381"/>
    <w:bookmarkStart w:name="z3485" w:id="3382"/>
    <w:p>
      <w:pPr>
        <w:spacing w:after="0"/>
        <w:ind w:left="0"/>
        <w:jc w:val="both"/>
      </w:pPr>
      <w:r>
        <w:rPr>
          <w:rFonts w:ascii="Times New Roman"/>
          <w:b w:val="false"/>
          <w:i w:val="false"/>
          <w:color w:val="000000"/>
          <w:sz w:val="28"/>
        </w:rPr>
        <w:t>
      577. Все поставщики или лица, действующие от их имени, дистрибьюторы, предприятия по переупаковке или перемаркировке соблюдают требования настоящего Стандарта.</w:t>
      </w:r>
    </w:p>
    <w:bookmarkEnd w:id="3382"/>
    <w:bookmarkStart w:name="z3486" w:id="3383"/>
    <w:p>
      <w:pPr>
        <w:spacing w:after="0"/>
        <w:ind w:left="0"/>
        <w:jc w:val="left"/>
      </w:pPr>
      <w:r>
        <w:rPr>
          <w:rFonts w:ascii="Times New Roman"/>
          <w:b/>
          <w:i w:val="false"/>
          <w:color w:val="000000"/>
        </w:rPr>
        <w:t xml:space="preserve"> Параграф 71. Прослеживаемость реализованных АФС и промежуточной продукции</w:t>
      </w:r>
    </w:p>
    <w:bookmarkEnd w:id="3383"/>
    <w:bookmarkStart w:name="z3487" w:id="3384"/>
    <w:p>
      <w:pPr>
        <w:spacing w:after="0"/>
        <w:ind w:left="0"/>
        <w:jc w:val="both"/>
      </w:pPr>
      <w:r>
        <w:rPr>
          <w:rFonts w:ascii="Times New Roman"/>
          <w:b w:val="false"/>
          <w:i w:val="false"/>
          <w:color w:val="000000"/>
          <w:sz w:val="28"/>
        </w:rPr>
        <w:t>
      578. Поставщики или лица, действующие от их имени, дистрибьюторы, предприятия по переупаковке или перемаркировке обеспечивают полную прослеживаемость поставляемых ими АФС и промежуточной продукции. Для этого оформлены и сохранены следующие документы (документально зафиксированные данные):</w:t>
      </w:r>
    </w:p>
    <w:bookmarkEnd w:id="3384"/>
    <w:bookmarkStart w:name="z3488" w:id="3385"/>
    <w:p>
      <w:pPr>
        <w:spacing w:after="0"/>
        <w:ind w:left="0"/>
        <w:jc w:val="both"/>
      </w:pPr>
      <w:r>
        <w:rPr>
          <w:rFonts w:ascii="Times New Roman"/>
          <w:b w:val="false"/>
          <w:i w:val="false"/>
          <w:color w:val="000000"/>
          <w:sz w:val="28"/>
        </w:rPr>
        <w:t>
      1) наименование первоначального производителя;</w:t>
      </w:r>
    </w:p>
    <w:bookmarkEnd w:id="3385"/>
    <w:bookmarkStart w:name="z3489" w:id="3386"/>
    <w:p>
      <w:pPr>
        <w:spacing w:after="0"/>
        <w:ind w:left="0"/>
        <w:jc w:val="both"/>
      </w:pPr>
      <w:r>
        <w:rPr>
          <w:rFonts w:ascii="Times New Roman"/>
          <w:b w:val="false"/>
          <w:i w:val="false"/>
          <w:color w:val="000000"/>
          <w:sz w:val="28"/>
        </w:rPr>
        <w:t>
      2) адрес первоначального производителя;</w:t>
      </w:r>
    </w:p>
    <w:bookmarkEnd w:id="3386"/>
    <w:bookmarkStart w:name="z3490" w:id="3387"/>
    <w:p>
      <w:pPr>
        <w:spacing w:after="0"/>
        <w:ind w:left="0"/>
        <w:jc w:val="both"/>
      </w:pPr>
      <w:r>
        <w:rPr>
          <w:rFonts w:ascii="Times New Roman"/>
          <w:b w:val="false"/>
          <w:i w:val="false"/>
          <w:color w:val="000000"/>
          <w:sz w:val="28"/>
        </w:rPr>
        <w:t>
      3) заказы на поставку;</w:t>
      </w:r>
    </w:p>
    <w:bookmarkEnd w:id="3387"/>
    <w:bookmarkStart w:name="z3491" w:id="3388"/>
    <w:p>
      <w:pPr>
        <w:spacing w:after="0"/>
        <w:ind w:left="0"/>
        <w:jc w:val="both"/>
      </w:pPr>
      <w:r>
        <w:rPr>
          <w:rFonts w:ascii="Times New Roman"/>
          <w:b w:val="false"/>
          <w:i w:val="false"/>
          <w:color w:val="000000"/>
          <w:sz w:val="28"/>
        </w:rPr>
        <w:t>
      4) накладные (транспортные документы);</w:t>
      </w:r>
    </w:p>
    <w:bookmarkEnd w:id="3388"/>
    <w:bookmarkStart w:name="z3492" w:id="3389"/>
    <w:p>
      <w:pPr>
        <w:spacing w:after="0"/>
        <w:ind w:left="0"/>
        <w:jc w:val="both"/>
      </w:pPr>
      <w:r>
        <w:rPr>
          <w:rFonts w:ascii="Times New Roman"/>
          <w:b w:val="false"/>
          <w:i w:val="false"/>
          <w:color w:val="000000"/>
          <w:sz w:val="28"/>
        </w:rPr>
        <w:t>
      5) документация о приемке;</w:t>
      </w:r>
    </w:p>
    <w:bookmarkEnd w:id="3389"/>
    <w:bookmarkStart w:name="z3493" w:id="3390"/>
    <w:p>
      <w:pPr>
        <w:spacing w:after="0"/>
        <w:ind w:left="0"/>
        <w:jc w:val="both"/>
      </w:pPr>
      <w:r>
        <w:rPr>
          <w:rFonts w:ascii="Times New Roman"/>
          <w:b w:val="false"/>
          <w:i w:val="false"/>
          <w:color w:val="000000"/>
          <w:sz w:val="28"/>
        </w:rPr>
        <w:t>
      6) наименование или обозначение АФС или промежуточной продукции;</w:t>
      </w:r>
    </w:p>
    <w:bookmarkEnd w:id="3390"/>
    <w:bookmarkStart w:name="z3494" w:id="3391"/>
    <w:p>
      <w:pPr>
        <w:spacing w:after="0"/>
        <w:ind w:left="0"/>
        <w:jc w:val="both"/>
      </w:pPr>
      <w:r>
        <w:rPr>
          <w:rFonts w:ascii="Times New Roman"/>
          <w:b w:val="false"/>
          <w:i w:val="false"/>
          <w:color w:val="000000"/>
          <w:sz w:val="28"/>
        </w:rPr>
        <w:t>
      7) номер серии, присвоенный производителем;</w:t>
      </w:r>
    </w:p>
    <w:bookmarkEnd w:id="3391"/>
    <w:bookmarkStart w:name="z3495" w:id="3392"/>
    <w:p>
      <w:pPr>
        <w:spacing w:after="0"/>
        <w:ind w:left="0"/>
        <w:jc w:val="both"/>
      </w:pPr>
      <w:r>
        <w:rPr>
          <w:rFonts w:ascii="Times New Roman"/>
          <w:b w:val="false"/>
          <w:i w:val="false"/>
          <w:color w:val="000000"/>
          <w:sz w:val="28"/>
        </w:rPr>
        <w:t>
      8) записи транспортирования и реализации;</w:t>
      </w:r>
    </w:p>
    <w:bookmarkEnd w:id="3392"/>
    <w:bookmarkStart w:name="z3496" w:id="3393"/>
    <w:p>
      <w:pPr>
        <w:spacing w:after="0"/>
        <w:ind w:left="0"/>
        <w:jc w:val="both"/>
      </w:pPr>
      <w:r>
        <w:rPr>
          <w:rFonts w:ascii="Times New Roman"/>
          <w:b w:val="false"/>
          <w:i w:val="false"/>
          <w:color w:val="000000"/>
          <w:sz w:val="28"/>
        </w:rPr>
        <w:t>
      9) оригиналы сертификатов анализа, включая сертификаты, полученные после переупаковки или перемаркировки, а также сертификаты, полученные от первоначального производителя;</w:t>
      </w:r>
    </w:p>
    <w:bookmarkEnd w:id="3393"/>
    <w:bookmarkStart w:name="z3497" w:id="3394"/>
    <w:p>
      <w:pPr>
        <w:spacing w:after="0"/>
        <w:ind w:left="0"/>
        <w:jc w:val="both"/>
      </w:pPr>
      <w:r>
        <w:rPr>
          <w:rFonts w:ascii="Times New Roman"/>
          <w:b w:val="false"/>
          <w:i w:val="false"/>
          <w:color w:val="000000"/>
          <w:sz w:val="28"/>
        </w:rPr>
        <w:t>
      10) дата проведения повторных испытаний или дату истечения срока годности.</w:t>
      </w:r>
    </w:p>
    <w:bookmarkEnd w:id="3394"/>
    <w:bookmarkStart w:name="z3498" w:id="3395"/>
    <w:p>
      <w:pPr>
        <w:spacing w:after="0"/>
        <w:ind w:left="0"/>
        <w:jc w:val="left"/>
      </w:pPr>
      <w:r>
        <w:rPr>
          <w:rFonts w:ascii="Times New Roman"/>
          <w:b/>
          <w:i w:val="false"/>
          <w:color w:val="000000"/>
        </w:rPr>
        <w:t xml:space="preserve"> Параграф. 72 Управление качеством</w:t>
      </w:r>
    </w:p>
    <w:bookmarkEnd w:id="3395"/>
    <w:bookmarkStart w:name="z3499" w:id="3396"/>
    <w:p>
      <w:pPr>
        <w:spacing w:after="0"/>
        <w:ind w:left="0"/>
        <w:jc w:val="both"/>
      </w:pPr>
      <w:r>
        <w:rPr>
          <w:rFonts w:ascii="Times New Roman"/>
          <w:b w:val="false"/>
          <w:i w:val="false"/>
          <w:color w:val="000000"/>
          <w:sz w:val="28"/>
        </w:rPr>
        <w:t>
      579. Поставщики или лица, действующие от их имени, дистрибьюторы, предприятия по переупаковке или перемаркировке создают, документируют и внедряют эффективную систему правления качеством, как указано в разделе 2 настоящей части, а также вести необходимую документацию.</w:t>
      </w:r>
    </w:p>
    <w:bookmarkEnd w:id="3396"/>
    <w:bookmarkStart w:name="z3500" w:id="3397"/>
    <w:p>
      <w:pPr>
        <w:spacing w:after="0"/>
        <w:ind w:left="0"/>
        <w:jc w:val="left"/>
      </w:pPr>
      <w:r>
        <w:rPr>
          <w:rFonts w:ascii="Times New Roman"/>
          <w:b/>
          <w:i w:val="false"/>
          <w:color w:val="000000"/>
        </w:rPr>
        <w:t xml:space="preserve"> Параграф 73. Переупаковка, перемаркировка и хранение АФС и промежуточной продукции</w:t>
      </w:r>
    </w:p>
    <w:bookmarkEnd w:id="3397"/>
    <w:bookmarkStart w:name="z3501" w:id="3398"/>
    <w:p>
      <w:pPr>
        <w:spacing w:after="0"/>
        <w:ind w:left="0"/>
        <w:jc w:val="both"/>
      </w:pPr>
      <w:r>
        <w:rPr>
          <w:rFonts w:ascii="Times New Roman"/>
          <w:b w:val="false"/>
          <w:i w:val="false"/>
          <w:color w:val="000000"/>
          <w:sz w:val="28"/>
        </w:rPr>
        <w:t>
      580. Переупаковку, перемаркировку и хранение АФС и промежуточной продукции следует осуществлять в соответствии с требованиями настоящего Стандарта, чтобы избежать перепутывания или утраты идентичности либо чистоты АФС или промежуточной продукции.</w:t>
      </w:r>
    </w:p>
    <w:bookmarkEnd w:id="3398"/>
    <w:bookmarkStart w:name="z3502" w:id="3399"/>
    <w:p>
      <w:pPr>
        <w:spacing w:after="0"/>
        <w:ind w:left="0"/>
        <w:jc w:val="both"/>
      </w:pPr>
      <w:r>
        <w:rPr>
          <w:rFonts w:ascii="Times New Roman"/>
          <w:b w:val="false"/>
          <w:i w:val="false"/>
          <w:color w:val="000000"/>
          <w:sz w:val="28"/>
        </w:rPr>
        <w:t>
      581. Переупаковку следует осуществлять в соответствующих условиях производственной среды для предотвращения контаминации или перекрестной контаминации.</w:t>
      </w:r>
    </w:p>
    <w:bookmarkEnd w:id="3399"/>
    <w:bookmarkStart w:name="z3503" w:id="3400"/>
    <w:p>
      <w:pPr>
        <w:spacing w:after="0"/>
        <w:ind w:left="0"/>
        <w:jc w:val="left"/>
      </w:pPr>
      <w:r>
        <w:rPr>
          <w:rFonts w:ascii="Times New Roman"/>
          <w:b/>
          <w:i w:val="false"/>
          <w:color w:val="000000"/>
        </w:rPr>
        <w:t xml:space="preserve"> Параграф 74. Стабильность</w:t>
      </w:r>
    </w:p>
    <w:bookmarkEnd w:id="3400"/>
    <w:bookmarkStart w:name="z3504" w:id="3401"/>
    <w:p>
      <w:pPr>
        <w:spacing w:after="0"/>
        <w:ind w:left="0"/>
        <w:jc w:val="both"/>
      </w:pPr>
      <w:r>
        <w:rPr>
          <w:rFonts w:ascii="Times New Roman"/>
          <w:b w:val="false"/>
          <w:i w:val="false"/>
          <w:color w:val="000000"/>
          <w:sz w:val="28"/>
        </w:rPr>
        <w:t>
      582. Если АФС или промежуточную продукцию переупаковывают в контейнеры (первичную упаковку), тип которых отличается от используемого производителем АФС или промежуточной продукции, то исследуются стабильность для обоснования установленной даты истечения срока годности или проведения повторных испытаний.</w:t>
      </w:r>
    </w:p>
    <w:bookmarkEnd w:id="3401"/>
    <w:bookmarkStart w:name="z3505" w:id="3402"/>
    <w:p>
      <w:pPr>
        <w:spacing w:after="0"/>
        <w:ind w:left="0"/>
        <w:jc w:val="left"/>
      </w:pPr>
      <w:r>
        <w:rPr>
          <w:rFonts w:ascii="Times New Roman"/>
          <w:b/>
          <w:i w:val="false"/>
          <w:color w:val="000000"/>
        </w:rPr>
        <w:t xml:space="preserve"> Параграф 75. Передача информации</w:t>
      </w:r>
    </w:p>
    <w:bookmarkEnd w:id="3402"/>
    <w:bookmarkStart w:name="z3506" w:id="3403"/>
    <w:p>
      <w:pPr>
        <w:spacing w:after="0"/>
        <w:ind w:left="0"/>
        <w:jc w:val="both"/>
      </w:pPr>
      <w:r>
        <w:rPr>
          <w:rFonts w:ascii="Times New Roman"/>
          <w:b w:val="false"/>
          <w:i w:val="false"/>
          <w:color w:val="000000"/>
          <w:sz w:val="28"/>
        </w:rPr>
        <w:t>
      583. Поставщики или лица, действующие от их имени, дистрибьюторы, предприятия по переупаковке или перемаркировке передают всю информацию от производителя АФС или промежуточной продукции потребителю и от потребителя - производителю АФС или промежуточной продукции в том случае, если она касается качества АФС или промежуточной продукции или решений, принятых уполномоченными органами в отношении данной АФС или промежуточной продукции.</w:t>
      </w:r>
    </w:p>
    <w:bookmarkEnd w:id="3403"/>
    <w:bookmarkStart w:name="z3507" w:id="3404"/>
    <w:p>
      <w:pPr>
        <w:spacing w:after="0"/>
        <w:ind w:left="0"/>
        <w:jc w:val="both"/>
      </w:pPr>
      <w:r>
        <w:rPr>
          <w:rFonts w:ascii="Times New Roman"/>
          <w:b w:val="false"/>
          <w:i w:val="false"/>
          <w:color w:val="000000"/>
          <w:sz w:val="28"/>
        </w:rPr>
        <w:t>
      584. Поставщики или лица, действующие от их имени, дистрибьюторы, предприятия по переупаковке и перемаркировке, поставляющие АФС или промежуточную продукцию потребителю, указывают наименование первоначального производителя АФС или промежуточной продукции и номер (номера) поставляемой серии.</w:t>
      </w:r>
    </w:p>
    <w:bookmarkEnd w:id="3404"/>
    <w:bookmarkStart w:name="z3508" w:id="3405"/>
    <w:p>
      <w:pPr>
        <w:spacing w:after="0"/>
        <w:ind w:left="0"/>
        <w:jc w:val="both"/>
      </w:pPr>
      <w:r>
        <w:rPr>
          <w:rFonts w:ascii="Times New Roman"/>
          <w:b w:val="false"/>
          <w:i w:val="false"/>
          <w:color w:val="000000"/>
          <w:sz w:val="28"/>
        </w:rPr>
        <w:t>
      585. Поставщик обязан также по запросу уполномоченных органов представить информацию о первоначальном производителе АФС или промежуточной продукции. Первоначальный производитель дает ответ уполномоченному органу непосредственно или через уполномоченных им посредников при наличии у них соответствующих полномочий).</w:t>
      </w:r>
    </w:p>
    <w:bookmarkEnd w:id="3405"/>
    <w:bookmarkStart w:name="z3509" w:id="3406"/>
    <w:p>
      <w:pPr>
        <w:spacing w:after="0"/>
        <w:ind w:left="0"/>
        <w:jc w:val="both"/>
      </w:pPr>
      <w:r>
        <w:rPr>
          <w:rFonts w:ascii="Times New Roman"/>
          <w:b w:val="false"/>
          <w:i w:val="false"/>
          <w:color w:val="000000"/>
          <w:sz w:val="28"/>
        </w:rPr>
        <w:t>
      586. Соблюдаются специальные требования отношении сертификатов анализа, указанные в пункте 478 настоящей части.</w:t>
      </w:r>
    </w:p>
    <w:bookmarkEnd w:id="3406"/>
    <w:bookmarkStart w:name="z3510" w:id="3407"/>
    <w:p>
      <w:pPr>
        <w:spacing w:after="0"/>
        <w:ind w:left="0"/>
        <w:jc w:val="left"/>
      </w:pPr>
      <w:r>
        <w:rPr>
          <w:rFonts w:ascii="Times New Roman"/>
          <w:b/>
          <w:i w:val="false"/>
          <w:color w:val="000000"/>
        </w:rPr>
        <w:t xml:space="preserve"> Параграф 76. Работа с претензиями и отзывами</w:t>
      </w:r>
    </w:p>
    <w:bookmarkEnd w:id="3407"/>
    <w:bookmarkStart w:name="z3511" w:id="3408"/>
    <w:p>
      <w:pPr>
        <w:spacing w:after="0"/>
        <w:ind w:left="0"/>
        <w:jc w:val="both"/>
      </w:pPr>
      <w:r>
        <w:rPr>
          <w:rFonts w:ascii="Times New Roman"/>
          <w:b w:val="false"/>
          <w:i w:val="false"/>
          <w:color w:val="000000"/>
          <w:sz w:val="28"/>
        </w:rPr>
        <w:t>
      587. Поставщики или лица, действующие от их имени, дистрибьюторы, предприятия по переупаковке или перемаркировке ведут записи рассмотрения претензий и отзывов, как указано в разделе 15 настоящей части, в отношении всех претензий и отзывов, которые относятся к сфере их деятельности.</w:t>
      </w:r>
    </w:p>
    <w:bookmarkEnd w:id="3408"/>
    <w:bookmarkStart w:name="z3512" w:id="3409"/>
    <w:p>
      <w:pPr>
        <w:spacing w:after="0"/>
        <w:ind w:left="0"/>
        <w:jc w:val="both"/>
      </w:pPr>
      <w:r>
        <w:rPr>
          <w:rFonts w:ascii="Times New Roman"/>
          <w:b w:val="false"/>
          <w:i w:val="false"/>
          <w:color w:val="000000"/>
          <w:sz w:val="28"/>
        </w:rPr>
        <w:t>
      588. При необходимости поставщики или лица, действующие от их имени, дистрибьюторы, предприятия по переупаковке или перемаркировке рассматривают претензию совместно с первоначальным производителем АФС или промежуточной продукции, чтобы определить, следует ли предпринимать дальнейшие действия совместно с другими потребителями, которые могли получить такие же АФС или промежуточную продукцию, либо с уполномоченным органом, либо со всеми заинтересованными сторонами. Расследование причины претензии или отзыва проводится соответствующей стороной, к сфере деятельности которой относятся претензия или отзыв, и оформляться документально.</w:t>
      </w:r>
    </w:p>
    <w:bookmarkEnd w:id="3409"/>
    <w:bookmarkStart w:name="z3513" w:id="3410"/>
    <w:p>
      <w:pPr>
        <w:spacing w:after="0"/>
        <w:ind w:left="0"/>
        <w:jc w:val="both"/>
      </w:pPr>
      <w:r>
        <w:rPr>
          <w:rFonts w:ascii="Times New Roman"/>
          <w:b w:val="false"/>
          <w:i w:val="false"/>
          <w:color w:val="000000"/>
          <w:sz w:val="28"/>
        </w:rPr>
        <w:t>
      589. Если претензия касается первоначального производителя АФС или промежуточной продукции, то записи рассмотрения претензии, которые ведут поставщики или лица, действующие от их имени, дистрибьюторы, предприятия по переупаковке или перемаркировке, содержат все данные, полученные от первоначального производителя АФС или промежуточной продукции (включая дату и представленную информацию).</w:t>
      </w:r>
    </w:p>
    <w:bookmarkEnd w:id="3410"/>
    <w:bookmarkStart w:name="z3514" w:id="3411"/>
    <w:p>
      <w:pPr>
        <w:spacing w:after="0"/>
        <w:ind w:left="0"/>
        <w:jc w:val="left"/>
      </w:pPr>
      <w:r>
        <w:rPr>
          <w:rFonts w:ascii="Times New Roman"/>
          <w:b/>
          <w:i w:val="false"/>
          <w:color w:val="000000"/>
        </w:rPr>
        <w:t xml:space="preserve"> Параграф 77. Работа с возвратами</w:t>
      </w:r>
    </w:p>
    <w:bookmarkEnd w:id="3411"/>
    <w:bookmarkStart w:name="z3515" w:id="3412"/>
    <w:p>
      <w:pPr>
        <w:spacing w:after="0"/>
        <w:ind w:left="0"/>
        <w:jc w:val="both"/>
      </w:pPr>
      <w:r>
        <w:rPr>
          <w:rFonts w:ascii="Times New Roman"/>
          <w:b w:val="false"/>
          <w:i w:val="false"/>
          <w:color w:val="000000"/>
          <w:sz w:val="28"/>
        </w:rPr>
        <w:t>
      590. Работу с возвратами продукции проводится в соответствии требованиями пункта 562 настоящей части. Поставщики или лица, действующие от их имени, дистрибьюторы, предприятия по переупаковке или перемаркировке ведут документацию по возвращенным АФС и промежуточной продукции.</w:t>
      </w:r>
    </w:p>
    <w:bookmarkEnd w:id="3412"/>
    <w:bookmarkStart w:name="z3516" w:id="3413"/>
    <w:p>
      <w:pPr>
        <w:spacing w:after="0"/>
        <w:ind w:left="0"/>
        <w:jc w:val="left"/>
      </w:pPr>
      <w:r>
        <w:rPr>
          <w:rFonts w:ascii="Times New Roman"/>
          <w:b/>
          <w:i w:val="false"/>
          <w:color w:val="000000"/>
        </w:rPr>
        <w:t xml:space="preserve"> Параграф 78. Специальное руководство по АФС, производимым путем культивирования клеток или ферментации</w:t>
      </w:r>
    </w:p>
    <w:bookmarkEnd w:id="3413"/>
    <w:bookmarkStart w:name="z3517" w:id="3414"/>
    <w:p>
      <w:pPr>
        <w:spacing w:after="0"/>
        <w:ind w:left="0"/>
        <w:jc w:val="both"/>
      </w:pPr>
      <w:r>
        <w:rPr>
          <w:rFonts w:ascii="Times New Roman"/>
          <w:b w:val="false"/>
          <w:i w:val="false"/>
          <w:color w:val="000000"/>
          <w:sz w:val="28"/>
        </w:rPr>
        <w:t>
      591. В настоящем разделе рассматриваются специальные требования к контролю АФС или промежуточной продукции, которые производят посредством культивирования клеток или ферментации с использованием природных или рекомбинантных организмов, недостаточно отраженные в других разделах настоящего Стандарта. Этот раздел настоящего Стандарта не следует рассматривать отдельно от других разделов настоящего Стандарта, поскольку, как правило, требования, приведенные в других разделах настоящего Стандарта, также применимы к такой продукции. Следует отметить, что для "классических" процессов получения низкомолекулярных веществ и для процессов, в которых рекомбинантные и нерекомбинантные организмы используются для производства белков и (или) полипептидов, применяют одни и те же принципы ферментации, хотя степень контроля при этом будет различной. В настоящем разделе указаны эти различия, если они существуют на практике. Как правило, степень контроля биотехнологических процессов, используемых для производства белков полипептидов, выше, чем для классических процессов ферментации.</w:t>
      </w:r>
    </w:p>
    <w:bookmarkEnd w:id="3414"/>
    <w:bookmarkStart w:name="z3518" w:id="3415"/>
    <w:p>
      <w:pPr>
        <w:spacing w:after="0"/>
        <w:ind w:left="0"/>
        <w:jc w:val="both"/>
      </w:pPr>
      <w:r>
        <w:rPr>
          <w:rFonts w:ascii="Times New Roman"/>
          <w:b w:val="false"/>
          <w:i w:val="false"/>
          <w:color w:val="000000"/>
          <w:sz w:val="28"/>
        </w:rPr>
        <w:t>
      592. Термин "биотехнологический процесс" относится к использованию клеток или организмов, полученных или модифицированных посредством технологии рекомбинантной ДНК, гибридомной или другой технологии, с целью производства АФС. АФС, полученные с помощью биотехнологических процессов, обычно состоят из таких высокомолекулярных соединений, как белки и полипептиды, специальное руководство в отношении которых приведено в настоящем разделе. По технологии рекомбинантной ДНК также могут быть получены такие определенные АФС с низкой молекулярной массой, как антибиотики, аминокислоты, витамины и углеводы. Уровень контроля этих видов АФС аналогичен контролю, применяемому для классической ферментации.</w:t>
      </w:r>
    </w:p>
    <w:bookmarkEnd w:id="3415"/>
    <w:bookmarkStart w:name="z3519" w:id="3416"/>
    <w:p>
      <w:pPr>
        <w:spacing w:after="0"/>
        <w:ind w:left="0"/>
        <w:jc w:val="both"/>
      </w:pPr>
      <w:r>
        <w:rPr>
          <w:rFonts w:ascii="Times New Roman"/>
          <w:b w:val="false"/>
          <w:i w:val="false"/>
          <w:color w:val="000000"/>
          <w:sz w:val="28"/>
        </w:rPr>
        <w:t>
      593. Термин "классическая ферментация" относится к процессам получения АФС, в которых используются природные микроорганизмы (или) микроорганизмы, модифицированные общепринятыми методами (например, посредством облучения или химического мутагенеза). АФС, полученные посредством классической ферментации, обычно являются такими продуктами с низкой молекулярной массой, как антибиотики, аминокислоты, витамины и углеводы.</w:t>
      </w:r>
    </w:p>
    <w:bookmarkEnd w:id="3416"/>
    <w:bookmarkStart w:name="z3520" w:id="3417"/>
    <w:p>
      <w:pPr>
        <w:spacing w:after="0"/>
        <w:ind w:left="0"/>
        <w:jc w:val="both"/>
      </w:pPr>
      <w:r>
        <w:rPr>
          <w:rFonts w:ascii="Times New Roman"/>
          <w:b w:val="false"/>
          <w:i w:val="false"/>
          <w:color w:val="000000"/>
          <w:sz w:val="28"/>
        </w:rPr>
        <w:t>
      594. Производство АФС или промежуточной продукции из клеточных культур или методом ферментации включает в себя такие процессы, как культивирование клеток или экстрагирование и очистка материала, полученного от живых организмов. Следует отметить, что эти процессы могут включать такую дополнительную стадию, являющуюся частью производственного процесса, как физико-химическая модификация. Используемое сырье (среды, буферные компоненты) обеспечивает возможность роста контаминирующих микроорганизмов. В зависимости от источника, способа получения и предполагаемого применения АФС или промежуточной продукции может быть необходим контроль бионагрузки, контаминации вирусами и (или) эндотоксинами во время производства и мониторинга процесса на соответствующих стадиях.</w:t>
      </w:r>
    </w:p>
    <w:bookmarkEnd w:id="3417"/>
    <w:bookmarkStart w:name="z3521" w:id="3418"/>
    <w:p>
      <w:pPr>
        <w:spacing w:after="0"/>
        <w:ind w:left="0"/>
        <w:jc w:val="both"/>
      </w:pPr>
      <w:r>
        <w:rPr>
          <w:rFonts w:ascii="Times New Roman"/>
          <w:b w:val="false"/>
          <w:i w:val="false"/>
          <w:color w:val="000000"/>
          <w:sz w:val="28"/>
        </w:rPr>
        <w:t>
      595. Для обеспечения качества промежуточной продукции и (или) АФС на всех стадиях производства следует установить надлежащий контроль. Хотя настоящая часть применяется начиная со стадии культивирования клеток или ферментации, предшествующие стадии (например, создание банка клеток) следует осуществлять при надлежащем производственном контроле. Настоящая часть охватывает культивирование клеток или ферментацию начиная с того момента, когда из банка клеток извлекают флакон с культурой клеток для использования в производстве.</w:t>
      </w:r>
    </w:p>
    <w:bookmarkEnd w:id="3418"/>
    <w:bookmarkStart w:name="z3522" w:id="3419"/>
    <w:p>
      <w:pPr>
        <w:spacing w:after="0"/>
        <w:ind w:left="0"/>
        <w:jc w:val="both"/>
      </w:pPr>
      <w:r>
        <w:rPr>
          <w:rFonts w:ascii="Times New Roman"/>
          <w:b w:val="false"/>
          <w:i w:val="false"/>
          <w:color w:val="000000"/>
          <w:sz w:val="28"/>
        </w:rPr>
        <w:t>
      596. Для сведения к минимуму риска контаминации следует использовать надлежащее оборудование и проводить контроль производственной среды. Критерии приемлемости для качества производственной среды и частота контроля зависят от стадии и условий технологического процесса (открытые, закрытые или изолированные системы).</w:t>
      </w:r>
    </w:p>
    <w:bookmarkEnd w:id="3419"/>
    <w:bookmarkStart w:name="z3523" w:id="3420"/>
    <w:p>
      <w:pPr>
        <w:spacing w:after="0"/>
        <w:ind w:left="0"/>
        <w:jc w:val="both"/>
      </w:pPr>
      <w:r>
        <w:rPr>
          <w:rFonts w:ascii="Times New Roman"/>
          <w:b w:val="false"/>
          <w:i w:val="false"/>
          <w:color w:val="000000"/>
          <w:sz w:val="28"/>
        </w:rPr>
        <w:t>
      597. Внутрипроизводственный контроль необходимо, как правило, распространить на следующее:</w:t>
      </w:r>
    </w:p>
    <w:bookmarkEnd w:id="3420"/>
    <w:bookmarkStart w:name="z3524" w:id="3421"/>
    <w:p>
      <w:pPr>
        <w:spacing w:after="0"/>
        <w:ind w:left="0"/>
        <w:jc w:val="both"/>
      </w:pPr>
      <w:r>
        <w:rPr>
          <w:rFonts w:ascii="Times New Roman"/>
          <w:b w:val="false"/>
          <w:i w:val="false"/>
          <w:color w:val="000000"/>
          <w:sz w:val="28"/>
        </w:rPr>
        <w:t>
      1) поддержание рабочего банка клеток (при наличии);</w:t>
      </w:r>
    </w:p>
    <w:bookmarkEnd w:id="3421"/>
    <w:bookmarkStart w:name="z3525" w:id="3422"/>
    <w:p>
      <w:pPr>
        <w:spacing w:after="0"/>
        <w:ind w:left="0"/>
        <w:jc w:val="both"/>
      </w:pPr>
      <w:r>
        <w:rPr>
          <w:rFonts w:ascii="Times New Roman"/>
          <w:b w:val="false"/>
          <w:i w:val="false"/>
          <w:color w:val="000000"/>
          <w:sz w:val="28"/>
        </w:rPr>
        <w:t>
      2) правильный посев и рост культуры;</w:t>
      </w:r>
    </w:p>
    <w:bookmarkEnd w:id="3422"/>
    <w:bookmarkStart w:name="z3526" w:id="3423"/>
    <w:p>
      <w:pPr>
        <w:spacing w:after="0"/>
        <w:ind w:left="0"/>
        <w:jc w:val="both"/>
      </w:pPr>
      <w:r>
        <w:rPr>
          <w:rFonts w:ascii="Times New Roman"/>
          <w:b w:val="false"/>
          <w:i w:val="false"/>
          <w:color w:val="000000"/>
          <w:sz w:val="28"/>
        </w:rPr>
        <w:t>
      3) контроль критических рабочих параметров во время культивирования клеток или ферментации;</w:t>
      </w:r>
    </w:p>
    <w:bookmarkEnd w:id="3423"/>
    <w:bookmarkStart w:name="z3527" w:id="3424"/>
    <w:p>
      <w:pPr>
        <w:spacing w:after="0"/>
        <w:ind w:left="0"/>
        <w:jc w:val="both"/>
      </w:pPr>
      <w:r>
        <w:rPr>
          <w:rFonts w:ascii="Times New Roman"/>
          <w:b w:val="false"/>
          <w:i w:val="false"/>
          <w:color w:val="000000"/>
          <w:sz w:val="28"/>
        </w:rPr>
        <w:t>
      4) контроль процесса роста клеток, их жизнеспособности (для большинства процессов культивирования клеток) и продуктивности (при необходимости);</w:t>
      </w:r>
    </w:p>
    <w:bookmarkEnd w:id="3424"/>
    <w:bookmarkStart w:name="z3528" w:id="3425"/>
    <w:p>
      <w:pPr>
        <w:spacing w:after="0"/>
        <w:ind w:left="0"/>
        <w:jc w:val="both"/>
      </w:pPr>
      <w:r>
        <w:rPr>
          <w:rFonts w:ascii="Times New Roman"/>
          <w:b w:val="false"/>
          <w:i w:val="false"/>
          <w:color w:val="000000"/>
          <w:sz w:val="28"/>
        </w:rPr>
        <w:t>
      5) процедуры сбора и очистки, при которых происходит удаление клеток, клеточных остатков и компонентов сред с одновременной защитой промежуточной продукции или АФС от контаминации (особенно контаминации микробиологической природы) и ухудшения качества;</w:t>
      </w:r>
    </w:p>
    <w:bookmarkEnd w:id="3425"/>
    <w:bookmarkStart w:name="z3529" w:id="3426"/>
    <w:p>
      <w:pPr>
        <w:spacing w:after="0"/>
        <w:ind w:left="0"/>
        <w:jc w:val="both"/>
      </w:pPr>
      <w:r>
        <w:rPr>
          <w:rFonts w:ascii="Times New Roman"/>
          <w:b w:val="false"/>
          <w:i w:val="false"/>
          <w:color w:val="000000"/>
          <w:sz w:val="28"/>
        </w:rPr>
        <w:t>
      6) контроль бионагрузки и уровней эндотоксинов на соответствующих стадиях технологического процесса (при необходимости);</w:t>
      </w:r>
    </w:p>
    <w:bookmarkEnd w:id="3426"/>
    <w:bookmarkStart w:name="z3530" w:id="3427"/>
    <w:p>
      <w:pPr>
        <w:spacing w:after="0"/>
        <w:ind w:left="0"/>
        <w:jc w:val="both"/>
      </w:pPr>
      <w:r>
        <w:rPr>
          <w:rFonts w:ascii="Times New Roman"/>
          <w:b w:val="false"/>
          <w:i w:val="false"/>
          <w:color w:val="000000"/>
          <w:sz w:val="28"/>
        </w:rPr>
        <w:t>
      7) вопросы вирусной безопасности в соответствии с законодательством.</w:t>
      </w:r>
    </w:p>
    <w:bookmarkEnd w:id="3427"/>
    <w:bookmarkStart w:name="z3531" w:id="3428"/>
    <w:p>
      <w:pPr>
        <w:spacing w:after="0"/>
        <w:ind w:left="0"/>
        <w:jc w:val="both"/>
      </w:pPr>
      <w:r>
        <w:rPr>
          <w:rFonts w:ascii="Times New Roman"/>
          <w:b w:val="false"/>
          <w:i w:val="false"/>
          <w:color w:val="000000"/>
          <w:sz w:val="28"/>
        </w:rPr>
        <w:t>
      598. При необходимости, то следует доказать, что компоненты сред, белки клеток-хозяев, другие связанные с процессом и сопутствующие продукции примеси и контаминанты удалены.</w:t>
      </w:r>
    </w:p>
    <w:bookmarkEnd w:id="3428"/>
    <w:bookmarkStart w:name="z3532" w:id="3429"/>
    <w:p>
      <w:pPr>
        <w:spacing w:after="0"/>
        <w:ind w:left="0"/>
        <w:jc w:val="left"/>
      </w:pPr>
      <w:r>
        <w:rPr>
          <w:rFonts w:ascii="Times New Roman"/>
          <w:b/>
          <w:i w:val="false"/>
          <w:color w:val="000000"/>
        </w:rPr>
        <w:t xml:space="preserve"> Параграф 79. Поддержание банка клеток и ведение записей</w:t>
      </w:r>
    </w:p>
    <w:bookmarkEnd w:id="3429"/>
    <w:bookmarkStart w:name="z3533" w:id="3430"/>
    <w:p>
      <w:pPr>
        <w:spacing w:after="0"/>
        <w:ind w:left="0"/>
        <w:jc w:val="both"/>
      </w:pPr>
      <w:r>
        <w:rPr>
          <w:rFonts w:ascii="Times New Roman"/>
          <w:b w:val="false"/>
          <w:i w:val="false"/>
          <w:color w:val="000000"/>
          <w:sz w:val="28"/>
        </w:rPr>
        <w:t>
      599. Доступ к банкам клеток разрешен только лицам, имеющим на это полномочия.</w:t>
      </w:r>
    </w:p>
    <w:bookmarkEnd w:id="3430"/>
    <w:bookmarkStart w:name="z3534" w:id="3431"/>
    <w:p>
      <w:pPr>
        <w:spacing w:after="0"/>
        <w:ind w:left="0"/>
        <w:jc w:val="both"/>
      </w:pPr>
      <w:r>
        <w:rPr>
          <w:rFonts w:ascii="Times New Roman"/>
          <w:b w:val="false"/>
          <w:i w:val="false"/>
          <w:color w:val="000000"/>
          <w:sz w:val="28"/>
        </w:rPr>
        <w:t>
      600. Банки клеток хранятся в условиях, специально предназначенных для обеспечения поддержания жизнеспособности клеток и предотвращения контаминации.</w:t>
      </w:r>
    </w:p>
    <w:bookmarkEnd w:id="3431"/>
    <w:bookmarkStart w:name="z3535" w:id="3432"/>
    <w:p>
      <w:pPr>
        <w:spacing w:after="0"/>
        <w:ind w:left="0"/>
        <w:jc w:val="both"/>
      </w:pPr>
      <w:r>
        <w:rPr>
          <w:rFonts w:ascii="Times New Roman"/>
          <w:b w:val="false"/>
          <w:i w:val="false"/>
          <w:color w:val="000000"/>
          <w:sz w:val="28"/>
        </w:rPr>
        <w:t>
      601. Следует вести и сохранять записи использования и условий хранения флаконов из банков клеток.</w:t>
      </w:r>
    </w:p>
    <w:bookmarkEnd w:id="3432"/>
    <w:bookmarkStart w:name="z3536" w:id="3433"/>
    <w:p>
      <w:pPr>
        <w:spacing w:after="0"/>
        <w:ind w:left="0"/>
        <w:jc w:val="both"/>
      </w:pPr>
      <w:r>
        <w:rPr>
          <w:rFonts w:ascii="Times New Roman"/>
          <w:b w:val="false"/>
          <w:i w:val="false"/>
          <w:color w:val="000000"/>
          <w:sz w:val="28"/>
        </w:rPr>
        <w:t>
      602. При необходимости банки клеток следует периодически проверять с целью определения их пригодности для использования.</w:t>
      </w:r>
    </w:p>
    <w:bookmarkEnd w:id="3433"/>
    <w:bookmarkStart w:name="z3537" w:id="3434"/>
    <w:p>
      <w:pPr>
        <w:spacing w:after="0"/>
        <w:ind w:left="0"/>
        <w:jc w:val="both"/>
      </w:pPr>
      <w:r>
        <w:rPr>
          <w:rFonts w:ascii="Times New Roman"/>
          <w:b w:val="false"/>
          <w:i w:val="false"/>
          <w:color w:val="000000"/>
          <w:sz w:val="28"/>
        </w:rPr>
        <w:t>
      603. Более подробная информация, касающаяся поддержания банков клеток установлена соответствующими положениями законодательства.</w:t>
      </w:r>
    </w:p>
    <w:bookmarkEnd w:id="3434"/>
    <w:bookmarkStart w:name="z3538" w:id="3435"/>
    <w:p>
      <w:pPr>
        <w:spacing w:after="0"/>
        <w:ind w:left="0"/>
        <w:jc w:val="left"/>
      </w:pPr>
      <w:r>
        <w:rPr>
          <w:rFonts w:ascii="Times New Roman"/>
          <w:b/>
          <w:i w:val="false"/>
          <w:color w:val="000000"/>
        </w:rPr>
        <w:t xml:space="preserve"> Параграф 80. Культивирование клеток или ферментация</w:t>
      </w:r>
    </w:p>
    <w:bookmarkEnd w:id="3435"/>
    <w:bookmarkStart w:name="z3539" w:id="3436"/>
    <w:p>
      <w:pPr>
        <w:spacing w:after="0"/>
        <w:ind w:left="0"/>
        <w:jc w:val="both"/>
      </w:pPr>
      <w:r>
        <w:rPr>
          <w:rFonts w:ascii="Times New Roman"/>
          <w:b w:val="false"/>
          <w:i w:val="false"/>
          <w:color w:val="000000"/>
          <w:sz w:val="28"/>
        </w:rPr>
        <w:t>
      604. Если клеточные субстраты, среды, буферы и газы добавляют в асептических условиях, то по возможности следует использовать закрытые или изолированные системы. Если посев в первоначальной емкости или последующие переносы либо добавления сред, буферов выполняются в открытых емкостях, то следует осуществлять контроль и соответствующие процедуры для сведения к минимуму риска контаминации.</w:t>
      </w:r>
    </w:p>
    <w:bookmarkEnd w:id="3436"/>
    <w:bookmarkStart w:name="z3540" w:id="3437"/>
    <w:p>
      <w:pPr>
        <w:spacing w:after="0"/>
        <w:ind w:left="0"/>
        <w:jc w:val="both"/>
      </w:pPr>
      <w:r>
        <w:rPr>
          <w:rFonts w:ascii="Times New Roman"/>
          <w:b w:val="false"/>
          <w:i w:val="false"/>
          <w:color w:val="000000"/>
          <w:sz w:val="28"/>
        </w:rPr>
        <w:t>
      605. Если микробная контаминация повлияет на качество АФС, то операции с использованием открытых емкостей следует проводить в боксе, обеспечивающем биологическую безопасность, или в производственной среде, контролируемой таким же образом.</w:t>
      </w:r>
    </w:p>
    <w:bookmarkEnd w:id="3437"/>
    <w:bookmarkStart w:name="z3541" w:id="3438"/>
    <w:p>
      <w:pPr>
        <w:spacing w:after="0"/>
        <w:ind w:left="0"/>
        <w:jc w:val="both"/>
      </w:pPr>
      <w:r>
        <w:rPr>
          <w:rFonts w:ascii="Times New Roman"/>
          <w:b w:val="false"/>
          <w:i w:val="false"/>
          <w:color w:val="000000"/>
          <w:sz w:val="28"/>
        </w:rPr>
        <w:t>
      606. При работе с культурами клеток персонал одет в специальную одежду и соблюдает специальные меры предосторожности.</w:t>
      </w:r>
    </w:p>
    <w:bookmarkEnd w:id="3438"/>
    <w:bookmarkStart w:name="z3542" w:id="3439"/>
    <w:p>
      <w:pPr>
        <w:spacing w:after="0"/>
        <w:ind w:left="0"/>
        <w:jc w:val="both"/>
      </w:pPr>
      <w:r>
        <w:rPr>
          <w:rFonts w:ascii="Times New Roman"/>
          <w:b w:val="false"/>
          <w:i w:val="false"/>
          <w:color w:val="000000"/>
          <w:sz w:val="28"/>
        </w:rPr>
        <w:t>
      607. Для обеспечения постоянства установленного процесса следует контролировать критические рабочие параметры (например, температуру, рН, скорость перемешивания, добавление газов, давление). Также следует контролировать рост, жизнеспособность (для большинства процессов культивирования клеток) и при необходимости продуктивность клеток. Критические параметры будут отличаться в зависимости от процессов и для классической ферментации не потребуются контроль определенных параметров (например, жизнеспособности клеток).</w:t>
      </w:r>
    </w:p>
    <w:bookmarkEnd w:id="3439"/>
    <w:bookmarkStart w:name="z3543" w:id="3440"/>
    <w:p>
      <w:pPr>
        <w:spacing w:after="0"/>
        <w:ind w:left="0"/>
        <w:jc w:val="both"/>
      </w:pPr>
      <w:r>
        <w:rPr>
          <w:rFonts w:ascii="Times New Roman"/>
          <w:b w:val="false"/>
          <w:i w:val="false"/>
          <w:color w:val="000000"/>
          <w:sz w:val="28"/>
        </w:rPr>
        <w:t>
      608. Оборудование, используемое для культивирования клеток, после использования очищено и стерилизовано. При необходимости оборудование для проведения ферментации также очищено, дезинфицировано или стерилизовано.</w:t>
      </w:r>
    </w:p>
    <w:bookmarkEnd w:id="3440"/>
    <w:bookmarkStart w:name="z3544" w:id="3441"/>
    <w:p>
      <w:pPr>
        <w:spacing w:after="0"/>
        <w:ind w:left="0"/>
        <w:jc w:val="both"/>
      </w:pPr>
      <w:r>
        <w:rPr>
          <w:rFonts w:ascii="Times New Roman"/>
          <w:b w:val="false"/>
          <w:i w:val="false"/>
          <w:color w:val="000000"/>
          <w:sz w:val="28"/>
        </w:rPr>
        <w:t>
      609. Питательные среды перед их использованием следует стерилизовать, если это целесообразно для предотвращения неблагоприятного влияния на качество АФС.</w:t>
      </w:r>
    </w:p>
    <w:bookmarkEnd w:id="3441"/>
    <w:bookmarkStart w:name="z3545" w:id="3442"/>
    <w:p>
      <w:pPr>
        <w:spacing w:after="0"/>
        <w:ind w:left="0"/>
        <w:jc w:val="both"/>
      </w:pPr>
      <w:r>
        <w:rPr>
          <w:rFonts w:ascii="Times New Roman"/>
          <w:b w:val="false"/>
          <w:i w:val="false"/>
          <w:color w:val="000000"/>
          <w:sz w:val="28"/>
        </w:rPr>
        <w:t>
      610. Для выявления контаминации и определения действий, которые осуществляются, в наличии соответствующие процедуры, к которым относятся процедуры определения влияния контаминации на продукцию и процедуры деконтаминации оборудования и возвращения его к состоянию, позволяющему использовать это оборудование для производства последующих серий. Посторонние организмы, обнаруженные в ходе процессов ферментации, следует при необходимости идентифицировать и оценить их влияние на качество продукции. Результаты таких оценок следует принимать во внимание при решении вопроса о возможности использования полученного материала.</w:t>
      </w:r>
    </w:p>
    <w:bookmarkEnd w:id="3442"/>
    <w:bookmarkStart w:name="z3546" w:id="3443"/>
    <w:p>
      <w:pPr>
        <w:spacing w:after="0"/>
        <w:ind w:left="0"/>
        <w:jc w:val="both"/>
      </w:pPr>
      <w:r>
        <w:rPr>
          <w:rFonts w:ascii="Times New Roman"/>
          <w:b w:val="false"/>
          <w:i w:val="false"/>
          <w:color w:val="000000"/>
          <w:sz w:val="28"/>
        </w:rPr>
        <w:t>
      611. Следует сохранять записи случаев выявления контаминации.</w:t>
      </w:r>
    </w:p>
    <w:bookmarkEnd w:id="3443"/>
    <w:bookmarkStart w:name="z3547" w:id="3444"/>
    <w:p>
      <w:pPr>
        <w:spacing w:after="0"/>
        <w:ind w:left="0"/>
        <w:jc w:val="both"/>
      </w:pPr>
      <w:r>
        <w:rPr>
          <w:rFonts w:ascii="Times New Roman"/>
          <w:b w:val="false"/>
          <w:i w:val="false"/>
          <w:color w:val="000000"/>
          <w:sz w:val="28"/>
        </w:rPr>
        <w:t>
      612. После очистки универсального (предназначенного для производства многих видов продукции) оборудования между циклами по производству разной продукции потребуются проведение дополнительных испытаний с целью сведения к минимуму риска перекрестной контаминации.</w:t>
      </w:r>
    </w:p>
    <w:bookmarkEnd w:id="3444"/>
    <w:bookmarkStart w:name="z3548" w:id="3445"/>
    <w:p>
      <w:pPr>
        <w:spacing w:after="0"/>
        <w:ind w:left="0"/>
        <w:jc w:val="left"/>
      </w:pPr>
      <w:r>
        <w:rPr>
          <w:rFonts w:ascii="Times New Roman"/>
          <w:b/>
          <w:i w:val="false"/>
          <w:color w:val="000000"/>
        </w:rPr>
        <w:t xml:space="preserve"> Параграф 81. Сбор, выделение и очистка</w:t>
      </w:r>
    </w:p>
    <w:bookmarkEnd w:id="3445"/>
    <w:bookmarkStart w:name="z3549" w:id="3446"/>
    <w:p>
      <w:pPr>
        <w:spacing w:after="0"/>
        <w:ind w:left="0"/>
        <w:jc w:val="both"/>
      </w:pPr>
      <w:r>
        <w:rPr>
          <w:rFonts w:ascii="Times New Roman"/>
          <w:b w:val="false"/>
          <w:i w:val="false"/>
          <w:color w:val="000000"/>
          <w:sz w:val="28"/>
        </w:rPr>
        <w:t>
      613. Стадии сбора как для удаления клеток или клеточных компонентов, так и для сбора клеточных компонентов после разрушения следует осуществлять с помощью оборудования и в зонах, предназначенных для сведения к минимуму риска контаминации.</w:t>
      </w:r>
    </w:p>
    <w:bookmarkEnd w:id="3446"/>
    <w:bookmarkStart w:name="z3550" w:id="3447"/>
    <w:p>
      <w:pPr>
        <w:spacing w:after="0"/>
        <w:ind w:left="0"/>
        <w:jc w:val="both"/>
      </w:pPr>
      <w:r>
        <w:rPr>
          <w:rFonts w:ascii="Times New Roman"/>
          <w:b w:val="false"/>
          <w:i w:val="false"/>
          <w:color w:val="000000"/>
          <w:sz w:val="28"/>
        </w:rPr>
        <w:t>
      614. Процедуры сбора и очистки, позволяющие удалять или инактивировать микроорганизм-продуцент, клеточные остатки и компоненты сред (при сведении к минимуму разрушения, контаминации и снижения качества), обеспечивают получение промежуточной продукции или АФС постоянного качества.</w:t>
      </w:r>
    </w:p>
    <w:bookmarkEnd w:id="3447"/>
    <w:bookmarkStart w:name="z3551" w:id="3448"/>
    <w:p>
      <w:pPr>
        <w:spacing w:after="0"/>
        <w:ind w:left="0"/>
        <w:jc w:val="both"/>
      </w:pPr>
      <w:r>
        <w:rPr>
          <w:rFonts w:ascii="Times New Roman"/>
          <w:b w:val="false"/>
          <w:i w:val="false"/>
          <w:color w:val="000000"/>
          <w:sz w:val="28"/>
        </w:rPr>
        <w:t>
      615. Все оборудование после использования очищено и подвергнуто санитарной обработке в установленном порядке. Производство нескольких последовательных серий промежуточной продукции и АФС без очистки оборудования допускается только в том случае, если это не оказывает влияния на их качество.</w:t>
      </w:r>
    </w:p>
    <w:bookmarkEnd w:id="3448"/>
    <w:bookmarkStart w:name="z3552" w:id="3449"/>
    <w:p>
      <w:pPr>
        <w:spacing w:after="0"/>
        <w:ind w:left="0"/>
        <w:jc w:val="both"/>
      </w:pPr>
      <w:r>
        <w:rPr>
          <w:rFonts w:ascii="Times New Roman"/>
          <w:b w:val="false"/>
          <w:i w:val="false"/>
          <w:color w:val="000000"/>
          <w:sz w:val="28"/>
        </w:rPr>
        <w:t>
      616. При использовании открытых систем очистка проводятся в контролируемых условиях производственной среды, обеспечивающих сохранение качества продукции.</w:t>
      </w:r>
    </w:p>
    <w:bookmarkEnd w:id="3449"/>
    <w:bookmarkStart w:name="z3553" w:id="3450"/>
    <w:p>
      <w:pPr>
        <w:spacing w:after="0"/>
        <w:ind w:left="0"/>
        <w:jc w:val="both"/>
      </w:pPr>
      <w:r>
        <w:rPr>
          <w:rFonts w:ascii="Times New Roman"/>
          <w:b w:val="false"/>
          <w:i w:val="false"/>
          <w:color w:val="000000"/>
          <w:sz w:val="28"/>
        </w:rPr>
        <w:t>
      617. Если оборудование используется для производства различных видов продукции, могут применяться такие дополнительные виды контроля, как использование специальных хроматографических смол или проведение дополнительных испытаний.</w:t>
      </w:r>
    </w:p>
    <w:bookmarkEnd w:id="3450"/>
    <w:bookmarkStart w:name="z3554" w:id="3451"/>
    <w:p>
      <w:pPr>
        <w:spacing w:after="0"/>
        <w:ind w:left="0"/>
        <w:jc w:val="left"/>
      </w:pPr>
      <w:r>
        <w:rPr>
          <w:rFonts w:ascii="Times New Roman"/>
          <w:b/>
          <w:i w:val="false"/>
          <w:color w:val="000000"/>
        </w:rPr>
        <w:t xml:space="preserve"> Параграф 82. Стадии удаления или инактивации вирусов</w:t>
      </w:r>
    </w:p>
    <w:bookmarkEnd w:id="3451"/>
    <w:bookmarkStart w:name="z3555" w:id="3452"/>
    <w:p>
      <w:pPr>
        <w:spacing w:after="0"/>
        <w:ind w:left="0"/>
        <w:jc w:val="both"/>
      </w:pPr>
      <w:r>
        <w:rPr>
          <w:rFonts w:ascii="Times New Roman"/>
          <w:b w:val="false"/>
          <w:i w:val="false"/>
          <w:color w:val="000000"/>
          <w:sz w:val="28"/>
        </w:rPr>
        <w:t>
      618. Для получения более конкретной информации следует воспользоваться соответствующими нормативными правовыми актами.</w:t>
      </w:r>
    </w:p>
    <w:bookmarkEnd w:id="3452"/>
    <w:bookmarkStart w:name="z3556" w:id="3453"/>
    <w:p>
      <w:pPr>
        <w:spacing w:after="0"/>
        <w:ind w:left="0"/>
        <w:jc w:val="both"/>
      </w:pPr>
      <w:r>
        <w:rPr>
          <w:rFonts w:ascii="Times New Roman"/>
          <w:b w:val="false"/>
          <w:i w:val="false"/>
          <w:color w:val="000000"/>
          <w:sz w:val="28"/>
        </w:rPr>
        <w:t>
      619. Стадии удаления и инактивации вирусов являются критическими стадиями обработки для некоторых процессов, и их следует осуществлять в пределах параметров, прошедших валидацию.</w:t>
      </w:r>
    </w:p>
    <w:bookmarkEnd w:id="3453"/>
    <w:bookmarkStart w:name="z3557" w:id="3454"/>
    <w:p>
      <w:pPr>
        <w:spacing w:after="0"/>
        <w:ind w:left="0"/>
        <w:jc w:val="both"/>
      </w:pPr>
      <w:r>
        <w:rPr>
          <w:rFonts w:ascii="Times New Roman"/>
          <w:b w:val="false"/>
          <w:i w:val="false"/>
          <w:color w:val="000000"/>
          <w:sz w:val="28"/>
        </w:rPr>
        <w:t>
      620. Следует принимать надлежащие меры предосторожности для предотвращения потенциальной контаминации вирусами продукции, прошедшей стадии удаления или инактивации вирусов, от продукции, которая эти стадии не прошла. Поэтому обработку в открытых системах следует осуществлять в зонах, отделенных от других этапов технологического процесса и имеющих отдельные системы обработки воздуха.</w:t>
      </w:r>
    </w:p>
    <w:bookmarkEnd w:id="3454"/>
    <w:bookmarkStart w:name="z3558" w:id="3455"/>
    <w:p>
      <w:pPr>
        <w:spacing w:after="0"/>
        <w:ind w:left="0"/>
        <w:jc w:val="both"/>
      </w:pPr>
      <w:r>
        <w:rPr>
          <w:rFonts w:ascii="Times New Roman"/>
          <w:b w:val="false"/>
          <w:i w:val="false"/>
          <w:color w:val="000000"/>
          <w:sz w:val="28"/>
        </w:rPr>
        <w:t>
      621. Одно и то же оборудование, как правило, не используется на различных стадиях очистки. Однако если используются одно и то же оборудование, его перед повторным использованием следует надлежащим образом очистить и подвергнуть санитарной обработке. Следует предпринимать надлежащие меры предосторожности для предотвращения возможного переноса вирусов с предыдущих стадий (например, через оборудование или производственную среду).</w:t>
      </w:r>
    </w:p>
    <w:bookmarkEnd w:id="3455"/>
    <w:bookmarkStart w:name="z3559" w:id="3456"/>
    <w:p>
      <w:pPr>
        <w:spacing w:after="0"/>
        <w:ind w:left="0"/>
        <w:jc w:val="left"/>
      </w:pPr>
      <w:r>
        <w:rPr>
          <w:rFonts w:ascii="Times New Roman"/>
          <w:b/>
          <w:i w:val="false"/>
          <w:color w:val="000000"/>
        </w:rPr>
        <w:t xml:space="preserve"> Параграф 83. АФС, предназначенные для клинических исследований (испытаний)</w:t>
      </w:r>
    </w:p>
    <w:bookmarkEnd w:id="3456"/>
    <w:bookmarkStart w:name="z3560" w:id="3457"/>
    <w:p>
      <w:pPr>
        <w:spacing w:after="0"/>
        <w:ind w:left="0"/>
        <w:jc w:val="both"/>
      </w:pPr>
      <w:r>
        <w:rPr>
          <w:rFonts w:ascii="Times New Roman"/>
          <w:b w:val="false"/>
          <w:i w:val="false"/>
          <w:color w:val="000000"/>
          <w:sz w:val="28"/>
        </w:rPr>
        <w:t>
      622. Не все виды контроля, описанные в настоящей части, применимы при производстве оригинальных АФС, предназначенных для проведения исследований во время их разработки. В настоящем разделе приведены специальные требования к этим АФС.</w:t>
      </w:r>
    </w:p>
    <w:bookmarkEnd w:id="3457"/>
    <w:bookmarkStart w:name="z3561" w:id="3458"/>
    <w:p>
      <w:pPr>
        <w:spacing w:after="0"/>
        <w:ind w:left="0"/>
        <w:jc w:val="both"/>
      </w:pPr>
      <w:r>
        <w:rPr>
          <w:rFonts w:ascii="Times New Roman"/>
          <w:b w:val="false"/>
          <w:i w:val="false"/>
          <w:color w:val="000000"/>
          <w:sz w:val="28"/>
        </w:rPr>
        <w:t>
      623. Контроль, осуществляемый при производстве АФС, предназначенных для клинических исследований, соответствует фазе разработки лекарственного препарата, в состав которого входит АФС. Процесс и методики исследований гибкие для обеспечения возможности внесения изменений по мере накопления знаний о процессе продвижения исследований лекарственного препарата от доклинических исследований к клиническим исследованиям. Когда разработка лекарственного препарата достигает стадии, на которой АФС получают для применения в лекарственном препарате, предназначенном для клинических исследований, производители гарантируют, что АФС произведены с помощью надлежащих технических средств использованием соответствующих процедур производства и контроля, необходимых для обеспечения качества АФС.</w:t>
      </w:r>
    </w:p>
    <w:bookmarkEnd w:id="3458"/>
    <w:bookmarkStart w:name="z3562" w:id="3459"/>
    <w:p>
      <w:pPr>
        <w:spacing w:after="0"/>
        <w:ind w:left="0"/>
        <w:jc w:val="left"/>
      </w:pPr>
      <w:r>
        <w:rPr>
          <w:rFonts w:ascii="Times New Roman"/>
          <w:b/>
          <w:i w:val="false"/>
          <w:color w:val="000000"/>
        </w:rPr>
        <w:t xml:space="preserve"> Параграф 84. Качество</w:t>
      </w:r>
    </w:p>
    <w:bookmarkEnd w:id="3459"/>
    <w:bookmarkStart w:name="z3563" w:id="3460"/>
    <w:p>
      <w:pPr>
        <w:spacing w:after="0"/>
        <w:ind w:left="0"/>
        <w:jc w:val="both"/>
      </w:pPr>
      <w:r>
        <w:rPr>
          <w:rFonts w:ascii="Times New Roman"/>
          <w:b w:val="false"/>
          <w:i w:val="false"/>
          <w:color w:val="000000"/>
          <w:sz w:val="28"/>
        </w:rPr>
        <w:t>
      624. При производстве АФС, предназначенных для клинических исследований, применяют соответствующие требования настоящего Стандарта и надлежащую процедуру одобрения каждой серии.</w:t>
      </w:r>
    </w:p>
    <w:bookmarkEnd w:id="3460"/>
    <w:bookmarkStart w:name="z3564" w:id="3461"/>
    <w:p>
      <w:pPr>
        <w:spacing w:after="0"/>
        <w:ind w:left="0"/>
        <w:jc w:val="both"/>
      </w:pPr>
      <w:r>
        <w:rPr>
          <w:rFonts w:ascii="Times New Roman"/>
          <w:b w:val="false"/>
          <w:i w:val="false"/>
          <w:color w:val="000000"/>
          <w:sz w:val="28"/>
        </w:rPr>
        <w:t>
      625. Организовывают независимый от производства отдел (отделы) качества для одобрения или отклонения каждой серии АФС, предназначенной для клинических исследований.</w:t>
      </w:r>
    </w:p>
    <w:bookmarkEnd w:id="3461"/>
    <w:bookmarkStart w:name="z3565" w:id="3462"/>
    <w:p>
      <w:pPr>
        <w:spacing w:after="0"/>
        <w:ind w:left="0"/>
        <w:jc w:val="both"/>
      </w:pPr>
      <w:r>
        <w:rPr>
          <w:rFonts w:ascii="Times New Roman"/>
          <w:b w:val="false"/>
          <w:i w:val="false"/>
          <w:color w:val="000000"/>
          <w:sz w:val="28"/>
        </w:rPr>
        <w:t>
      626. Некоторые функции по проведению испытаний, выполняемых обычно отделом (отделами) качества, можно осуществлять в других подразделениях.</w:t>
      </w:r>
    </w:p>
    <w:bookmarkEnd w:id="3462"/>
    <w:bookmarkStart w:name="z3566" w:id="3463"/>
    <w:p>
      <w:pPr>
        <w:spacing w:after="0"/>
        <w:ind w:left="0"/>
        <w:jc w:val="both"/>
      </w:pPr>
      <w:r>
        <w:rPr>
          <w:rFonts w:ascii="Times New Roman"/>
          <w:b w:val="false"/>
          <w:i w:val="false"/>
          <w:color w:val="000000"/>
          <w:sz w:val="28"/>
        </w:rPr>
        <w:t>
      627. Мероприятия в отношении качества включают систему испытаний исходного сырья, упаковочных материалов, промежуточной продукции и АФС.</w:t>
      </w:r>
    </w:p>
    <w:bookmarkEnd w:id="3463"/>
    <w:bookmarkStart w:name="z3567" w:id="3464"/>
    <w:p>
      <w:pPr>
        <w:spacing w:after="0"/>
        <w:ind w:left="0"/>
        <w:jc w:val="both"/>
      </w:pPr>
      <w:r>
        <w:rPr>
          <w:rFonts w:ascii="Times New Roman"/>
          <w:b w:val="false"/>
          <w:i w:val="false"/>
          <w:color w:val="000000"/>
          <w:sz w:val="28"/>
        </w:rPr>
        <w:t>
      628. Следует анализировать проблемы, связанные с производством и качеством.</w:t>
      </w:r>
    </w:p>
    <w:bookmarkEnd w:id="3464"/>
    <w:bookmarkStart w:name="z3568" w:id="3465"/>
    <w:p>
      <w:pPr>
        <w:spacing w:after="0"/>
        <w:ind w:left="0"/>
        <w:jc w:val="both"/>
      </w:pPr>
      <w:r>
        <w:rPr>
          <w:rFonts w:ascii="Times New Roman"/>
          <w:b w:val="false"/>
          <w:i w:val="false"/>
          <w:color w:val="000000"/>
          <w:sz w:val="28"/>
        </w:rPr>
        <w:t>
      629. Текст маркировки АФС, предназначенных для клинических исследований, следует надлежащим образом контролировать: в нем указано, что вещество предназначено для исследовательских целей.</w:t>
      </w:r>
    </w:p>
    <w:bookmarkEnd w:id="3465"/>
    <w:bookmarkStart w:name="z3569" w:id="3466"/>
    <w:p>
      <w:pPr>
        <w:spacing w:after="0"/>
        <w:ind w:left="0"/>
        <w:jc w:val="left"/>
      </w:pPr>
      <w:r>
        <w:rPr>
          <w:rFonts w:ascii="Times New Roman"/>
          <w:b/>
          <w:i w:val="false"/>
          <w:color w:val="000000"/>
        </w:rPr>
        <w:t xml:space="preserve"> Параграф 85. Помещения и оборудование</w:t>
      </w:r>
    </w:p>
    <w:bookmarkEnd w:id="3466"/>
    <w:bookmarkStart w:name="z3570" w:id="3467"/>
    <w:p>
      <w:pPr>
        <w:spacing w:after="0"/>
        <w:ind w:left="0"/>
        <w:jc w:val="both"/>
      </w:pPr>
      <w:r>
        <w:rPr>
          <w:rFonts w:ascii="Times New Roman"/>
          <w:b w:val="false"/>
          <w:i w:val="false"/>
          <w:color w:val="000000"/>
          <w:sz w:val="28"/>
        </w:rPr>
        <w:t>
      630. Во время всех фаз клинического исследования, включая использование опытных участков или лабораторий для производства серий АФС, предназначенных для клинических исследований, предусмотрены процедуры, гарантирующие, что оборудование прокалибровано, очищено и соответствует своему назначению.</w:t>
      </w:r>
    </w:p>
    <w:bookmarkEnd w:id="3467"/>
    <w:bookmarkStart w:name="z3571" w:id="3468"/>
    <w:p>
      <w:pPr>
        <w:spacing w:after="0"/>
        <w:ind w:left="0"/>
        <w:jc w:val="both"/>
      </w:pPr>
      <w:r>
        <w:rPr>
          <w:rFonts w:ascii="Times New Roman"/>
          <w:b w:val="false"/>
          <w:i w:val="false"/>
          <w:color w:val="000000"/>
          <w:sz w:val="28"/>
        </w:rPr>
        <w:t>
      631. Порядок эксплуатации оборудования гарантирует проведение работ с исходным сырьем таким образом, чтобы свести к минимуму риск контаминации и перекрестной контаминации.</w:t>
      </w:r>
    </w:p>
    <w:bookmarkEnd w:id="3468"/>
    <w:bookmarkStart w:name="z3572" w:id="3469"/>
    <w:p>
      <w:pPr>
        <w:spacing w:after="0"/>
        <w:ind w:left="0"/>
        <w:jc w:val="left"/>
      </w:pPr>
      <w:r>
        <w:rPr>
          <w:rFonts w:ascii="Times New Roman"/>
          <w:b/>
          <w:i w:val="false"/>
          <w:color w:val="000000"/>
        </w:rPr>
        <w:t xml:space="preserve"> Параграф 86. Контроль исходного сырья</w:t>
      </w:r>
    </w:p>
    <w:bookmarkEnd w:id="3469"/>
    <w:bookmarkStart w:name="z3573" w:id="3470"/>
    <w:p>
      <w:pPr>
        <w:spacing w:after="0"/>
        <w:ind w:left="0"/>
        <w:jc w:val="both"/>
      </w:pPr>
      <w:r>
        <w:rPr>
          <w:rFonts w:ascii="Times New Roman"/>
          <w:b w:val="false"/>
          <w:i w:val="false"/>
          <w:color w:val="000000"/>
          <w:sz w:val="28"/>
        </w:rPr>
        <w:t>
      632. Исходное сырье, используемое при производстве АФС, предназначенных для клинических исследований, следует оценивать посредством проведения испытаний или получать вместе с результатами анализа, проведенного поставщиком, и проводить испытание на подлинность. Если вещество считается опасным, то достаточно анализа, проведенного поставщиком.</w:t>
      </w:r>
    </w:p>
    <w:bookmarkEnd w:id="3470"/>
    <w:bookmarkStart w:name="z3574" w:id="3471"/>
    <w:p>
      <w:pPr>
        <w:spacing w:after="0"/>
        <w:ind w:left="0"/>
        <w:jc w:val="both"/>
      </w:pPr>
      <w:r>
        <w:rPr>
          <w:rFonts w:ascii="Times New Roman"/>
          <w:b w:val="false"/>
          <w:i w:val="false"/>
          <w:color w:val="000000"/>
          <w:sz w:val="28"/>
        </w:rPr>
        <w:t>
      633. В некоторых случаях пригодность исходного сырья можно определять перед использованием на основании его пригодности при проведении реакции небольшого масштаба (то есть испытания функциональной пригодности), что предпочтительнее, чем только одни аналитические испытания.</w:t>
      </w:r>
    </w:p>
    <w:bookmarkEnd w:id="3471"/>
    <w:bookmarkStart w:name="z3575" w:id="3472"/>
    <w:p>
      <w:pPr>
        <w:spacing w:after="0"/>
        <w:ind w:left="0"/>
        <w:jc w:val="left"/>
      </w:pPr>
      <w:r>
        <w:rPr>
          <w:rFonts w:ascii="Times New Roman"/>
          <w:b/>
          <w:i w:val="false"/>
          <w:color w:val="000000"/>
        </w:rPr>
        <w:t xml:space="preserve"> Параграф 87. Производство</w:t>
      </w:r>
    </w:p>
    <w:bookmarkEnd w:id="3472"/>
    <w:bookmarkStart w:name="z3576" w:id="3473"/>
    <w:p>
      <w:pPr>
        <w:spacing w:after="0"/>
        <w:ind w:left="0"/>
        <w:jc w:val="both"/>
      </w:pPr>
      <w:r>
        <w:rPr>
          <w:rFonts w:ascii="Times New Roman"/>
          <w:b w:val="false"/>
          <w:i w:val="false"/>
          <w:color w:val="000000"/>
          <w:sz w:val="28"/>
        </w:rPr>
        <w:t>
      634. Процесс производства АФС, предназначенных для клинических исследований, следует фиксировать в лабораторных журналах, в записях на серию или с помощью других подходящих средств. Эти документы включают информацию об использовании производственного сырья, оборудовании, технологическом процессе, а также научные наблюдения.</w:t>
      </w:r>
    </w:p>
    <w:bookmarkEnd w:id="3473"/>
    <w:bookmarkStart w:name="z3577" w:id="3474"/>
    <w:p>
      <w:pPr>
        <w:spacing w:after="0"/>
        <w:ind w:left="0"/>
        <w:jc w:val="both"/>
      </w:pPr>
      <w:r>
        <w:rPr>
          <w:rFonts w:ascii="Times New Roman"/>
          <w:b w:val="false"/>
          <w:i w:val="false"/>
          <w:color w:val="000000"/>
          <w:sz w:val="28"/>
        </w:rPr>
        <w:t>
      635. Ожидаемые выходы продукции могут различаться значительно и быть менее определенными, чем ожидаемые выходы продукции в процессах, выполняемых в промышленном масштабе. Расследование причин отклонений от объема ожидаемого выхода не требуется.</w:t>
      </w:r>
    </w:p>
    <w:bookmarkEnd w:id="3474"/>
    <w:bookmarkStart w:name="z3578" w:id="3475"/>
    <w:p>
      <w:pPr>
        <w:spacing w:after="0"/>
        <w:ind w:left="0"/>
        <w:jc w:val="left"/>
      </w:pPr>
      <w:r>
        <w:rPr>
          <w:rFonts w:ascii="Times New Roman"/>
          <w:b/>
          <w:i w:val="false"/>
          <w:color w:val="000000"/>
        </w:rPr>
        <w:t xml:space="preserve"> Параграф 88. Валидация</w:t>
      </w:r>
    </w:p>
    <w:bookmarkEnd w:id="3475"/>
    <w:bookmarkStart w:name="z3579" w:id="3476"/>
    <w:p>
      <w:pPr>
        <w:spacing w:after="0"/>
        <w:ind w:left="0"/>
        <w:jc w:val="both"/>
      </w:pPr>
      <w:r>
        <w:rPr>
          <w:rFonts w:ascii="Times New Roman"/>
          <w:b w:val="false"/>
          <w:i w:val="false"/>
          <w:color w:val="000000"/>
          <w:sz w:val="28"/>
        </w:rPr>
        <w:t>
      636. Если произведена одна серия АФС или изменения процесса во время разработки АФС делают воспроизводство серий затруднительным или неточным, валидация процесса производства АФС, предназначенной для клинических исследований, обычно нецелесообразна. На этой стадии разработки качество АФС обеспечивается сочетанием контроля, калибровки и при необходимости квалификации оборудования.</w:t>
      </w:r>
    </w:p>
    <w:bookmarkEnd w:id="3476"/>
    <w:bookmarkStart w:name="z3580" w:id="3477"/>
    <w:p>
      <w:pPr>
        <w:spacing w:after="0"/>
        <w:ind w:left="0"/>
        <w:jc w:val="both"/>
      </w:pPr>
      <w:r>
        <w:rPr>
          <w:rFonts w:ascii="Times New Roman"/>
          <w:b w:val="false"/>
          <w:i w:val="false"/>
          <w:color w:val="000000"/>
          <w:sz w:val="28"/>
        </w:rPr>
        <w:t>
      637. Если серии производят для коммерческого использования, даже при условии, что такие серии производят в опытном или опытно-промышленном масштабе, валидацию процесса следует проводить в соответствии с разделом 12 настоящей части.</w:t>
      </w:r>
    </w:p>
    <w:bookmarkEnd w:id="3477"/>
    <w:bookmarkStart w:name="z3581" w:id="3478"/>
    <w:p>
      <w:pPr>
        <w:spacing w:after="0"/>
        <w:ind w:left="0"/>
        <w:jc w:val="left"/>
      </w:pPr>
      <w:r>
        <w:rPr>
          <w:rFonts w:ascii="Times New Roman"/>
          <w:b/>
          <w:i w:val="false"/>
          <w:color w:val="000000"/>
        </w:rPr>
        <w:t xml:space="preserve"> Параграф 89. Изменения</w:t>
      </w:r>
    </w:p>
    <w:bookmarkEnd w:id="3478"/>
    <w:bookmarkStart w:name="z3582" w:id="3479"/>
    <w:p>
      <w:pPr>
        <w:spacing w:after="0"/>
        <w:ind w:left="0"/>
        <w:jc w:val="both"/>
      </w:pPr>
      <w:r>
        <w:rPr>
          <w:rFonts w:ascii="Times New Roman"/>
          <w:b w:val="false"/>
          <w:i w:val="false"/>
          <w:color w:val="000000"/>
          <w:sz w:val="28"/>
        </w:rPr>
        <w:t>
      638. Изменения в технологическом процессе, спецификациях или методиках испытаний следует вносить во время разработки по мере приобретения новых знаний и роста масштаба производства. Каждое изменение следует надлежащим образом регистрировать.</w:t>
      </w:r>
    </w:p>
    <w:bookmarkEnd w:id="3479"/>
    <w:bookmarkStart w:name="z3583" w:id="3480"/>
    <w:p>
      <w:pPr>
        <w:spacing w:after="0"/>
        <w:ind w:left="0"/>
        <w:jc w:val="left"/>
      </w:pPr>
      <w:r>
        <w:rPr>
          <w:rFonts w:ascii="Times New Roman"/>
          <w:b/>
          <w:i w:val="false"/>
          <w:color w:val="000000"/>
        </w:rPr>
        <w:t xml:space="preserve"> Параграф 90. Лабораторный контроль</w:t>
      </w:r>
    </w:p>
    <w:bookmarkEnd w:id="3480"/>
    <w:bookmarkStart w:name="z3584" w:id="3481"/>
    <w:p>
      <w:pPr>
        <w:spacing w:after="0"/>
        <w:ind w:left="0"/>
        <w:jc w:val="both"/>
      </w:pPr>
      <w:r>
        <w:rPr>
          <w:rFonts w:ascii="Times New Roman"/>
          <w:b w:val="false"/>
          <w:i w:val="false"/>
          <w:color w:val="000000"/>
          <w:sz w:val="28"/>
        </w:rPr>
        <w:t>
      639. Несмотря на то что аналитические методики, используемые для оценки серии АФС, предназначенной для клинических исследований, могут еще не пройти валидацию, они научно обоснованы.</w:t>
      </w:r>
    </w:p>
    <w:bookmarkEnd w:id="3481"/>
    <w:bookmarkStart w:name="z3585" w:id="3482"/>
    <w:p>
      <w:pPr>
        <w:spacing w:after="0"/>
        <w:ind w:left="0"/>
        <w:jc w:val="both"/>
      </w:pPr>
      <w:r>
        <w:rPr>
          <w:rFonts w:ascii="Times New Roman"/>
          <w:b w:val="false"/>
          <w:i w:val="false"/>
          <w:color w:val="000000"/>
          <w:sz w:val="28"/>
        </w:rPr>
        <w:t>
      640. Организована система хранения архивных образцов всех серий. Эта система обеспечивает сохранность достаточного количества каждого архивного образца в течение определенного периода после одобрения, завершения или отзыва заявки на регистрацию.</w:t>
      </w:r>
    </w:p>
    <w:bookmarkEnd w:id="3482"/>
    <w:bookmarkStart w:name="z3586" w:id="3483"/>
    <w:p>
      <w:pPr>
        <w:spacing w:after="0"/>
        <w:ind w:left="0"/>
        <w:jc w:val="both"/>
      </w:pPr>
      <w:r>
        <w:rPr>
          <w:rFonts w:ascii="Times New Roman"/>
          <w:b w:val="false"/>
          <w:i w:val="false"/>
          <w:color w:val="000000"/>
          <w:sz w:val="28"/>
        </w:rPr>
        <w:t>
      641. Определение даты истечения срока годности и проведения повторных испытаний, как указано в пункте 505 настоящей части, применимо по отношению к существующим АФС, предназначенным для клинических исследований. Для новых АФС, находящихся на ранних стадиях клинических исследований, требования, определенные в указанном подразделе, обычно не применяются.</w:t>
      </w:r>
    </w:p>
    <w:bookmarkEnd w:id="3483"/>
    <w:bookmarkStart w:name="z3587" w:id="3484"/>
    <w:p>
      <w:pPr>
        <w:spacing w:after="0"/>
        <w:ind w:left="0"/>
        <w:jc w:val="left"/>
      </w:pPr>
      <w:r>
        <w:rPr>
          <w:rFonts w:ascii="Times New Roman"/>
          <w:b/>
          <w:i w:val="false"/>
          <w:color w:val="000000"/>
        </w:rPr>
        <w:t xml:space="preserve"> Параграф 91. Документация</w:t>
      </w:r>
    </w:p>
    <w:bookmarkEnd w:id="3484"/>
    <w:bookmarkStart w:name="z3588" w:id="3485"/>
    <w:p>
      <w:pPr>
        <w:spacing w:after="0"/>
        <w:ind w:left="0"/>
        <w:jc w:val="both"/>
      </w:pPr>
      <w:r>
        <w:rPr>
          <w:rFonts w:ascii="Times New Roman"/>
          <w:b w:val="false"/>
          <w:i w:val="false"/>
          <w:color w:val="000000"/>
          <w:sz w:val="28"/>
        </w:rPr>
        <w:t>
      642. Система документации гарантирует, что информация, полученная в ходе разработки и производства АФС, предназначенных для клинических исследований, будет оформлена должным образом и доступна для использования.</w:t>
      </w:r>
    </w:p>
    <w:bookmarkEnd w:id="3485"/>
    <w:bookmarkStart w:name="z3589" w:id="3486"/>
    <w:p>
      <w:pPr>
        <w:spacing w:after="0"/>
        <w:ind w:left="0"/>
        <w:jc w:val="both"/>
      </w:pPr>
      <w:r>
        <w:rPr>
          <w:rFonts w:ascii="Times New Roman"/>
          <w:b w:val="false"/>
          <w:i w:val="false"/>
          <w:color w:val="000000"/>
          <w:sz w:val="28"/>
        </w:rPr>
        <w:t>
      643. Разработка и применение аналитических методик, используемых для подтверждения выпуска серии АФС, предназначенной для клинических исследований, оформлены документально.</w:t>
      </w:r>
    </w:p>
    <w:bookmarkEnd w:id="3486"/>
    <w:bookmarkStart w:name="z3590" w:id="3487"/>
    <w:p>
      <w:pPr>
        <w:spacing w:after="0"/>
        <w:ind w:left="0"/>
        <w:jc w:val="both"/>
      </w:pPr>
      <w:r>
        <w:rPr>
          <w:rFonts w:ascii="Times New Roman"/>
          <w:b w:val="false"/>
          <w:i w:val="false"/>
          <w:color w:val="000000"/>
          <w:sz w:val="28"/>
        </w:rPr>
        <w:t>
      644. Разработана и внедрена система хранения записей по производству и контролю и соответствующей документации. Эта система обеспечивает хранение записей и документов течение установленного периода времени после одобрения, завершения или отзыва заявки на регистрацию.</w:t>
      </w:r>
    </w:p>
    <w:bookmarkEnd w:id="3487"/>
    <w:bookmarkStart w:name="z3591" w:id="3488"/>
    <w:p>
      <w:pPr>
        <w:spacing w:after="0"/>
        <w:ind w:left="0"/>
        <w:jc w:val="left"/>
      </w:pPr>
      <w:r>
        <w:rPr>
          <w:rFonts w:ascii="Times New Roman"/>
          <w:b/>
          <w:i w:val="false"/>
          <w:color w:val="000000"/>
        </w:rPr>
        <w:t xml:space="preserve"> Параграф 92. Термины и определения</w:t>
      </w:r>
    </w:p>
    <w:bookmarkEnd w:id="3488"/>
    <w:bookmarkStart w:name="z3592" w:id="3489"/>
    <w:p>
      <w:pPr>
        <w:spacing w:after="0"/>
        <w:ind w:left="0"/>
        <w:jc w:val="both"/>
      </w:pPr>
      <w:r>
        <w:rPr>
          <w:rFonts w:ascii="Times New Roman"/>
          <w:b w:val="false"/>
          <w:i w:val="false"/>
          <w:color w:val="000000"/>
          <w:sz w:val="28"/>
        </w:rPr>
        <w:t>
      645. Для целей настоящей части используются основные понятия, которые означают следующее:</w:t>
      </w:r>
    </w:p>
    <w:bookmarkEnd w:id="3489"/>
    <w:bookmarkStart w:name="z3593" w:id="3490"/>
    <w:p>
      <w:pPr>
        <w:spacing w:after="0"/>
        <w:ind w:left="0"/>
        <w:jc w:val="both"/>
      </w:pPr>
      <w:r>
        <w:rPr>
          <w:rFonts w:ascii="Times New Roman"/>
          <w:b w:val="false"/>
          <w:i w:val="false"/>
          <w:color w:val="000000"/>
          <w:sz w:val="28"/>
        </w:rPr>
        <w:t>
      "активная фармацевтическая субстанция" (АФС, active pharmaceutical ingredient, API) - вещество или смесь веществ, используемые в производстве лекарственного препарата, которые в процессе производства становятся его активным ингредиентом (действующим веществом). Такие вещества обладают фармакологическим или другим непосредственным действием, предназначены для лечения, диагностики или профилактики заболеваний, ухода, обработки и облегчения симптомов, оказывают влияние на структуры или физиологические функции организма;</w:t>
      </w:r>
    </w:p>
    <w:bookmarkEnd w:id="3490"/>
    <w:bookmarkStart w:name="z3594" w:id="3491"/>
    <w:p>
      <w:pPr>
        <w:spacing w:after="0"/>
        <w:ind w:left="0"/>
        <w:jc w:val="both"/>
      </w:pPr>
      <w:r>
        <w:rPr>
          <w:rFonts w:ascii="Times New Roman"/>
          <w:b w:val="false"/>
          <w:i w:val="false"/>
          <w:color w:val="000000"/>
          <w:sz w:val="28"/>
        </w:rPr>
        <w:t>
      1) "бионагрузка" (bio burden) - уровень и вид микроорганизмов (например, неприемлемые или допустимые микроорганизмы), которые могут присутствовать в исходном сырье, исходном сырье для производства активной фармацевтической субстанции, промежуточной продукции или в активной фармацевтической субстанции. Бионагрузку не следует считать контаминацией, если ее уровни не превышают установленные предельные значения или не обнаружены микроорганизмы, определяемые как недопустимые;</w:t>
      </w:r>
    </w:p>
    <w:bookmarkEnd w:id="3491"/>
    <w:bookmarkStart w:name="z3595" w:id="3492"/>
    <w:p>
      <w:pPr>
        <w:spacing w:after="0"/>
        <w:ind w:left="0"/>
        <w:jc w:val="both"/>
      </w:pPr>
      <w:r>
        <w:rPr>
          <w:rFonts w:ascii="Times New Roman"/>
          <w:b w:val="false"/>
          <w:i w:val="false"/>
          <w:color w:val="000000"/>
          <w:sz w:val="28"/>
        </w:rPr>
        <w:t>
      2) "валидация" (validation) - документально оформленные действия, дающие высокую степень уверенности в том, что конкретный процесс, методика или система будут постоянно приводить к результатам, соответствующим заранее установленным критериям приемлемости;</w:t>
      </w:r>
    </w:p>
    <w:bookmarkEnd w:id="3492"/>
    <w:bookmarkStart w:name="z3596" w:id="3493"/>
    <w:p>
      <w:pPr>
        <w:spacing w:after="0"/>
        <w:ind w:left="0"/>
        <w:jc w:val="both"/>
      </w:pPr>
      <w:r>
        <w:rPr>
          <w:rFonts w:ascii="Times New Roman"/>
          <w:b w:val="false"/>
          <w:i w:val="false"/>
          <w:color w:val="000000"/>
          <w:sz w:val="28"/>
        </w:rPr>
        <w:t>
      3) "вспомогательные материалы" (process aids) - материалы, за исключением растворителей, являющиеся вспомогательными при производстве промежуточной продукции или активной фармацевтической субстанции и сами по себе не участвующие в химической или биологической реакции (например, фильтрующие материалы, активированный уголь и т. п.);</w:t>
      </w:r>
    </w:p>
    <w:bookmarkEnd w:id="3493"/>
    <w:bookmarkStart w:name="z3597" w:id="3494"/>
    <w:p>
      <w:pPr>
        <w:spacing w:after="0"/>
        <w:ind w:left="0"/>
        <w:jc w:val="both"/>
      </w:pPr>
      <w:r>
        <w:rPr>
          <w:rFonts w:ascii="Times New Roman"/>
          <w:b w:val="false"/>
          <w:i w:val="false"/>
          <w:color w:val="000000"/>
          <w:sz w:val="28"/>
        </w:rPr>
        <w:t>
      4) "выход ожидаемый" (yield, expected) - количество материала или процент от теоретического выхода, ожидаемые на любой соответствующей стадии технологического процесса, основанные на данных, предварительно полученных при производстве этого материала в лабораторных, опытных или промышленных условиях;</w:t>
      </w:r>
    </w:p>
    <w:bookmarkEnd w:id="3494"/>
    <w:bookmarkStart w:name="z3598" w:id="3495"/>
    <w:p>
      <w:pPr>
        <w:spacing w:after="0"/>
        <w:ind w:left="0"/>
        <w:jc w:val="both"/>
      </w:pPr>
      <w:r>
        <w:rPr>
          <w:rFonts w:ascii="Times New Roman"/>
          <w:b w:val="false"/>
          <w:i w:val="false"/>
          <w:color w:val="000000"/>
          <w:sz w:val="28"/>
        </w:rPr>
        <w:t>
      5) "выход теоретический" (yield, theoretical) - количество материала, которое определено на основании количества используемого материала могло бы быть произведено на любой соответствующей стадии технологического процесса при условии отсутствия каких-либо потерь или отклонений в условиях реального технологического процесса;</w:t>
      </w:r>
    </w:p>
    <w:bookmarkEnd w:id="3495"/>
    <w:bookmarkStart w:name="z3599" w:id="3496"/>
    <w:p>
      <w:pPr>
        <w:spacing w:after="0"/>
        <w:ind w:left="0"/>
        <w:jc w:val="both"/>
      </w:pPr>
      <w:r>
        <w:rPr>
          <w:rFonts w:ascii="Times New Roman"/>
          <w:b w:val="false"/>
          <w:i w:val="false"/>
          <w:color w:val="000000"/>
          <w:sz w:val="28"/>
        </w:rPr>
        <w:t>
      6) "дата истечения срока годности" (expiry date or expiration date) - дата, указанная на упаковке (этикетках) активной фармацевтической субстанции и обозначающая период времени, в течение которого при хранении в установленных условиях характеристики активной фармацевтической субстанции остаються в пределах спецификаций и по истечении которого активную фармацевтическую субстанцию нельзя использовать;</w:t>
      </w:r>
    </w:p>
    <w:bookmarkEnd w:id="3496"/>
    <w:bookmarkStart w:name="z3600" w:id="3497"/>
    <w:p>
      <w:pPr>
        <w:spacing w:after="0"/>
        <w:ind w:left="0"/>
        <w:jc w:val="both"/>
      </w:pPr>
      <w:r>
        <w:rPr>
          <w:rFonts w:ascii="Times New Roman"/>
          <w:b w:val="false"/>
          <w:i w:val="false"/>
          <w:color w:val="000000"/>
          <w:sz w:val="28"/>
        </w:rPr>
        <w:t>
      7) "дата повторного испытания" (retest date) - дата проведения повторного контроля материала для подтверждения его пригодности для дальнейшего использования;</w:t>
      </w:r>
    </w:p>
    <w:bookmarkEnd w:id="3497"/>
    <w:bookmarkStart w:name="z3601" w:id="3498"/>
    <w:p>
      <w:pPr>
        <w:spacing w:after="0"/>
        <w:ind w:left="0"/>
        <w:jc w:val="both"/>
      </w:pPr>
      <w:r>
        <w:rPr>
          <w:rFonts w:ascii="Times New Roman"/>
          <w:b w:val="false"/>
          <w:i w:val="false"/>
          <w:color w:val="000000"/>
          <w:sz w:val="28"/>
        </w:rPr>
        <w:t>
      "исходное сырье" (raw material) - общее понятие, используемое для обозначения исходных материалов, реактивов и растворителей, предназначенных для производства промежуточной продукции или активной фармацевтической субстанции;</w:t>
      </w:r>
    </w:p>
    <w:bookmarkEnd w:id="3498"/>
    <w:bookmarkStart w:name="z3602" w:id="3499"/>
    <w:p>
      <w:pPr>
        <w:spacing w:after="0"/>
        <w:ind w:left="0"/>
        <w:jc w:val="both"/>
      </w:pPr>
      <w:r>
        <w:rPr>
          <w:rFonts w:ascii="Times New Roman"/>
          <w:b w:val="false"/>
          <w:i w:val="false"/>
          <w:color w:val="000000"/>
          <w:sz w:val="28"/>
        </w:rPr>
        <w:t>
      8) "исходное сырье для производства активной фармацевтической субстанции" (API starting material) - сырье, промежуточная продукция или другие активной фармацевтической субстанции, которые используются для производства активной фармацевтической субстанции и входят в структуру активной фармацевтической субстанции в качестве важного структурного фрагмента. Исходное сырье для производства активной фармацевтической субстанции закупается у одного или нескольких поставщиков, либо производиться самостоятельно. Исходное сырье для производства активной фармацевтической субстанции, как правило, имеет установленные химические свойства и структуру;</w:t>
      </w:r>
    </w:p>
    <w:bookmarkEnd w:id="3499"/>
    <w:bookmarkStart w:name="z3603" w:id="3500"/>
    <w:p>
      <w:pPr>
        <w:spacing w:after="0"/>
        <w:ind w:left="0"/>
        <w:jc w:val="both"/>
      </w:pPr>
      <w:r>
        <w:rPr>
          <w:rFonts w:ascii="Times New Roman"/>
          <w:b w:val="false"/>
          <w:i w:val="false"/>
          <w:color w:val="000000"/>
          <w:sz w:val="28"/>
        </w:rPr>
        <w:t>
      9) "калибровка" (calibration) - демонстрация того, что конкретный прибор или устройство дает результаты в установленных пределах по сравнению с результатами, получаемыми при использовании стандартного образца, или с результатами сопоставимого со стандартом образца во всем соответствующем диапазоне измерений;</w:t>
      </w:r>
    </w:p>
    <w:bookmarkEnd w:id="3500"/>
    <w:bookmarkStart w:name="z3604" w:id="3501"/>
    <w:p>
      <w:pPr>
        <w:spacing w:after="0"/>
        <w:ind w:left="0"/>
        <w:jc w:val="both"/>
      </w:pPr>
      <w:r>
        <w:rPr>
          <w:rFonts w:ascii="Times New Roman"/>
          <w:b w:val="false"/>
          <w:i w:val="false"/>
          <w:color w:val="000000"/>
          <w:sz w:val="28"/>
        </w:rPr>
        <w:t>
      "карантин" (quarantine) - статус веществ и материалов, изолированных физически или другими эффективными способами, до принятия решения об их последующем одобрении или отклонении;</w:t>
      </w:r>
    </w:p>
    <w:bookmarkEnd w:id="3501"/>
    <w:bookmarkStart w:name="z3605" w:id="3502"/>
    <w:p>
      <w:pPr>
        <w:spacing w:after="0"/>
        <w:ind w:left="0"/>
        <w:jc w:val="both"/>
      </w:pPr>
      <w:r>
        <w:rPr>
          <w:rFonts w:ascii="Times New Roman"/>
          <w:b w:val="false"/>
          <w:i w:val="false"/>
          <w:color w:val="000000"/>
          <w:sz w:val="28"/>
        </w:rPr>
        <w:t>
      10) "квалификация" (qualification) - действия, удостоверяющие и подтверждающие документально тот факт, что оборудование или вспомогательные системы смонтированы должным образом, правильно функционируют и действительно приводят к ожидаемым результатам. Квалификация является частью валидации, но отдельные этапы квалификации сами по себе не являются элементами валидации процесса;</w:t>
      </w:r>
    </w:p>
    <w:bookmarkEnd w:id="3502"/>
    <w:bookmarkStart w:name="z3606" w:id="3503"/>
    <w:p>
      <w:pPr>
        <w:spacing w:after="0"/>
        <w:ind w:left="0"/>
        <w:jc w:val="both"/>
      </w:pPr>
      <w:r>
        <w:rPr>
          <w:rFonts w:ascii="Times New Roman"/>
          <w:b w:val="false"/>
          <w:i w:val="false"/>
          <w:color w:val="000000"/>
          <w:sz w:val="28"/>
        </w:rPr>
        <w:t>
      "компьютеризированная система" (computerized system) - процесс или операция, объединенные в одно целое с компьютерной системой;</w:t>
      </w:r>
    </w:p>
    <w:bookmarkEnd w:id="3503"/>
    <w:bookmarkStart w:name="z3607" w:id="3504"/>
    <w:p>
      <w:pPr>
        <w:spacing w:after="0"/>
        <w:ind w:left="0"/>
        <w:jc w:val="both"/>
      </w:pPr>
      <w:r>
        <w:rPr>
          <w:rFonts w:ascii="Times New Roman"/>
          <w:b w:val="false"/>
          <w:i w:val="false"/>
          <w:color w:val="000000"/>
          <w:sz w:val="28"/>
        </w:rPr>
        <w:t>
      11) "компьютерная система" (computer system) - группа компонентов аппаратного обеспечения и соответствующего программного обеспечения, спроектированная и смонтированная таким образом, чтобы выполнять определенную функцию или набор функций;</w:t>
      </w:r>
    </w:p>
    <w:bookmarkEnd w:id="3504"/>
    <w:bookmarkStart w:name="z3608" w:id="3505"/>
    <w:p>
      <w:pPr>
        <w:spacing w:after="0"/>
        <w:ind w:left="0"/>
        <w:jc w:val="both"/>
      </w:pPr>
      <w:r>
        <w:rPr>
          <w:rFonts w:ascii="Times New Roman"/>
          <w:b w:val="false"/>
          <w:i w:val="false"/>
          <w:color w:val="000000"/>
          <w:sz w:val="28"/>
        </w:rPr>
        <w:t>
      12) "контаминация" (contamination) - нежелательное внесение примесей химической или микробиологической природы или инородных веществ в исходное сырье, промежуточную продукцию или активную фармацевтическую субстанцию во время технологического процесса, отбора проб, упаковки или переупаковки, хранения или транспортирования;</w:t>
      </w:r>
    </w:p>
    <w:bookmarkEnd w:id="3505"/>
    <w:bookmarkStart w:name="z3609" w:id="3506"/>
    <w:p>
      <w:pPr>
        <w:spacing w:after="0"/>
        <w:ind w:left="0"/>
        <w:jc w:val="both"/>
      </w:pPr>
      <w:r>
        <w:rPr>
          <w:rFonts w:ascii="Times New Roman"/>
          <w:b w:val="false"/>
          <w:i w:val="false"/>
          <w:color w:val="000000"/>
          <w:sz w:val="28"/>
        </w:rPr>
        <w:t>
      13) "контроль в процессе производства" (внутрипроизводственный контроль, межоперационный контроль) (in-process control or process control)) - проверки, осуществляемые в ходе технологического процесса целью надзора (мониторинга) и при необходимости регулирования процесса и (или) для подтверждения того, что промежуточная продукция или активная фармацевтическая субстанция соответствуют спецификациям;</w:t>
      </w:r>
    </w:p>
    <w:bookmarkEnd w:id="3506"/>
    <w:bookmarkStart w:name="z3610" w:id="3507"/>
    <w:p>
      <w:pPr>
        <w:spacing w:after="0"/>
        <w:ind w:left="0"/>
        <w:jc w:val="both"/>
      </w:pPr>
      <w:r>
        <w:rPr>
          <w:rFonts w:ascii="Times New Roman"/>
          <w:b w:val="false"/>
          <w:i w:val="false"/>
          <w:color w:val="000000"/>
          <w:sz w:val="28"/>
        </w:rPr>
        <w:t>
      14) "контроль качества" (quality control, QC) - проверка или испытание на соответствие спецификациям;</w:t>
      </w:r>
    </w:p>
    <w:bookmarkEnd w:id="3507"/>
    <w:bookmarkStart w:name="z3611" w:id="3508"/>
    <w:p>
      <w:pPr>
        <w:spacing w:after="0"/>
        <w:ind w:left="0"/>
        <w:jc w:val="both"/>
      </w:pPr>
      <w:r>
        <w:rPr>
          <w:rFonts w:ascii="Times New Roman"/>
          <w:b w:val="false"/>
          <w:i w:val="false"/>
          <w:color w:val="000000"/>
          <w:sz w:val="28"/>
        </w:rPr>
        <w:t>
      15) "критерии приемлемости" (допустимые нормы) (acceptance criteria) - числовые пределы, интервалы или другие подходящие критерии приемлемости результатов испытаний;</w:t>
      </w:r>
    </w:p>
    <w:bookmarkEnd w:id="3508"/>
    <w:bookmarkStart w:name="z3612" w:id="3509"/>
    <w:p>
      <w:pPr>
        <w:spacing w:after="0"/>
        <w:ind w:left="0"/>
        <w:jc w:val="both"/>
      </w:pPr>
      <w:r>
        <w:rPr>
          <w:rFonts w:ascii="Times New Roman"/>
          <w:b w:val="false"/>
          <w:i w:val="false"/>
          <w:color w:val="000000"/>
          <w:sz w:val="28"/>
        </w:rPr>
        <w:t>
      16) "критический" (critical) - термин, относящийся к производственной стадии, условию технологического процесса, требованию испытаний или любому другому существенному параметру или предмету, которые следует поддерживать в рамках предварительно установленных критериев для обеспечения соответствия активной фармацевтической субстанции своей спецификации;</w:t>
      </w:r>
    </w:p>
    <w:bookmarkEnd w:id="3509"/>
    <w:bookmarkStart w:name="z3613" w:id="3510"/>
    <w:p>
      <w:pPr>
        <w:spacing w:after="0"/>
        <w:ind w:left="0"/>
        <w:jc w:val="both"/>
      </w:pPr>
      <w:r>
        <w:rPr>
          <w:rFonts w:ascii="Times New Roman"/>
          <w:b w:val="false"/>
          <w:i w:val="false"/>
          <w:color w:val="000000"/>
          <w:sz w:val="28"/>
        </w:rPr>
        <w:t>
      17) "лекарственный препарат" (drug (medicinal) product) - лекарственное средство в виде лекарственной формы;</w:t>
      </w:r>
    </w:p>
    <w:bookmarkEnd w:id="3510"/>
    <w:bookmarkStart w:name="z3614" w:id="3511"/>
    <w:p>
      <w:pPr>
        <w:spacing w:after="0"/>
        <w:ind w:left="0"/>
        <w:jc w:val="both"/>
      </w:pPr>
      <w:r>
        <w:rPr>
          <w:rFonts w:ascii="Times New Roman"/>
          <w:b w:val="false"/>
          <w:i w:val="false"/>
          <w:color w:val="000000"/>
          <w:sz w:val="28"/>
        </w:rPr>
        <w:t>
      18) "материал" (material) - общее понятие, обозначающее сырье (исходное сырье, реактивы, растворители), вспомогательные материалы, промежуточную продукцию, активную фармацевтическую субстанцию и материалы для упаковки и маркировки;</w:t>
      </w:r>
    </w:p>
    <w:bookmarkEnd w:id="3511"/>
    <w:bookmarkStart w:name="z3615" w:id="3512"/>
    <w:p>
      <w:pPr>
        <w:spacing w:after="0"/>
        <w:ind w:left="0"/>
        <w:jc w:val="both"/>
      </w:pPr>
      <w:r>
        <w:rPr>
          <w:rFonts w:ascii="Times New Roman"/>
          <w:b w:val="false"/>
          <w:i w:val="false"/>
          <w:color w:val="000000"/>
          <w:sz w:val="28"/>
        </w:rPr>
        <w:t>
      19) "маточная жидкость" (mother liquor) - остаточная жидкость после процессов кристаллизации или выделения. Маточная жидкость содержать непрореагировавшие вещества, промежуточную продукцию, некоторые количества активной фармацевтической субстанции и (или) примесей. Она используются для дальнейшей обработки;</w:t>
      </w:r>
    </w:p>
    <w:bookmarkEnd w:id="3512"/>
    <w:bookmarkStart w:name="z3616" w:id="3513"/>
    <w:p>
      <w:pPr>
        <w:spacing w:after="0"/>
        <w:ind w:left="0"/>
        <w:jc w:val="both"/>
      </w:pPr>
      <w:r>
        <w:rPr>
          <w:rFonts w:ascii="Times New Roman"/>
          <w:b w:val="false"/>
          <w:i w:val="false"/>
          <w:color w:val="000000"/>
          <w:sz w:val="28"/>
        </w:rPr>
        <w:t>
      20) "номер серии, номер партии" (batch number or lot number) - уникальная комбинация цифр, букв и (или) символов, которые идентифицируют серию (партию) и на основании которых можно определить историю ее производства и реализации;</w:t>
      </w:r>
    </w:p>
    <w:bookmarkEnd w:id="3513"/>
    <w:bookmarkStart w:name="z3617" w:id="3514"/>
    <w:p>
      <w:pPr>
        <w:spacing w:after="0"/>
        <w:ind w:left="0"/>
        <w:jc w:val="both"/>
      </w:pPr>
      <w:r>
        <w:rPr>
          <w:rFonts w:ascii="Times New Roman"/>
          <w:b w:val="false"/>
          <w:i w:val="false"/>
          <w:color w:val="000000"/>
          <w:sz w:val="28"/>
        </w:rPr>
        <w:t>
      21) "обеспечение качества" (quality assurance, QA) - совокупность всех организационных мероприятий, направленных на обеспечение того, чтобы все активные фармацевтические субстанции имели качество, необходимое для их предполагаемого применения, а все системы качества поддерживались в рабочем состоянии;</w:t>
      </w:r>
    </w:p>
    <w:bookmarkEnd w:id="3514"/>
    <w:bookmarkStart w:name="z3618" w:id="3515"/>
    <w:p>
      <w:pPr>
        <w:spacing w:after="0"/>
        <w:ind w:left="0"/>
        <w:jc w:val="both"/>
      </w:pPr>
      <w:r>
        <w:rPr>
          <w:rFonts w:ascii="Times New Roman"/>
          <w:b w:val="false"/>
          <w:i w:val="false"/>
          <w:color w:val="000000"/>
          <w:sz w:val="28"/>
        </w:rPr>
        <w:t>
      22) "отдел (отделы) качества" (quality unit(s)) - подразделение, независимое от производства и выполняющее обязанности как по обеспечению качества, так и по контролю качества. Это могут быть либо отдельные службы обеспечения качества и контроля качества, либо лицо или группа лиц в зависимости от масштаба и структуры организации;</w:t>
      </w:r>
    </w:p>
    <w:bookmarkEnd w:id="3515"/>
    <w:bookmarkStart w:name="z3619" w:id="3516"/>
    <w:p>
      <w:pPr>
        <w:spacing w:after="0"/>
        <w:ind w:left="0"/>
        <w:jc w:val="both"/>
      </w:pPr>
      <w:r>
        <w:rPr>
          <w:rFonts w:ascii="Times New Roman"/>
          <w:b w:val="false"/>
          <w:i w:val="false"/>
          <w:color w:val="000000"/>
          <w:sz w:val="28"/>
        </w:rPr>
        <w:t>
      23) "отклонение" (deviation) - отступление от утвержденной инструкции или утвержденного документа;</w:t>
      </w:r>
    </w:p>
    <w:bookmarkEnd w:id="3516"/>
    <w:bookmarkStart w:name="z3620" w:id="3517"/>
    <w:p>
      <w:pPr>
        <w:spacing w:after="0"/>
        <w:ind w:left="0"/>
        <w:jc w:val="both"/>
      </w:pPr>
      <w:r>
        <w:rPr>
          <w:rFonts w:ascii="Times New Roman"/>
          <w:b w:val="false"/>
          <w:i w:val="false"/>
          <w:color w:val="000000"/>
          <w:sz w:val="28"/>
        </w:rPr>
        <w:t>
      24) "перекрестная контаминация" (cross-contamination) - загрязнение материала или продукции другим материалом или продукцией;</w:t>
      </w:r>
    </w:p>
    <w:bookmarkEnd w:id="3517"/>
    <w:bookmarkStart w:name="z3621" w:id="3518"/>
    <w:p>
      <w:pPr>
        <w:spacing w:after="0"/>
        <w:ind w:left="0"/>
        <w:jc w:val="both"/>
      </w:pPr>
      <w:r>
        <w:rPr>
          <w:rFonts w:ascii="Times New Roman"/>
          <w:b w:val="false"/>
          <w:i w:val="false"/>
          <w:color w:val="000000"/>
          <w:sz w:val="28"/>
        </w:rPr>
        <w:t>
      25) "переработка" (reworking) - проведение одной или нескольких стадий, отличающихся от установленного производственного процесса, целью обработки такой промежуточной продукции или активной фармацевтической субстанции, которая не соответствует стандартам или спецификациям, для получения промежуточной продукции или активной фармацевтической субстанции приемлемого качества (например, перекристаллизация с помощью другого растворителя);</w:t>
      </w:r>
    </w:p>
    <w:bookmarkEnd w:id="3518"/>
    <w:bookmarkStart w:name="z3622" w:id="3519"/>
    <w:p>
      <w:pPr>
        <w:spacing w:after="0"/>
        <w:ind w:left="0"/>
        <w:jc w:val="both"/>
      </w:pPr>
      <w:r>
        <w:rPr>
          <w:rFonts w:ascii="Times New Roman"/>
          <w:b w:val="false"/>
          <w:i w:val="false"/>
          <w:color w:val="000000"/>
          <w:sz w:val="28"/>
        </w:rPr>
        <w:t>
      26) "повторная обработка" (reprocessing) - возвращение в процесс промежуточной продукции или активной фармацевтической субстанции, включая продукцию, не соответствующую стандартам или спецификациям, и повторное проведение стадии кристаллизации или других соответствующих химических или физических стадий обработки (например, дистилляции, фильтрации, хроматографирования, измельчения), являющихся частью утвержденного производственного процесса. Продолжение осуществления стадии технологического процесса после того, как контроль в процессе производства показал, что стадия не завершена, считается частью обычного процесса, а не повторной обработкой;</w:t>
      </w:r>
    </w:p>
    <w:bookmarkEnd w:id="3519"/>
    <w:bookmarkStart w:name="z3623" w:id="3520"/>
    <w:p>
      <w:pPr>
        <w:spacing w:after="0"/>
        <w:ind w:left="0"/>
        <w:jc w:val="both"/>
      </w:pPr>
      <w:r>
        <w:rPr>
          <w:rFonts w:ascii="Times New Roman"/>
          <w:b w:val="false"/>
          <w:i w:val="false"/>
          <w:color w:val="000000"/>
          <w:sz w:val="28"/>
        </w:rPr>
        <w:t>
      27) "подписано (подпись)" (signed (signature)) - подпись лица, которое выполняло определенное действие или осуществляло проверку. Подпись в виде инициалов, полного рукописного варианта имени и фамилии, рукописной подписи, личной печати или аутентичной и защищенной электронной подписи;</w:t>
      </w:r>
    </w:p>
    <w:bookmarkEnd w:id="3520"/>
    <w:bookmarkStart w:name="z3624" w:id="3521"/>
    <w:p>
      <w:pPr>
        <w:spacing w:after="0"/>
        <w:ind w:left="0"/>
        <w:jc w:val="both"/>
      </w:pPr>
      <w:r>
        <w:rPr>
          <w:rFonts w:ascii="Times New Roman"/>
          <w:b w:val="false"/>
          <w:i w:val="false"/>
          <w:color w:val="000000"/>
          <w:sz w:val="28"/>
        </w:rPr>
        <w:t>
      28) "примесь" (impurity) - любой компонент, присутствующий в промежуточной продукции или активной фармацевтической субстанции, наличие которого нежелательно;</w:t>
      </w:r>
    </w:p>
    <w:bookmarkEnd w:id="3521"/>
    <w:bookmarkStart w:name="z3625" w:id="3522"/>
    <w:p>
      <w:pPr>
        <w:spacing w:after="0"/>
        <w:ind w:left="0"/>
        <w:jc w:val="both"/>
      </w:pPr>
      <w:r>
        <w:rPr>
          <w:rFonts w:ascii="Times New Roman"/>
          <w:b w:val="false"/>
          <w:i w:val="false"/>
          <w:color w:val="000000"/>
          <w:sz w:val="28"/>
        </w:rPr>
        <w:t>
      "производитель, работающий по контракту" (contract manufacturer) - производитель, выполняющий определенный вид производственной деятельности по поручению первоначального производителя;</w:t>
      </w:r>
    </w:p>
    <w:bookmarkEnd w:id="3522"/>
    <w:bookmarkStart w:name="z3626" w:id="3523"/>
    <w:p>
      <w:pPr>
        <w:spacing w:after="0"/>
        <w:ind w:left="0"/>
        <w:jc w:val="both"/>
      </w:pPr>
      <w:r>
        <w:rPr>
          <w:rFonts w:ascii="Times New Roman"/>
          <w:b w:val="false"/>
          <w:i w:val="false"/>
          <w:color w:val="000000"/>
          <w:sz w:val="28"/>
        </w:rPr>
        <w:t>
      29) "производство" (manufacture) - операции и виды контроля, связанные с приемкой материалов, технологическим процессом, упаковкой, переупаковкой, маркировкой, перемаркировкой, выпуском, хранением и отгрузкой активной фармацевтической субстанции;</w:t>
      </w:r>
    </w:p>
    <w:bookmarkEnd w:id="3523"/>
    <w:bookmarkStart w:name="z3627" w:id="3524"/>
    <w:p>
      <w:pPr>
        <w:spacing w:after="0"/>
        <w:ind w:left="0"/>
        <w:jc w:val="both"/>
      </w:pPr>
      <w:r>
        <w:rPr>
          <w:rFonts w:ascii="Times New Roman"/>
          <w:b w:val="false"/>
          <w:i w:val="false"/>
          <w:color w:val="000000"/>
          <w:sz w:val="28"/>
        </w:rPr>
        <w:t>
      30) "промежуточная продукция" (intermediate) - материал, который получают в ходе стадий технологического процесса производства активной фармацевтической субстанции и который претерпевает дальнейшие молекулярные превращения или подвергается очистке, прежде чем станет активной фармацевтической субстанции. Промежуточная продукция в ходе технологического процесса подвергаются или не подвергаются выделению;</w:t>
      </w:r>
    </w:p>
    <w:bookmarkEnd w:id="3524"/>
    <w:bookmarkStart w:name="z3628" w:id="3525"/>
    <w:p>
      <w:pPr>
        <w:spacing w:after="0"/>
        <w:ind w:left="0"/>
        <w:jc w:val="both"/>
      </w:pPr>
      <w:r>
        <w:rPr>
          <w:rFonts w:ascii="Times New Roman"/>
          <w:b w:val="false"/>
          <w:i w:val="false"/>
          <w:color w:val="000000"/>
          <w:sz w:val="28"/>
        </w:rPr>
        <w:t>
      31) "протокол валидации" (validation protocol) - документально оформленный план, указывающий, как следует проводить валидацию, и определяющий критерии приемлемости. Например, в протоколе валидации производственного процесса указывают технологическое оборудование, критические параметры процесса и его рабочие режимы, характеристики продукции, отбор проб, данные испытаний, которые собирают, количество валидационных циклов и приемлемые результаты испытаний;</w:t>
      </w:r>
    </w:p>
    <w:bookmarkEnd w:id="3525"/>
    <w:bookmarkStart w:name="z3629" w:id="3526"/>
    <w:p>
      <w:pPr>
        <w:spacing w:after="0"/>
        <w:ind w:left="0"/>
        <w:jc w:val="both"/>
      </w:pPr>
      <w:r>
        <w:rPr>
          <w:rFonts w:ascii="Times New Roman"/>
          <w:b w:val="false"/>
          <w:i w:val="false"/>
          <w:color w:val="000000"/>
          <w:sz w:val="28"/>
        </w:rPr>
        <w:t>
      32) "профиль примесей" (impurity profile) - описание идентифицированных и неидентифицированных примесей, присутствующих в активной фармацевтической субстанции;</w:t>
      </w:r>
    </w:p>
    <w:bookmarkEnd w:id="3526"/>
    <w:bookmarkStart w:name="z3630" w:id="3527"/>
    <w:p>
      <w:pPr>
        <w:spacing w:after="0"/>
        <w:ind w:left="0"/>
        <w:jc w:val="both"/>
      </w:pPr>
      <w:r>
        <w:rPr>
          <w:rFonts w:ascii="Times New Roman"/>
          <w:b w:val="false"/>
          <w:i w:val="false"/>
          <w:color w:val="000000"/>
          <w:sz w:val="28"/>
        </w:rPr>
        <w:t>
      33) "процедура" (procedure) - документально оформленное описание операций, подлежащих выполнению, мер предосторожности и мероприятий, прямо или косвенно относящихся к производству промежуточной продукции или активной фармацевтической субстанции;</w:t>
      </w:r>
    </w:p>
    <w:bookmarkEnd w:id="3527"/>
    <w:bookmarkStart w:name="z3631" w:id="3528"/>
    <w:p>
      <w:pPr>
        <w:spacing w:after="0"/>
        <w:ind w:left="0"/>
        <w:jc w:val="both"/>
      </w:pPr>
      <w:r>
        <w:rPr>
          <w:rFonts w:ascii="Times New Roman"/>
          <w:b w:val="false"/>
          <w:i w:val="false"/>
          <w:color w:val="000000"/>
          <w:sz w:val="28"/>
        </w:rPr>
        <w:t>
      34) "растворитель" (solvent) - неорганическая или органическая жидкость, используемая в качестве среды для приготовления растворов или суспензий при производстве промежуточной продукции или активной фармацевтической субстанции;</w:t>
      </w:r>
    </w:p>
    <w:bookmarkEnd w:id="3528"/>
    <w:bookmarkStart w:name="z3632" w:id="3529"/>
    <w:p>
      <w:pPr>
        <w:spacing w:after="0"/>
        <w:ind w:left="0"/>
        <w:jc w:val="both"/>
      </w:pPr>
      <w:r>
        <w:rPr>
          <w:rFonts w:ascii="Times New Roman"/>
          <w:b w:val="false"/>
          <w:i w:val="false"/>
          <w:color w:val="000000"/>
          <w:sz w:val="28"/>
        </w:rPr>
        <w:t>
      35) "серия (партия)" (batch (lot)) - конкретное количество материала, полученного в результате технологического процесса или серии процессов таким образом, что можно рассчитывать на его однородность установленных пределах. В случае непрерывного производства серия соответствуют определенной части продукции. Размер серии в этом случае определяются либо фиксированным количеством, либо количеством, произведенным за определенный промежуток времени;</w:t>
      </w:r>
    </w:p>
    <w:bookmarkEnd w:id="3529"/>
    <w:bookmarkStart w:name="z3633" w:id="3530"/>
    <w:p>
      <w:pPr>
        <w:spacing w:after="0"/>
        <w:ind w:left="0"/>
        <w:jc w:val="both"/>
      </w:pPr>
      <w:r>
        <w:rPr>
          <w:rFonts w:ascii="Times New Roman"/>
          <w:b w:val="false"/>
          <w:i w:val="false"/>
          <w:color w:val="000000"/>
          <w:sz w:val="28"/>
        </w:rPr>
        <w:t>
      36) "спецификация" (specification) - перечень испытаний, ссылок на аналитические методики и критериев приемлемости, представляющих собой числовые границы, интервалы или другие критерии для соответствующих испытаний. Спецификация устанавливает набор критериев, которым соответствует материал, чтобы считаться приемлемым для его предполагаемого применения. Соответствие спецификации означает, что материал, прошедший испытания согласно перечисленным аналитическим методикам, соответствует приведенным критериям приемлемости;</w:t>
      </w:r>
    </w:p>
    <w:bookmarkEnd w:id="3530"/>
    <w:bookmarkStart w:name="z3634" w:id="3531"/>
    <w:p>
      <w:pPr>
        <w:spacing w:after="0"/>
        <w:ind w:left="0"/>
        <w:jc w:val="both"/>
      </w:pPr>
      <w:r>
        <w:rPr>
          <w:rFonts w:ascii="Times New Roman"/>
          <w:b w:val="false"/>
          <w:i w:val="false"/>
          <w:color w:val="000000"/>
          <w:sz w:val="28"/>
        </w:rPr>
        <w:t>
      37) "стандартный образец, вторичный" (reference standard, secondary) - субстанция установленных качества и чистоты, что доказано посредством сравнения с первичным стандартным образцом, используемая в качестве стандартного образца для текущих лабораторных анализов;</w:t>
      </w:r>
    </w:p>
    <w:bookmarkEnd w:id="3531"/>
    <w:bookmarkStart w:name="z3635" w:id="3532"/>
    <w:p>
      <w:pPr>
        <w:spacing w:after="0"/>
        <w:ind w:left="0"/>
        <w:jc w:val="both"/>
      </w:pPr>
      <w:r>
        <w:rPr>
          <w:rFonts w:ascii="Times New Roman"/>
          <w:b w:val="false"/>
          <w:i w:val="false"/>
          <w:color w:val="000000"/>
          <w:sz w:val="28"/>
        </w:rPr>
        <w:t>
      38) "стандартный образец, первичный" (reference standard, primary) - субстанция, являющаяся подлинным веществом, что было доказано с помощью расширенных аналитических испытаний, и обладающая высокой степенью чистоты. Этот стандарт получают из официально признанного источника или посредством независимого синтеза, или получен из используемого в производстве вещества с высокой степенью чистоты, или приготовлен посредством последующей очистки вещества, используемого в производстве;</w:t>
      </w:r>
    </w:p>
    <w:bookmarkEnd w:id="3532"/>
    <w:bookmarkStart w:name="z3636" w:id="3533"/>
    <w:p>
      <w:pPr>
        <w:spacing w:after="0"/>
        <w:ind w:left="0"/>
        <w:jc w:val="both"/>
      </w:pPr>
      <w:r>
        <w:rPr>
          <w:rFonts w:ascii="Times New Roman"/>
          <w:b w:val="false"/>
          <w:i w:val="false"/>
          <w:color w:val="000000"/>
          <w:sz w:val="28"/>
        </w:rPr>
        <w:t>
      39) "технологический процесс" (production) - все операции по производству активной фармацевтической субстанции, включая приемку материалов, обработку и упаковку активной фармацевтической субстанции;</w:t>
      </w:r>
    </w:p>
    <w:bookmarkEnd w:id="3533"/>
    <w:bookmarkStart w:name="z3637" w:id="3534"/>
    <w:p>
      <w:pPr>
        <w:spacing w:after="0"/>
        <w:ind w:left="0"/>
        <w:jc w:val="both"/>
      </w:pPr>
      <w:r>
        <w:rPr>
          <w:rFonts w:ascii="Times New Roman"/>
          <w:b w:val="false"/>
          <w:i w:val="false"/>
          <w:color w:val="000000"/>
          <w:sz w:val="28"/>
        </w:rPr>
        <w:t>
      40) "упаковочный материал" (packaging material) - любой материал, предназначенный для защиты промежуточной продукции или активной фармацевтической субстанции при хранении и транспортировании.</w:t>
      </w:r>
    </w:p>
    <w:bookmarkEnd w:id="3534"/>
    <w:bookmarkStart w:name="z3638" w:id="3535"/>
    <w:p>
      <w:pPr>
        <w:spacing w:after="0"/>
        <w:ind w:left="0"/>
        <w:jc w:val="left"/>
      </w:pPr>
      <w:r>
        <w:rPr>
          <w:rFonts w:ascii="Times New Roman"/>
          <w:b/>
          <w:i w:val="false"/>
          <w:color w:val="000000"/>
        </w:rPr>
        <w:t xml:space="preserve"> Часть III. Документы, связанные со Стандартом надлежащей производственной практики</w:t>
      </w:r>
    </w:p>
    <w:bookmarkEnd w:id="3535"/>
    <w:bookmarkStart w:name="z3639" w:id="3536"/>
    <w:p>
      <w:pPr>
        <w:spacing w:after="0"/>
        <w:ind w:left="0"/>
        <w:jc w:val="left"/>
      </w:pPr>
      <w:r>
        <w:rPr>
          <w:rFonts w:ascii="Times New Roman"/>
          <w:b/>
          <w:i w:val="false"/>
          <w:color w:val="000000"/>
        </w:rPr>
        <w:t xml:space="preserve"> Глава 11. Пояснения по составлению досье производственной площадки</w:t>
      </w:r>
    </w:p>
    <w:bookmarkEnd w:id="3536"/>
    <w:bookmarkStart w:name="z3640" w:id="3537"/>
    <w:p>
      <w:pPr>
        <w:spacing w:after="0"/>
        <w:ind w:left="0"/>
        <w:jc w:val="left"/>
      </w:pPr>
      <w:r>
        <w:rPr>
          <w:rFonts w:ascii="Times New Roman"/>
          <w:b/>
          <w:i w:val="false"/>
          <w:color w:val="000000"/>
        </w:rPr>
        <w:t xml:space="preserve"> Параграф 1. Введение</w:t>
      </w:r>
    </w:p>
    <w:bookmarkEnd w:id="3537"/>
    <w:bookmarkStart w:name="z3641" w:id="3538"/>
    <w:p>
      <w:pPr>
        <w:spacing w:after="0"/>
        <w:ind w:left="0"/>
        <w:jc w:val="both"/>
      </w:pPr>
      <w:r>
        <w:rPr>
          <w:rFonts w:ascii="Times New Roman"/>
          <w:b w:val="false"/>
          <w:i w:val="false"/>
          <w:color w:val="000000"/>
          <w:sz w:val="28"/>
        </w:rPr>
        <w:t>
      646. Досье производственной площадки - документ, который составляется производителем лекарственных средств. Он содержит специальную информацию о политике в области качества и деятельности производственной площадки, технологическом процессе (или) контроле качества при проведении на данной площадке операций по производству лекарственных средств, а также о каких-либо тесно взаимосвязанных работах в примыкающих и соседних зданиях. Если на данной площадке осуществляется только часть операций по производству, то в досье производственной площадки описывают только эти операции, например, анализ, упаковка и т. д.</w:t>
      </w:r>
    </w:p>
    <w:bookmarkEnd w:id="3538"/>
    <w:bookmarkStart w:name="z3642" w:id="3539"/>
    <w:p>
      <w:pPr>
        <w:spacing w:after="0"/>
        <w:ind w:left="0"/>
        <w:jc w:val="both"/>
      </w:pPr>
      <w:r>
        <w:rPr>
          <w:rFonts w:ascii="Times New Roman"/>
          <w:b w:val="false"/>
          <w:i w:val="false"/>
          <w:color w:val="000000"/>
          <w:sz w:val="28"/>
        </w:rPr>
        <w:t>
      647. При подаче досье производственной площадки в уполномоченный орган в нем представляется четкая информация о деятельности производителя в соответствии с требованиями настоящего Стандарта, которая является полезной при общем надзоре, а также для эффективного планирования и проведения инспектирования на соответствие требованиям настоящего Стандарта.</w:t>
      </w:r>
    </w:p>
    <w:bookmarkEnd w:id="3539"/>
    <w:bookmarkStart w:name="z3643" w:id="3540"/>
    <w:p>
      <w:pPr>
        <w:spacing w:after="0"/>
        <w:ind w:left="0"/>
        <w:jc w:val="both"/>
      </w:pPr>
      <w:r>
        <w:rPr>
          <w:rFonts w:ascii="Times New Roman"/>
          <w:b w:val="false"/>
          <w:i w:val="false"/>
          <w:color w:val="000000"/>
          <w:sz w:val="28"/>
        </w:rPr>
        <w:t>
      648. Досье производственной площадки содержат достаточную информацию, однако, насколько это возможно, его объем не превышает 25 - 30 страниц, не включая приложения. Простые планы, рисунки и схемы считаются более предпочтительными, чем описательное изложение. Досье производственной площадки (в том числе приложения) удобочитаемым при печати на бумаге формата А4.</w:t>
      </w:r>
    </w:p>
    <w:bookmarkEnd w:id="3540"/>
    <w:bookmarkStart w:name="z3644" w:id="3541"/>
    <w:p>
      <w:pPr>
        <w:spacing w:after="0"/>
        <w:ind w:left="0"/>
        <w:jc w:val="both"/>
      </w:pPr>
      <w:r>
        <w:rPr>
          <w:rFonts w:ascii="Times New Roman"/>
          <w:b w:val="false"/>
          <w:i w:val="false"/>
          <w:color w:val="000000"/>
          <w:sz w:val="28"/>
        </w:rPr>
        <w:t>
      649. Досье производственной площадки составляет часть документации, которая относится к системе управления качеством, его следует поддерживать в актуальном состоянии с целью отражения текущей деятельности. В досье производственной площадки указывают номер версии и дату введения в действие, а также дату следующего пересмотра. Каждое приложение имеет отдельную дату введения в действие, что позволит осуществлять его независимый пересмотр.</w:t>
      </w:r>
    </w:p>
    <w:bookmarkEnd w:id="3541"/>
    <w:bookmarkStart w:name="z3645" w:id="3542"/>
    <w:p>
      <w:pPr>
        <w:spacing w:after="0"/>
        <w:ind w:left="0"/>
        <w:jc w:val="left"/>
      </w:pPr>
      <w:r>
        <w:rPr>
          <w:rFonts w:ascii="Times New Roman"/>
          <w:b/>
          <w:i w:val="false"/>
          <w:color w:val="000000"/>
        </w:rPr>
        <w:t xml:space="preserve"> Параграф 2. Цель</w:t>
      </w:r>
    </w:p>
    <w:bookmarkEnd w:id="3542"/>
    <w:bookmarkStart w:name="z3646" w:id="3543"/>
    <w:p>
      <w:pPr>
        <w:spacing w:after="0"/>
        <w:ind w:left="0"/>
        <w:jc w:val="both"/>
      </w:pPr>
      <w:r>
        <w:rPr>
          <w:rFonts w:ascii="Times New Roman"/>
          <w:b w:val="false"/>
          <w:i w:val="false"/>
          <w:color w:val="000000"/>
          <w:sz w:val="28"/>
        </w:rPr>
        <w:t>
      650. Цель настоящего документа - дать рекомендации производителям лекарственных препаратов по созданию досье производственной площадки, которое полезно для уполномоченного органа при планировании и проведении инспектирования производственной площадки на соответствие требованиям настоящего Стандарта.</w:t>
      </w:r>
    </w:p>
    <w:bookmarkEnd w:id="3543"/>
    <w:bookmarkStart w:name="z3647" w:id="3544"/>
    <w:p>
      <w:pPr>
        <w:spacing w:after="0"/>
        <w:ind w:left="0"/>
        <w:jc w:val="left"/>
      </w:pPr>
      <w:r>
        <w:rPr>
          <w:rFonts w:ascii="Times New Roman"/>
          <w:b/>
          <w:i w:val="false"/>
          <w:color w:val="000000"/>
        </w:rPr>
        <w:t xml:space="preserve"> Параграф 3. Область применения</w:t>
      </w:r>
    </w:p>
    <w:bookmarkEnd w:id="3544"/>
    <w:bookmarkStart w:name="z3648" w:id="3545"/>
    <w:p>
      <w:pPr>
        <w:spacing w:after="0"/>
        <w:ind w:left="0"/>
        <w:jc w:val="both"/>
      </w:pPr>
      <w:r>
        <w:rPr>
          <w:rFonts w:ascii="Times New Roman"/>
          <w:b w:val="false"/>
          <w:i w:val="false"/>
          <w:color w:val="000000"/>
          <w:sz w:val="28"/>
        </w:rPr>
        <w:t>
      651. Положения настоящей главы применимы при подготовке и формировании содержания досье производственной площадки. Производители принимают во внимание региональные (национальные) нормативные правовые требования для определения того, является ли подготовка досье производственной площадки обязательным требованием для производителей лекарственных средств.</w:t>
      </w:r>
    </w:p>
    <w:bookmarkEnd w:id="3545"/>
    <w:bookmarkStart w:name="z3649" w:id="3546"/>
    <w:p>
      <w:pPr>
        <w:spacing w:after="0"/>
        <w:ind w:left="0"/>
        <w:jc w:val="both"/>
      </w:pPr>
      <w:r>
        <w:rPr>
          <w:rFonts w:ascii="Times New Roman"/>
          <w:b w:val="false"/>
          <w:i w:val="false"/>
          <w:color w:val="000000"/>
          <w:sz w:val="28"/>
        </w:rPr>
        <w:t>
      Положения настоящей главы распространяются на все виды производственной деятельности, такие как собственно производство, упаковка и маркировка, проведение испытаний, переупаковка или перемаркировка всех видов лекарственных препаратов. Основные принципы настоящего Стандарта могут использоваться при подготовке досье производственной площадки или соответствующего документа производителями лекарственных препаратов из донорской крови или тканей, а также производителями АФС.</w:t>
      </w:r>
    </w:p>
    <w:bookmarkEnd w:id="3546"/>
    <w:bookmarkStart w:name="z3650" w:id="3547"/>
    <w:p>
      <w:pPr>
        <w:spacing w:after="0"/>
        <w:ind w:left="0"/>
        <w:jc w:val="left"/>
      </w:pPr>
      <w:r>
        <w:rPr>
          <w:rFonts w:ascii="Times New Roman"/>
          <w:b/>
          <w:i w:val="false"/>
          <w:color w:val="000000"/>
        </w:rPr>
        <w:t xml:space="preserve"> Параграф 4. Содержание досье производственной площадки</w:t>
      </w:r>
    </w:p>
    <w:bookmarkEnd w:id="3547"/>
    <w:bookmarkStart w:name="z3651" w:id="3548"/>
    <w:p>
      <w:pPr>
        <w:spacing w:after="0"/>
        <w:ind w:left="0"/>
        <w:jc w:val="both"/>
      </w:pPr>
      <w:r>
        <w:rPr>
          <w:rFonts w:ascii="Times New Roman"/>
          <w:b w:val="false"/>
          <w:i w:val="false"/>
          <w:color w:val="000000"/>
          <w:sz w:val="28"/>
        </w:rPr>
        <w:t>
      652. Досье производственной площадки содержат следующую информацию:</w:t>
      </w:r>
    </w:p>
    <w:bookmarkEnd w:id="3548"/>
    <w:bookmarkStart w:name="z3652" w:id="3549"/>
    <w:p>
      <w:pPr>
        <w:spacing w:after="0"/>
        <w:ind w:left="0"/>
        <w:jc w:val="both"/>
      </w:pPr>
      <w:r>
        <w:rPr>
          <w:rFonts w:ascii="Times New Roman"/>
          <w:b w:val="false"/>
          <w:i w:val="false"/>
          <w:color w:val="000000"/>
          <w:sz w:val="28"/>
        </w:rPr>
        <w:t>
      1) Общая информация о производителе.</w:t>
      </w:r>
    </w:p>
    <w:bookmarkEnd w:id="3549"/>
    <w:bookmarkStart w:name="z3653" w:id="3550"/>
    <w:p>
      <w:pPr>
        <w:spacing w:after="0"/>
        <w:ind w:left="0"/>
        <w:jc w:val="both"/>
      </w:pPr>
      <w:r>
        <w:rPr>
          <w:rFonts w:ascii="Times New Roman"/>
          <w:b w:val="false"/>
          <w:i w:val="false"/>
          <w:color w:val="000000"/>
          <w:sz w:val="28"/>
        </w:rPr>
        <w:t xml:space="preserve">
      Контактная информация: </w:t>
      </w:r>
    </w:p>
    <w:bookmarkEnd w:id="3550"/>
    <w:bookmarkStart w:name="z3654" w:id="3551"/>
    <w:p>
      <w:pPr>
        <w:spacing w:after="0"/>
        <w:ind w:left="0"/>
        <w:jc w:val="both"/>
      </w:pPr>
      <w:r>
        <w:rPr>
          <w:rFonts w:ascii="Times New Roman"/>
          <w:b w:val="false"/>
          <w:i w:val="false"/>
          <w:color w:val="000000"/>
          <w:sz w:val="28"/>
        </w:rPr>
        <w:t>
      2) наименование и адрес юридического лица;</w:t>
      </w:r>
    </w:p>
    <w:bookmarkEnd w:id="3551"/>
    <w:bookmarkStart w:name="z3655" w:id="3552"/>
    <w:p>
      <w:pPr>
        <w:spacing w:after="0"/>
        <w:ind w:left="0"/>
        <w:jc w:val="both"/>
      </w:pPr>
      <w:r>
        <w:rPr>
          <w:rFonts w:ascii="Times New Roman"/>
          <w:b w:val="false"/>
          <w:i w:val="false"/>
          <w:color w:val="000000"/>
          <w:sz w:val="28"/>
        </w:rPr>
        <w:t>
      3) наименование(я)ифактический(ие)адрес(а)</w:t>
      </w:r>
    </w:p>
    <w:bookmarkEnd w:id="3552"/>
    <w:bookmarkStart w:name="z3656" w:id="3553"/>
    <w:p>
      <w:pPr>
        <w:spacing w:after="0"/>
        <w:ind w:left="0"/>
        <w:jc w:val="both"/>
      </w:pPr>
      <w:r>
        <w:rPr>
          <w:rFonts w:ascii="Times New Roman"/>
          <w:b w:val="false"/>
          <w:i w:val="false"/>
          <w:color w:val="000000"/>
          <w:sz w:val="28"/>
        </w:rPr>
        <w:t>
      производственной(ых) площадки(ок), зданий и производственных участков, расположенных на этой(их) площадке(ах);</w:t>
      </w:r>
    </w:p>
    <w:bookmarkEnd w:id="3553"/>
    <w:bookmarkStart w:name="z3657" w:id="3554"/>
    <w:p>
      <w:pPr>
        <w:spacing w:after="0"/>
        <w:ind w:left="0"/>
        <w:jc w:val="both"/>
      </w:pPr>
      <w:r>
        <w:rPr>
          <w:rFonts w:ascii="Times New Roman"/>
          <w:b w:val="false"/>
          <w:i w:val="false"/>
          <w:color w:val="000000"/>
          <w:sz w:val="28"/>
        </w:rPr>
        <w:t>
      4) номер телефона персонала, работающего круглосуточно, с которым связываются в случае дефекта и (или) отзыва продукции;</w:t>
      </w:r>
    </w:p>
    <w:bookmarkEnd w:id="3554"/>
    <w:bookmarkStart w:name="z3658" w:id="3555"/>
    <w:p>
      <w:pPr>
        <w:spacing w:after="0"/>
        <w:ind w:left="0"/>
        <w:jc w:val="both"/>
      </w:pPr>
      <w:r>
        <w:rPr>
          <w:rFonts w:ascii="Times New Roman"/>
          <w:b w:val="false"/>
          <w:i w:val="false"/>
          <w:color w:val="000000"/>
          <w:sz w:val="28"/>
        </w:rPr>
        <w:t>
      5) идентификационный номер производственной площадки, например, координаты GPS или другой системы определения географического месторасположения (при наличии).</w:t>
      </w:r>
    </w:p>
    <w:bookmarkEnd w:id="3555"/>
    <w:bookmarkStart w:name="z3659" w:id="3556"/>
    <w:p>
      <w:pPr>
        <w:spacing w:after="0"/>
        <w:ind w:left="0"/>
        <w:jc w:val="both"/>
      </w:pPr>
      <w:r>
        <w:rPr>
          <w:rFonts w:ascii="Times New Roman"/>
          <w:b w:val="false"/>
          <w:i w:val="false"/>
          <w:color w:val="000000"/>
          <w:sz w:val="28"/>
        </w:rPr>
        <w:t>
      653. Информация о требующей специального разрешения (лицензии) производственной деятельности:</w:t>
      </w:r>
    </w:p>
    <w:bookmarkEnd w:id="3556"/>
    <w:bookmarkStart w:name="z3660" w:id="3557"/>
    <w:p>
      <w:pPr>
        <w:spacing w:after="0"/>
        <w:ind w:left="0"/>
        <w:jc w:val="both"/>
      </w:pPr>
      <w:r>
        <w:rPr>
          <w:rFonts w:ascii="Times New Roman"/>
          <w:b w:val="false"/>
          <w:i w:val="false"/>
          <w:color w:val="000000"/>
          <w:sz w:val="28"/>
        </w:rPr>
        <w:t>
      1) копия действующего специального разрешения (лицензии) на производство лекарственных средств, выданного уполномоченным органом (в качестве приложения 1);</w:t>
      </w:r>
    </w:p>
    <w:bookmarkEnd w:id="3557"/>
    <w:bookmarkStart w:name="z3661" w:id="3558"/>
    <w:p>
      <w:pPr>
        <w:spacing w:after="0"/>
        <w:ind w:left="0"/>
        <w:jc w:val="both"/>
      </w:pPr>
      <w:r>
        <w:rPr>
          <w:rFonts w:ascii="Times New Roman"/>
          <w:b w:val="false"/>
          <w:i w:val="false"/>
          <w:color w:val="000000"/>
          <w:sz w:val="28"/>
        </w:rPr>
        <w:t>
      2) краткое описание деятельности по производству, импорту, экспорту, оптовой торговле и пр., лицензированной соответствующими уполномоченными органами, включая зарубежные уполномоченные органы, с указанием лицензированных лекарственных форм (видов деятельности), если это не охватывается разрешением (лицензией) на производство;</w:t>
      </w:r>
    </w:p>
    <w:bookmarkEnd w:id="3558"/>
    <w:bookmarkStart w:name="z3662" w:id="3559"/>
    <w:p>
      <w:pPr>
        <w:spacing w:after="0"/>
        <w:ind w:left="0"/>
        <w:jc w:val="both"/>
      </w:pPr>
      <w:r>
        <w:rPr>
          <w:rFonts w:ascii="Times New Roman"/>
          <w:b w:val="false"/>
          <w:i w:val="false"/>
          <w:color w:val="000000"/>
          <w:sz w:val="28"/>
        </w:rPr>
        <w:t>
      3) виды продукции, производимой на площадке в настоящее время (перечень приводится в качестве приложения 2), если это не указано в приложении 1;</w:t>
      </w:r>
    </w:p>
    <w:bookmarkEnd w:id="3559"/>
    <w:bookmarkStart w:name="z3663" w:id="3560"/>
    <w:p>
      <w:pPr>
        <w:spacing w:after="0"/>
        <w:ind w:left="0"/>
        <w:jc w:val="both"/>
      </w:pPr>
      <w:r>
        <w:rPr>
          <w:rFonts w:ascii="Times New Roman"/>
          <w:b w:val="false"/>
          <w:i w:val="false"/>
          <w:color w:val="000000"/>
          <w:sz w:val="28"/>
        </w:rPr>
        <w:t>
      4) перечень инспекций площадки на соответствие требованиям надлежащей производственной практики за последние 5 лет, с указанием дат и названий (государств) уполномоченных органов, проводивших инспектирование, а также копия действующего сертификата соответствия требованиям надлежащей производственной практики (при наличии) (в качестве приложения 3).</w:t>
      </w:r>
    </w:p>
    <w:bookmarkEnd w:id="3560"/>
    <w:bookmarkStart w:name="z3664" w:id="3561"/>
    <w:p>
      <w:pPr>
        <w:spacing w:after="0"/>
        <w:ind w:left="0"/>
        <w:jc w:val="both"/>
      </w:pPr>
      <w:r>
        <w:rPr>
          <w:rFonts w:ascii="Times New Roman"/>
          <w:b w:val="false"/>
          <w:i w:val="false"/>
          <w:color w:val="000000"/>
          <w:sz w:val="28"/>
        </w:rPr>
        <w:t>
      654. Какая-либо другая производственная деятельность, осуществляемая на предприятии:</w:t>
      </w:r>
    </w:p>
    <w:bookmarkEnd w:id="3561"/>
    <w:bookmarkStart w:name="z3665" w:id="3562"/>
    <w:p>
      <w:pPr>
        <w:spacing w:after="0"/>
        <w:ind w:left="0"/>
        <w:jc w:val="both"/>
      </w:pPr>
      <w:r>
        <w:rPr>
          <w:rFonts w:ascii="Times New Roman"/>
          <w:b w:val="false"/>
          <w:i w:val="false"/>
          <w:color w:val="000000"/>
          <w:sz w:val="28"/>
        </w:rPr>
        <w:t>
      описание производственной деятельности на предприятии (производственной площадке), не связанной с фармацевтической деятельностью, если таковая проводится.</w:t>
      </w:r>
    </w:p>
    <w:bookmarkEnd w:id="3562"/>
    <w:bookmarkStart w:name="z3666" w:id="3563"/>
    <w:p>
      <w:pPr>
        <w:spacing w:after="0"/>
        <w:ind w:left="0"/>
        <w:jc w:val="left"/>
      </w:pPr>
      <w:r>
        <w:rPr>
          <w:rFonts w:ascii="Times New Roman"/>
          <w:b/>
          <w:i w:val="false"/>
          <w:color w:val="000000"/>
        </w:rPr>
        <w:t xml:space="preserve"> Параграф 5. Система управления качеством производителя.</w:t>
      </w:r>
    </w:p>
    <w:bookmarkEnd w:id="3563"/>
    <w:bookmarkStart w:name="z3667" w:id="3564"/>
    <w:p>
      <w:pPr>
        <w:spacing w:after="0"/>
        <w:ind w:left="0"/>
        <w:jc w:val="both"/>
      </w:pPr>
      <w:r>
        <w:rPr>
          <w:rFonts w:ascii="Times New Roman"/>
          <w:b w:val="false"/>
          <w:i w:val="false"/>
          <w:color w:val="000000"/>
          <w:sz w:val="28"/>
        </w:rPr>
        <w:t>
      655. Краткое описание системы управления качеством предприятия и ссылки на применяемые стандарты;</w:t>
      </w:r>
    </w:p>
    <w:bookmarkEnd w:id="3564"/>
    <w:bookmarkStart w:name="z3668" w:id="3565"/>
    <w:p>
      <w:pPr>
        <w:spacing w:after="0"/>
        <w:ind w:left="0"/>
        <w:jc w:val="both"/>
      </w:pPr>
      <w:r>
        <w:rPr>
          <w:rFonts w:ascii="Times New Roman"/>
          <w:b w:val="false"/>
          <w:i w:val="false"/>
          <w:color w:val="000000"/>
          <w:sz w:val="28"/>
        </w:rPr>
        <w:t>
      1) отвечают по поддержанию системы качества, включая высшее руководство;</w:t>
      </w:r>
    </w:p>
    <w:bookmarkEnd w:id="3565"/>
    <w:bookmarkStart w:name="z3669" w:id="3566"/>
    <w:p>
      <w:pPr>
        <w:spacing w:after="0"/>
        <w:ind w:left="0"/>
        <w:jc w:val="both"/>
      </w:pPr>
      <w:r>
        <w:rPr>
          <w:rFonts w:ascii="Times New Roman"/>
          <w:b w:val="false"/>
          <w:i w:val="false"/>
          <w:color w:val="000000"/>
          <w:sz w:val="28"/>
        </w:rPr>
        <w:t>
      2) информация о деятельности, в отношении которой предприятие аккредитовано и сертифицировано, включая даты и содержание документов по аккредитации (сертификации), наименования органов по аккредитации (сертификации).</w:t>
      </w:r>
    </w:p>
    <w:bookmarkEnd w:id="3566"/>
    <w:bookmarkStart w:name="z3670" w:id="3567"/>
    <w:p>
      <w:pPr>
        <w:spacing w:after="0"/>
        <w:ind w:left="0"/>
        <w:jc w:val="both"/>
      </w:pPr>
      <w:r>
        <w:rPr>
          <w:rFonts w:ascii="Times New Roman"/>
          <w:b w:val="false"/>
          <w:i w:val="false"/>
          <w:color w:val="000000"/>
          <w:sz w:val="28"/>
        </w:rPr>
        <w:t>
      656. Процедуры выдачи разрешения на выпуск готовой продукции:</w:t>
      </w:r>
    </w:p>
    <w:bookmarkEnd w:id="3567"/>
    <w:bookmarkStart w:name="z3671" w:id="3568"/>
    <w:p>
      <w:pPr>
        <w:spacing w:after="0"/>
        <w:ind w:left="0"/>
        <w:jc w:val="both"/>
      </w:pPr>
      <w:r>
        <w:rPr>
          <w:rFonts w:ascii="Times New Roman"/>
          <w:b w:val="false"/>
          <w:i w:val="false"/>
          <w:color w:val="000000"/>
          <w:sz w:val="28"/>
        </w:rPr>
        <w:t>
      1) детальное описание квалификационных требований (образование опыт работы) к уполномоченному(ым) лицу(ам), удостоверяющему соответствие серии установленным требованиям для выдачи разрешения на выпуск;</w:t>
      </w:r>
    </w:p>
    <w:bookmarkEnd w:id="3568"/>
    <w:bookmarkStart w:name="z3672" w:id="3569"/>
    <w:p>
      <w:pPr>
        <w:spacing w:after="0"/>
        <w:ind w:left="0"/>
        <w:jc w:val="both"/>
      </w:pPr>
      <w:r>
        <w:rPr>
          <w:rFonts w:ascii="Times New Roman"/>
          <w:b w:val="false"/>
          <w:i w:val="false"/>
          <w:color w:val="000000"/>
          <w:sz w:val="28"/>
        </w:rPr>
        <w:t>
      2) общее описание процедуры подтверждения соответствия серии установленным требованиям и выдачи разрешения на выпуск;</w:t>
      </w:r>
    </w:p>
    <w:bookmarkEnd w:id="3569"/>
    <w:bookmarkStart w:name="z3673" w:id="3570"/>
    <w:p>
      <w:pPr>
        <w:spacing w:after="0"/>
        <w:ind w:left="0"/>
        <w:jc w:val="both"/>
      </w:pPr>
      <w:r>
        <w:rPr>
          <w:rFonts w:ascii="Times New Roman"/>
          <w:b w:val="false"/>
          <w:i w:val="false"/>
          <w:color w:val="000000"/>
          <w:sz w:val="28"/>
        </w:rPr>
        <w:t>
      3) роль уполномоченного лица в выдаче разрешения на выпуск готовой продукции (в том числе снятие с карантина), а также в подтверждении соответствия требованиям регистрационного досье;</w:t>
      </w:r>
    </w:p>
    <w:bookmarkEnd w:id="3570"/>
    <w:bookmarkStart w:name="z3674" w:id="3571"/>
    <w:p>
      <w:pPr>
        <w:spacing w:after="0"/>
        <w:ind w:left="0"/>
        <w:jc w:val="both"/>
      </w:pPr>
      <w:r>
        <w:rPr>
          <w:rFonts w:ascii="Times New Roman"/>
          <w:b w:val="false"/>
          <w:i w:val="false"/>
          <w:color w:val="000000"/>
          <w:sz w:val="28"/>
        </w:rPr>
        <w:t>
      4) соглашения между уполномоченными лицами, если взаимодействуют несколько уполномоченных лиц;</w:t>
      </w:r>
    </w:p>
    <w:bookmarkEnd w:id="3571"/>
    <w:bookmarkStart w:name="z3675" w:id="3572"/>
    <w:p>
      <w:pPr>
        <w:spacing w:after="0"/>
        <w:ind w:left="0"/>
        <w:jc w:val="both"/>
      </w:pPr>
      <w:r>
        <w:rPr>
          <w:rFonts w:ascii="Times New Roman"/>
          <w:b w:val="false"/>
          <w:i w:val="false"/>
          <w:color w:val="000000"/>
          <w:sz w:val="28"/>
        </w:rPr>
        <w:t>
      5) указание на то, что в стратегии контроля используются процессно-аналитическая технология (PАТ) и (или) выпуск в реальном времени, или выпуск по параметрам (если они используются).</w:t>
      </w:r>
    </w:p>
    <w:bookmarkEnd w:id="3572"/>
    <w:bookmarkStart w:name="z3676" w:id="3573"/>
    <w:p>
      <w:pPr>
        <w:spacing w:after="0"/>
        <w:ind w:left="0"/>
        <w:jc w:val="both"/>
      </w:pPr>
      <w:r>
        <w:rPr>
          <w:rFonts w:ascii="Times New Roman"/>
          <w:b w:val="false"/>
          <w:i w:val="false"/>
          <w:color w:val="000000"/>
          <w:sz w:val="28"/>
        </w:rPr>
        <w:t>
      657. Управление поставщиками и подрядчиками:</w:t>
      </w:r>
    </w:p>
    <w:bookmarkEnd w:id="3573"/>
    <w:bookmarkStart w:name="z3677" w:id="3574"/>
    <w:p>
      <w:pPr>
        <w:spacing w:after="0"/>
        <w:ind w:left="0"/>
        <w:jc w:val="both"/>
      </w:pPr>
      <w:r>
        <w:rPr>
          <w:rFonts w:ascii="Times New Roman"/>
          <w:b w:val="false"/>
          <w:i w:val="false"/>
          <w:color w:val="000000"/>
          <w:sz w:val="28"/>
        </w:rPr>
        <w:t>
      1) краткое резюме, содержащее информацию о цепях поставок, а также о программах внешнего аудита;</w:t>
      </w:r>
    </w:p>
    <w:bookmarkEnd w:id="3574"/>
    <w:bookmarkStart w:name="z3678" w:id="3575"/>
    <w:p>
      <w:pPr>
        <w:spacing w:after="0"/>
        <w:ind w:left="0"/>
        <w:jc w:val="both"/>
      </w:pPr>
      <w:r>
        <w:rPr>
          <w:rFonts w:ascii="Times New Roman"/>
          <w:b w:val="false"/>
          <w:i w:val="false"/>
          <w:color w:val="000000"/>
          <w:sz w:val="28"/>
        </w:rPr>
        <w:t>
      2) краткое описание системы квалификации подрядчиков, производителей активных фармацевтических субстанций и других поставщиков критических для качества материалов;</w:t>
      </w:r>
    </w:p>
    <w:bookmarkEnd w:id="3575"/>
    <w:bookmarkStart w:name="z3679" w:id="3576"/>
    <w:p>
      <w:pPr>
        <w:spacing w:after="0"/>
        <w:ind w:left="0"/>
        <w:jc w:val="both"/>
      </w:pPr>
      <w:r>
        <w:rPr>
          <w:rFonts w:ascii="Times New Roman"/>
          <w:b w:val="false"/>
          <w:i w:val="false"/>
          <w:color w:val="000000"/>
          <w:sz w:val="28"/>
        </w:rPr>
        <w:t>
      3) информация о мероприятиях по обеспечению соответствия продукции требованиям руководств в отношении губчатой энцефалопатии;</w:t>
      </w:r>
    </w:p>
    <w:bookmarkEnd w:id="3576"/>
    <w:bookmarkStart w:name="z3680" w:id="3577"/>
    <w:p>
      <w:pPr>
        <w:spacing w:after="0"/>
        <w:ind w:left="0"/>
        <w:jc w:val="both"/>
      </w:pPr>
      <w:r>
        <w:rPr>
          <w:rFonts w:ascii="Times New Roman"/>
          <w:b w:val="false"/>
          <w:i w:val="false"/>
          <w:color w:val="000000"/>
          <w:sz w:val="28"/>
        </w:rPr>
        <w:t>
      4) информация о мерах, предпринимаемых при подозрении или выявлении контрафактной, фальсифицированной, в том числе нерасфасованной продукции (например, неупакованных таблеток), активных фармацевтических субстанций или вспомогательных веществ;</w:t>
      </w:r>
    </w:p>
    <w:bookmarkEnd w:id="3577"/>
    <w:bookmarkStart w:name="z3681" w:id="3578"/>
    <w:p>
      <w:pPr>
        <w:spacing w:after="0"/>
        <w:ind w:left="0"/>
        <w:jc w:val="both"/>
      </w:pPr>
      <w:r>
        <w:rPr>
          <w:rFonts w:ascii="Times New Roman"/>
          <w:b w:val="false"/>
          <w:i w:val="false"/>
          <w:color w:val="000000"/>
          <w:sz w:val="28"/>
        </w:rPr>
        <w:t>
      5) информация об использовании внешней научной, аналитической или другой технической помощи, касающейся производства и анализа;</w:t>
      </w:r>
    </w:p>
    <w:bookmarkEnd w:id="3578"/>
    <w:bookmarkStart w:name="z3682" w:id="3579"/>
    <w:p>
      <w:pPr>
        <w:spacing w:after="0"/>
        <w:ind w:left="0"/>
        <w:jc w:val="both"/>
      </w:pPr>
      <w:r>
        <w:rPr>
          <w:rFonts w:ascii="Times New Roman"/>
          <w:b w:val="false"/>
          <w:i w:val="false"/>
          <w:color w:val="000000"/>
          <w:sz w:val="28"/>
        </w:rPr>
        <w:t>
      6) перечень контрактных производителей и лабораторий, включая адреса и контактную информацию, а также схемы цепей поставок для контрактной деятельности по производству и контролю качества, например, стерилизация первичного упаковочного материала для процессов в асептических условиях, испытания исходного сырья и т. д. (в качестве приложения 4);</w:t>
      </w:r>
    </w:p>
    <w:bookmarkEnd w:id="3579"/>
    <w:bookmarkStart w:name="z3683" w:id="3580"/>
    <w:p>
      <w:pPr>
        <w:spacing w:after="0"/>
        <w:ind w:left="0"/>
        <w:jc w:val="both"/>
      </w:pPr>
      <w:r>
        <w:rPr>
          <w:rFonts w:ascii="Times New Roman"/>
          <w:b w:val="false"/>
          <w:i w:val="false"/>
          <w:color w:val="000000"/>
          <w:sz w:val="28"/>
        </w:rPr>
        <w:t>
      7) краткий обзор распределения ответственности между заказчиком</w:t>
      </w:r>
    </w:p>
    <w:bookmarkEnd w:id="3580"/>
    <w:bookmarkStart w:name="z3684" w:id="3581"/>
    <w:p>
      <w:pPr>
        <w:spacing w:after="0"/>
        <w:ind w:left="0"/>
        <w:jc w:val="both"/>
      </w:pPr>
      <w:r>
        <w:rPr>
          <w:rFonts w:ascii="Times New Roman"/>
          <w:b w:val="false"/>
          <w:i w:val="false"/>
          <w:color w:val="000000"/>
          <w:sz w:val="28"/>
        </w:rPr>
        <w:t>
      исполнителем в отношении требований регистрационного досье (если не указано в подпункте 656 настоящего пункта).</w:t>
      </w:r>
    </w:p>
    <w:bookmarkEnd w:id="3581"/>
    <w:bookmarkStart w:name="z3685" w:id="3582"/>
    <w:p>
      <w:pPr>
        <w:spacing w:after="0"/>
        <w:ind w:left="0"/>
        <w:jc w:val="both"/>
      </w:pPr>
      <w:r>
        <w:rPr>
          <w:rFonts w:ascii="Times New Roman"/>
          <w:b w:val="false"/>
          <w:i w:val="false"/>
          <w:color w:val="000000"/>
          <w:sz w:val="28"/>
        </w:rPr>
        <w:t>
      658. Управление рисками для качества:</w:t>
      </w:r>
    </w:p>
    <w:bookmarkEnd w:id="3582"/>
    <w:bookmarkStart w:name="z3686" w:id="3583"/>
    <w:p>
      <w:pPr>
        <w:spacing w:after="0"/>
        <w:ind w:left="0"/>
        <w:jc w:val="both"/>
      </w:pPr>
      <w:r>
        <w:rPr>
          <w:rFonts w:ascii="Times New Roman"/>
          <w:b w:val="false"/>
          <w:i w:val="false"/>
          <w:color w:val="000000"/>
          <w:sz w:val="28"/>
        </w:rPr>
        <w:t>
      1) краткое описание используемой производителем методологии управления рисками для качества;</w:t>
      </w:r>
    </w:p>
    <w:bookmarkEnd w:id="3583"/>
    <w:bookmarkStart w:name="z3687" w:id="3584"/>
    <w:p>
      <w:pPr>
        <w:spacing w:after="0"/>
        <w:ind w:left="0"/>
        <w:jc w:val="both"/>
      </w:pPr>
      <w:r>
        <w:rPr>
          <w:rFonts w:ascii="Times New Roman"/>
          <w:b w:val="false"/>
          <w:i w:val="false"/>
          <w:color w:val="000000"/>
          <w:sz w:val="28"/>
        </w:rPr>
        <w:t>
      2) сфера действия и направленность управления рисками для качества, включая краткое описание любой деятельности, осуществляемой на корпоративном уровне, а также локальной деятельности. Упомянуто любое применение системы управления рисками для качества для оценки непрерывности поставок.</w:t>
      </w:r>
    </w:p>
    <w:bookmarkEnd w:id="3584"/>
    <w:bookmarkStart w:name="z3688" w:id="3585"/>
    <w:p>
      <w:pPr>
        <w:spacing w:after="0"/>
        <w:ind w:left="0"/>
        <w:jc w:val="both"/>
      </w:pPr>
      <w:r>
        <w:rPr>
          <w:rFonts w:ascii="Times New Roman"/>
          <w:b w:val="false"/>
          <w:i w:val="false"/>
          <w:color w:val="000000"/>
          <w:sz w:val="28"/>
        </w:rPr>
        <w:t>
      659. Обзоры качества продукции:</w:t>
      </w:r>
    </w:p>
    <w:bookmarkEnd w:id="3585"/>
    <w:bookmarkStart w:name="z3689" w:id="3586"/>
    <w:p>
      <w:pPr>
        <w:spacing w:after="0"/>
        <w:ind w:left="0"/>
        <w:jc w:val="both"/>
      </w:pPr>
      <w:r>
        <w:rPr>
          <w:rFonts w:ascii="Times New Roman"/>
          <w:b w:val="false"/>
          <w:i w:val="false"/>
          <w:color w:val="000000"/>
          <w:sz w:val="28"/>
        </w:rPr>
        <w:t>
      краткое описание примененной методологии.</w:t>
      </w:r>
    </w:p>
    <w:bookmarkEnd w:id="3586"/>
    <w:bookmarkStart w:name="z3690" w:id="3587"/>
    <w:p>
      <w:pPr>
        <w:spacing w:after="0"/>
        <w:ind w:left="0"/>
        <w:jc w:val="left"/>
      </w:pPr>
      <w:r>
        <w:rPr>
          <w:rFonts w:ascii="Times New Roman"/>
          <w:b/>
          <w:i w:val="false"/>
          <w:color w:val="000000"/>
        </w:rPr>
        <w:t xml:space="preserve"> Параграф 6. Персонал.</w:t>
      </w:r>
    </w:p>
    <w:bookmarkEnd w:id="3587"/>
    <w:bookmarkStart w:name="z3691" w:id="3588"/>
    <w:p>
      <w:pPr>
        <w:spacing w:after="0"/>
        <w:ind w:left="0"/>
        <w:jc w:val="both"/>
      </w:pPr>
      <w:r>
        <w:rPr>
          <w:rFonts w:ascii="Times New Roman"/>
          <w:b w:val="false"/>
          <w:i w:val="false"/>
          <w:color w:val="000000"/>
          <w:sz w:val="28"/>
        </w:rPr>
        <w:t>
      660. Схема организационной структуры с указанием должностей (позиций) в управлении качеством, производстве и контроле качества, включая высшее руководство и уполномоченное(ые) лицо(а), (в качестве приложения 5);</w:t>
      </w:r>
    </w:p>
    <w:bookmarkEnd w:id="3588"/>
    <w:bookmarkStart w:name="z3692" w:id="3589"/>
    <w:p>
      <w:pPr>
        <w:spacing w:after="0"/>
        <w:ind w:left="0"/>
        <w:jc w:val="both"/>
      </w:pPr>
      <w:r>
        <w:rPr>
          <w:rFonts w:ascii="Times New Roman"/>
          <w:b w:val="false"/>
          <w:i w:val="false"/>
          <w:color w:val="000000"/>
          <w:sz w:val="28"/>
        </w:rPr>
        <w:t>
      количество персонала, занятого в управлении качеством, производстве, контроле качества, хранении и реализации.</w:t>
      </w:r>
    </w:p>
    <w:bookmarkEnd w:id="3589"/>
    <w:bookmarkStart w:name="z3693" w:id="3590"/>
    <w:p>
      <w:pPr>
        <w:spacing w:after="0"/>
        <w:ind w:left="0"/>
        <w:jc w:val="left"/>
      </w:pPr>
      <w:r>
        <w:rPr>
          <w:rFonts w:ascii="Times New Roman"/>
          <w:b/>
          <w:i w:val="false"/>
          <w:color w:val="000000"/>
        </w:rPr>
        <w:t xml:space="preserve"> Параграф 7. Помещения и оборудование.</w:t>
      </w:r>
    </w:p>
    <w:bookmarkEnd w:id="3590"/>
    <w:bookmarkStart w:name="z3694" w:id="3591"/>
    <w:p>
      <w:pPr>
        <w:spacing w:after="0"/>
        <w:ind w:left="0"/>
        <w:jc w:val="both"/>
      </w:pPr>
      <w:r>
        <w:rPr>
          <w:rFonts w:ascii="Times New Roman"/>
          <w:b w:val="false"/>
          <w:i w:val="false"/>
          <w:color w:val="000000"/>
          <w:sz w:val="28"/>
        </w:rPr>
        <w:t>
      661. Краткое описание предприятия, размер производственной площадки и перечень зданий (сооружений). Если производство осуществляется для различных рынков в различных зданиях (сооружениях) производственной площадки, следует привести перечень этих зданий (сооружений) с указанием рынков, для которых предназначена производимая продукция (если это не указано в пункте 646);</w:t>
      </w:r>
    </w:p>
    <w:bookmarkEnd w:id="3591"/>
    <w:bookmarkStart w:name="z3695" w:id="3592"/>
    <w:p>
      <w:pPr>
        <w:spacing w:after="0"/>
        <w:ind w:left="0"/>
        <w:jc w:val="both"/>
      </w:pPr>
      <w:r>
        <w:rPr>
          <w:rFonts w:ascii="Times New Roman"/>
          <w:b w:val="false"/>
          <w:i w:val="false"/>
          <w:color w:val="000000"/>
          <w:sz w:val="28"/>
        </w:rPr>
        <w:t>
      1) простой план или описание производственных площадок (участков) с указанием масштаба (архитектурные и инженерные чертежи не нужны);</w:t>
      </w:r>
    </w:p>
    <w:bookmarkEnd w:id="3592"/>
    <w:bookmarkStart w:name="z3696" w:id="3593"/>
    <w:p>
      <w:pPr>
        <w:spacing w:after="0"/>
        <w:ind w:left="0"/>
        <w:jc w:val="both"/>
      </w:pPr>
      <w:r>
        <w:rPr>
          <w:rFonts w:ascii="Times New Roman"/>
          <w:b w:val="false"/>
          <w:i w:val="false"/>
          <w:color w:val="000000"/>
          <w:sz w:val="28"/>
        </w:rPr>
        <w:t>
      2) планы и схемы производственных зон (в качестве приложения 6);</w:t>
      </w:r>
    </w:p>
    <w:bookmarkEnd w:id="3593"/>
    <w:bookmarkStart w:name="z3697" w:id="3594"/>
    <w:p>
      <w:pPr>
        <w:spacing w:after="0"/>
        <w:ind w:left="0"/>
        <w:jc w:val="both"/>
      </w:pPr>
      <w:r>
        <w:rPr>
          <w:rFonts w:ascii="Times New Roman"/>
          <w:b w:val="false"/>
          <w:i w:val="false"/>
          <w:color w:val="000000"/>
          <w:sz w:val="28"/>
        </w:rPr>
        <w:t>
      3) указанием класса чистоты помещений и перепадов давления между прилегающими зонами, а также технологических операций (например, смешивание, наполнение, хранение, упаковка и т. д.), проводимых в помещениях;</w:t>
      </w:r>
    </w:p>
    <w:bookmarkEnd w:id="3594"/>
    <w:bookmarkStart w:name="z3698" w:id="3595"/>
    <w:p>
      <w:pPr>
        <w:spacing w:after="0"/>
        <w:ind w:left="0"/>
        <w:jc w:val="both"/>
      </w:pPr>
      <w:r>
        <w:rPr>
          <w:rFonts w:ascii="Times New Roman"/>
          <w:b w:val="false"/>
          <w:i w:val="false"/>
          <w:color w:val="000000"/>
          <w:sz w:val="28"/>
        </w:rPr>
        <w:t>
      4) планы складских помещений и зон хранения с обозначением специальных зон для хранения и обработки особо токсичных, опасных и сенсибилизирующих веществ (при наличии);</w:t>
      </w:r>
    </w:p>
    <w:bookmarkEnd w:id="3595"/>
    <w:bookmarkStart w:name="z3699" w:id="3596"/>
    <w:p>
      <w:pPr>
        <w:spacing w:after="0"/>
        <w:ind w:left="0"/>
        <w:jc w:val="both"/>
      </w:pPr>
      <w:r>
        <w:rPr>
          <w:rFonts w:ascii="Times New Roman"/>
          <w:b w:val="false"/>
          <w:i w:val="false"/>
          <w:color w:val="000000"/>
          <w:sz w:val="28"/>
        </w:rPr>
        <w:t>
      5) краткое описание не отмеченных в планах специальных условий хранения (при необходимости).</w:t>
      </w:r>
    </w:p>
    <w:bookmarkEnd w:id="3596"/>
    <w:bookmarkStart w:name="z3700" w:id="3597"/>
    <w:p>
      <w:pPr>
        <w:spacing w:after="0"/>
        <w:ind w:left="0"/>
        <w:jc w:val="both"/>
      </w:pPr>
      <w:r>
        <w:rPr>
          <w:rFonts w:ascii="Times New Roman"/>
          <w:b w:val="false"/>
          <w:i w:val="false"/>
          <w:color w:val="000000"/>
          <w:sz w:val="28"/>
        </w:rPr>
        <w:t>
      662. Краткое описание систем нагрева, вентиляции и кондиционирования воздуха (Heating, Ventilation, &amp; Air Conditioning - HVAC):</w:t>
      </w:r>
    </w:p>
    <w:bookmarkEnd w:id="3597"/>
    <w:bookmarkStart w:name="z3701" w:id="3598"/>
    <w:p>
      <w:pPr>
        <w:spacing w:after="0"/>
        <w:ind w:left="0"/>
        <w:jc w:val="both"/>
      </w:pPr>
      <w:r>
        <w:rPr>
          <w:rFonts w:ascii="Times New Roman"/>
          <w:b w:val="false"/>
          <w:i w:val="false"/>
          <w:color w:val="000000"/>
          <w:sz w:val="28"/>
        </w:rPr>
        <w:t>
      принципы определения подачи воздуха, температуры, влажности, перепада давления и кратности обмена воздуха, уровень рециркуляции воздуха (в процентах).</w:t>
      </w:r>
    </w:p>
    <w:bookmarkEnd w:id="3598"/>
    <w:bookmarkStart w:name="z3702" w:id="3599"/>
    <w:p>
      <w:pPr>
        <w:spacing w:after="0"/>
        <w:ind w:left="0"/>
        <w:jc w:val="both"/>
      </w:pPr>
      <w:r>
        <w:rPr>
          <w:rFonts w:ascii="Times New Roman"/>
          <w:b w:val="false"/>
          <w:i w:val="false"/>
          <w:color w:val="000000"/>
          <w:sz w:val="28"/>
        </w:rPr>
        <w:t>
      663. Краткое описание систем водоподготовки: указание качества производимой воды; схематические чертежи систем (в качестве Приложения 7).</w:t>
      </w:r>
    </w:p>
    <w:bookmarkEnd w:id="3599"/>
    <w:bookmarkStart w:name="z3703" w:id="3600"/>
    <w:p>
      <w:pPr>
        <w:spacing w:after="0"/>
        <w:ind w:left="0"/>
        <w:jc w:val="both"/>
      </w:pPr>
      <w:r>
        <w:rPr>
          <w:rFonts w:ascii="Times New Roman"/>
          <w:b w:val="false"/>
          <w:i w:val="false"/>
          <w:color w:val="000000"/>
          <w:sz w:val="28"/>
        </w:rPr>
        <w:t>
      664. Краткое описание других систем обеспечения (системы подачи пара, сжатого воздуха, азота и т. п.).</w:t>
      </w:r>
    </w:p>
    <w:bookmarkEnd w:id="3600"/>
    <w:bookmarkStart w:name="z3704" w:id="3601"/>
    <w:p>
      <w:pPr>
        <w:spacing w:after="0"/>
        <w:ind w:left="0"/>
        <w:jc w:val="left"/>
      </w:pPr>
      <w:r>
        <w:rPr>
          <w:rFonts w:ascii="Times New Roman"/>
          <w:b/>
          <w:i w:val="false"/>
          <w:color w:val="000000"/>
        </w:rPr>
        <w:t xml:space="preserve"> Параграф 8. Оборудование.</w:t>
      </w:r>
    </w:p>
    <w:bookmarkEnd w:id="3601"/>
    <w:bookmarkStart w:name="z3705" w:id="3602"/>
    <w:p>
      <w:pPr>
        <w:spacing w:after="0"/>
        <w:ind w:left="0"/>
        <w:jc w:val="both"/>
      </w:pPr>
      <w:r>
        <w:rPr>
          <w:rFonts w:ascii="Times New Roman"/>
          <w:b w:val="false"/>
          <w:i w:val="false"/>
          <w:color w:val="000000"/>
          <w:sz w:val="28"/>
        </w:rPr>
        <w:t>
      665. Перечень основного технологического и контрольного лабораторного оборудования с обозначением критических единиц (в качестве Приложения 8).</w:t>
      </w:r>
    </w:p>
    <w:bookmarkEnd w:id="3602"/>
    <w:bookmarkStart w:name="z3706" w:id="3603"/>
    <w:p>
      <w:pPr>
        <w:spacing w:after="0"/>
        <w:ind w:left="0"/>
        <w:jc w:val="both"/>
      </w:pPr>
      <w:r>
        <w:rPr>
          <w:rFonts w:ascii="Times New Roman"/>
          <w:b w:val="false"/>
          <w:i w:val="false"/>
          <w:color w:val="000000"/>
          <w:sz w:val="28"/>
        </w:rPr>
        <w:t>
      666. Очистка и дезинфекция:</w:t>
      </w:r>
    </w:p>
    <w:bookmarkEnd w:id="3603"/>
    <w:bookmarkStart w:name="z3707" w:id="3604"/>
    <w:p>
      <w:pPr>
        <w:spacing w:after="0"/>
        <w:ind w:left="0"/>
        <w:jc w:val="both"/>
      </w:pPr>
      <w:r>
        <w:rPr>
          <w:rFonts w:ascii="Times New Roman"/>
          <w:b w:val="false"/>
          <w:i w:val="false"/>
          <w:color w:val="000000"/>
          <w:sz w:val="28"/>
        </w:rPr>
        <w:t>
      краткое описание методов очистки и дезинфекции контактирующих с продукцией поверхностей (например, ручная очистка, автоматическая система "очистка на месте" и т. п.).</w:t>
      </w:r>
    </w:p>
    <w:bookmarkEnd w:id="3604"/>
    <w:bookmarkStart w:name="z3708" w:id="3605"/>
    <w:p>
      <w:pPr>
        <w:spacing w:after="0"/>
        <w:ind w:left="0"/>
        <w:jc w:val="both"/>
      </w:pPr>
      <w:r>
        <w:rPr>
          <w:rFonts w:ascii="Times New Roman"/>
          <w:b w:val="false"/>
          <w:i w:val="false"/>
          <w:color w:val="000000"/>
          <w:sz w:val="28"/>
        </w:rPr>
        <w:t>
      667. Описание компьютеризированных систем, критических с точки зрения требований настоящего Стандарта:</w:t>
      </w:r>
    </w:p>
    <w:bookmarkEnd w:id="3605"/>
    <w:bookmarkStart w:name="z3709" w:id="3606"/>
    <w:p>
      <w:pPr>
        <w:spacing w:after="0"/>
        <w:ind w:left="0"/>
        <w:jc w:val="both"/>
      </w:pPr>
      <w:r>
        <w:rPr>
          <w:rFonts w:ascii="Times New Roman"/>
          <w:b w:val="false"/>
          <w:i w:val="false"/>
          <w:color w:val="000000"/>
          <w:sz w:val="28"/>
        </w:rPr>
        <w:t>
      следует привести описание компьютеризированных систем, критических с точки зрения требований настоящего Стандарта, за исключением оборудования со специальными программируемыми логическими контрoллерами.</w:t>
      </w:r>
    </w:p>
    <w:bookmarkEnd w:id="3606"/>
    <w:bookmarkStart w:name="z3710" w:id="3607"/>
    <w:p>
      <w:pPr>
        <w:spacing w:after="0"/>
        <w:ind w:left="0"/>
        <w:jc w:val="left"/>
      </w:pPr>
      <w:r>
        <w:rPr>
          <w:rFonts w:ascii="Times New Roman"/>
          <w:b/>
          <w:i w:val="false"/>
          <w:color w:val="000000"/>
        </w:rPr>
        <w:t xml:space="preserve"> Параграф 9. Документация.</w:t>
      </w:r>
    </w:p>
    <w:bookmarkEnd w:id="3607"/>
    <w:bookmarkStart w:name="z3711" w:id="3608"/>
    <w:p>
      <w:pPr>
        <w:spacing w:after="0"/>
        <w:ind w:left="0"/>
        <w:jc w:val="both"/>
      </w:pPr>
      <w:r>
        <w:rPr>
          <w:rFonts w:ascii="Times New Roman"/>
          <w:b w:val="false"/>
          <w:i w:val="false"/>
          <w:color w:val="000000"/>
          <w:sz w:val="28"/>
        </w:rPr>
        <w:t>
      668. Описание системы документации (например, электронная, ручная). Если документы и записи хранят или архивируют за пределами производственной площадки (включая данные по мониторингу безопасности лекарственных препаратов (при наличии)):</w:t>
      </w:r>
    </w:p>
    <w:bookmarkEnd w:id="3608"/>
    <w:bookmarkStart w:name="z3712" w:id="3609"/>
    <w:p>
      <w:pPr>
        <w:spacing w:after="0"/>
        <w:ind w:left="0"/>
        <w:jc w:val="both"/>
      </w:pPr>
      <w:r>
        <w:rPr>
          <w:rFonts w:ascii="Times New Roman"/>
          <w:b w:val="false"/>
          <w:i w:val="false"/>
          <w:color w:val="000000"/>
          <w:sz w:val="28"/>
        </w:rPr>
        <w:t>
      1) перечень видов документов (записей);</w:t>
      </w:r>
    </w:p>
    <w:bookmarkEnd w:id="3609"/>
    <w:bookmarkStart w:name="z3713" w:id="3610"/>
    <w:p>
      <w:pPr>
        <w:spacing w:after="0"/>
        <w:ind w:left="0"/>
        <w:jc w:val="both"/>
      </w:pPr>
      <w:r>
        <w:rPr>
          <w:rFonts w:ascii="Times New Roman"/>
          <w:b w:val="false"/>
          <w:i w:val="false"/>
          <w:color w:val="000000"/>
          <w:sz w:val="28"/>
        </w:rPr>
        <w:t>
      2) название и адрес иной площадки, где хранят документацию;</w:t>
      </w:r>
    </w:p>
    <w:bookmarkEnd w:id="3610"/>
    <w:bookmarkStart w:name="z3714" w:id="3611"/>
    <w:p>
      <w:pPr>
        <w:spacing w:after="0"/>
        <w:ind w:left="0"/>
        <w:jc w:val="both"/>
      </w:pPr>
      <w:r>
        <w:rPr>
          <w:rFonts w:ascii="Times New Roman"/>
          <w:b w:val="false"/>
          <w:i w:val="false"/>
          <w:color w:val="000000"/>
          <w:sz w:val="28"/>
        </w:rPr>
        <w:t>
      3) приблизительное время, необходимое для получения документов из архива, находящегося за пределами площадки.</w:t>
      </w:r>
    </w:p>
    <w:bookmarkEnd w:id="3611"/>
    <w:bookmarkStart w:name="z3715" w:id="3612"/>
    <w:p>
      <w:pPr>
        <w:spacing w:after="0"/>
        <w:ind w:left="0"/>
        <w:jc w:val="left"/>
      </w:pPr>
      <w:r>
        <w:rPr>
          <w:rFonts w:ascii="Times New Roman"/>
          <w:b/>
          <w:i w:val="false"/>
          <w:color w:val="000000"/>
        </w:rPr>
        <w:t xml:space="preserve"> Параграф 10. Технологический процесс.</w:t>
      </w:r>
    </w:p>
    <w:bookmarkEnd w:id="3612"/>
    <w:bookmarkStart w:name="z3716" w:id="3613"/>
    <w:p>
      <w:pPr>
        <w:spacing w:after="0"/>
        <w:ind w:left="0"/>
        <w:jc w:val="both"/>
      </w:pPr>
      <w:r>
        <w:rPr>
          <w:rFonts w:ascii="Times New Roman"/>
          <w:b w:val="false"/>
          <w:i w:val="false"/>
          <w:color w:val="000000"/>
          <w:sz w:val="28"/>
        </w:rPr>
        <w:t>
      669. Виды продукции.</w:t>
      </w:r>
    </w:p>
    <w:bookmarkEnd w:id="3613"/>
    <w:bookmarkStart w:name="z3717" w:id="3614"/>
    <w:p>
      <w:pPr>
        <w:spacing w:after="0"/>
        <w:ind w:left="0"/>
        <w:jc w:val="both"/>
      </w:pPr>
      <w:r>
        <w:rPr>
          <w:rFonts w:ascii="Times New Roman"/>
          <w:b w:val="false"/>
          <w:i w:val="false"/>
          <w:color w:val="000000"/>
          <w:sz w:val="28"/>
        </w:rPr>
        <w:t xml:space="preserve">
      (Возможна ссылка на приложение 1 или 2) </w:t>
      </w:r>
    </w:p>
    <w:bookmarkEnd w:id="3614"/>
    <w:bookmarkStart w:name="z3718" w:id="3615"/>
    <w:p>
      <w:pPr>
        <w:spacing w:after="0"/>
        <w:ind w:left="0"/>
        <w:jc w:val="both"/>
      </w:pPr>
      <w:r>
        <w:rPr>
          <w:rFonts w:ascii="Times New Roman"/>
          <w:b w:val="false"/>
          <w:i w:val="false"/>
          <w:color w:val="000000"/>
          <w:sz w:val="28"/>
        </w:rPr>
        <w:t>
      1) Виды производимой продукции, включая:</w:t>
      </w:r>
    </w:p>
    <w:bookmarkEnd w:id="3615"/>
    <w:bookmarkStart w:name="z3719" w:id="3616"/>
    <w:p>
      <w:pPr>
        <w:spacing w:after="0"/>
        <w:ind w:left="0"/>
        <w:jc w:val="both"/>
      </w:pPr>
      <w:r>
        <w:rPr>
          <w:rFonts w:ascii="Times New Roman"/>
          <w:b w:val="false"/>
          <w:i w:val="false"/>
          <w:color w:val="000000"/>
          <w:sz w:val="28"/>
        </w:rPr>
        <w:t>
      перечень лекарственных форм как лекарственных препаратов для медицинского применения, производимых на площадке;</w:t>
      </w:r>
    </w:p>
    <w:bookmarkEnd w:id="3616"/>
    <w:bookmarkStart w:name="z3720" w:id="3617"/>
    <w:p>
      <w:pPr>
        <w:spacing w:after="0"/>
        <w:ind w:left="0"/>
        <w:jc w:val="both"/>
      </w:pPr>
      <w:r>
        <w:rPr>
          <w:rFonts w:ascii="Times New Roman"/>
          <w:b w:val="false"/>
          <w:i w:val="false"/>
          <w:color w:val="000000"/>
          <w:sz w:val="28"/>
        </w:rPr>
        <w:t>
      перечень лекарственных форм лекарственных препаратов, производимых на площадке для любых клинических исследований (следует представить информацию о производственных зонах и персонале, если они отличны от тех, что используются при серийном производстве);</w:t>
      </w:r>
    </w:p>
    <w:bookmarkEnd w:id="3617"/>
    <w:bookmarkStart w:name="z3721" w:id="3618"/>
    <w:p>
      <w:pPr>
        <w:spacing w:after="0"/>
        <w:ind w:left="0"/>
        <w:jc w:val="both"/>
      </w:pPr>
      <w:r>
        <w:rPr>
          <w:rFonts w:ascii="Times New Roman"/>
          <w:b w:val="false"/>
          <w:i w:val="false"/>
          <w:color w:val="000000"/>
          <w:sz w:val="28"/>
        </w:rPr>
        <w:t>
      2) Токсичные или опасные вещества (например, вещества с высокой фармакологической активностью и (или) сенсибилизирующими свойствами);</w:t>
      </w:r>
    </w:p>
    <w:bookmarkEnd w:id="3618"/>
    <w:bookmarkStart w:name="z3722" w:id="3619"/>
    <w:p>
      <w:pPr>
        <w:spacing w:after="0"/>
        <w:ind w:left="0"/>
        <w:jc w:val="both"/>
      </w:pPr>
      <w:r>
        <w:rPr>
          <w:rFonts w:ascii="Times New Roman"/>
          <w:b w:val="false"/>
          <w:i w:val="false"/>
          <w:color w:val="000000"/>
          <w:sz w:val="28"/>
        </w:rPr>
        <w:t>
      3) Виды продукции, производимой в специально предназначенных помещениях или на основе принципа кампаний (циклов производства) (при наличии);</w:t>
      </w:r>
    </w:p>
    <w:bookmarkEnd w:id="3619"/>
    <w:bookmarkStart w:name="z3723" w:id="3620"/>
    <w:p>
      <w:pPr>
        <w:spacing w:after="0"/>
        <w:ind w:left="0"/>
        <w:jc w:val="both"/>
      </w:pPr>
      <w:r>
        <w:rPr>
          <w:rFonts w:ascii="Times New Roman"/>
          <w:b w:val="false"/>
          <w:i w:val="false"/>
          <w:color w:val="000000"/>
          <w:sz w:val="28"/>
        </w:rPr>
        <w:t>
      4) Информация об использовании процессно-аналитической технологии (Process Analytical Technology - PAT) (при наличии):</w:t>
      </w:r>
    </w:p>
    <w:bookmarkEnd w:id="3620"/>
    <w:bookmarkStart w:name="z3724" w:id="3621"/>
    <w:p>
      <w:pPr>
        <w:spacing w:after="0"/>
        <w:ind w:left="0"/>
        <w:jc w:val="both"/>
      </w:pPr>
      <w:r>
        <w:rPr>
          <w:rFonts w:ascii="Times New Roman"/>
          <w:b w:val="false"/>
          <w:i w:val="false"/>
          <w:color w:val="000000"/>
          <w:sz w:val="28"/>
        </w:rPr>
        <w:t>
      общее описание соответствующей технологии и связанных с ней компьютеризированных систем.</w:t>
      </w:r>
    </w:p>
    <w:bookmarkEnd w:id="3621"/>
    <w:bookmarkStart w:name="z3725" w:id="3622"/>
    <w:p>
      <w:pPr>
        <w:spacing w:after="0"/>
        <w:ind w:left="0"/>
        <w:jc w:val="both"/>
      </w:pPr>
      <w:r>
        <w:rPr>
          <w:rFonts w:ascii="Times New Roman"/>
          <w:b w:val="false"/>
          <w:i w:val="false"/>
          <w:color w:val="000000"/>
          <w:sz w:val="28"/>
        </w:rPr>
        <w:t>
      670. Валидация процессов.</w:t>
      </w:r>
    </w:p>
    <w:bookmarkEnd w:id="3622"/>
    <w:bookmarkStart w:name="z3726" w:id="3623"/>
    <w:p>
      <w:pPr>
        <w:spacing w:after="0"/>
        <w:ind w:left="0"/>
        <w:jc w:val="both"/>
      </w:pPr>
      <w:r>
        <w:rPr>
          <w:rFonts w:ascii="Times New Roman"/>
          <w:b w:val="false"/>
          <w:i w:val="false"/>
          <w:color w:val="000000"/>
          <w:sz w:val="28"/>
        </w:rPr>
        <w:t>
      краткое описание общей политики в отношении валидации</w:t>
      </w:r>
    </w:p>
    <w:bookmarkEnd w:id="3623"/>
    <w:bookmarkStart w:name="z3727" w:id="3624"/>
    <w:p>
      <w:pPr>
        <w:spacing w:after="0"/>
        <w:ind w:left="0"/>
        <w:jc w:val="both"/>
      </w:pPr>
      <w:r>
        <w:rPr>
          <w:rFonts w:ascii="Times New Roman"/>
          <w:b w:val="false"/>
          <w:i w:val="false"/>
          <w:color w:val="000000"/>
          <w:sz w:val="28"/>
        </w:rPr>
        <w:t>
      процессов;</w:t>
      </w:r>
    </w:p>
    <w:bookmarkEnd w:id="3624"/>
    <w:bookmarkStart w:name="z3728" w:id="3625"/>
    <w:p>
      <w:pPr>
        <w:spacing w:after="0"/>
        <w:ind w:left="0"/>
        <w:jc w:val="both"/>
      </w:pPr>
      <w:r>
        <w:rPr>
          <w:rFonts w:ascii="Times New Roman"/>
          <w:b w:val="false"/>
          <w:i w:val="false"/>
          <w:color w:val="000000"/>
          <w:sz w:val="28"/>
        </w:rPr>
        <w:t>
      описание политики в отношении повторной обработки и переработки.</w:t>
      </w:r>
    </w:p>
    <w:bookmarkEnd w:id="3625"/>
    <w:bookmarkStart w:name="z3729" w:id="3626"/>
    <w:p>
      <w:pPr>
        <w:spacing w:after="0"/>
        <w:ind w:left="0"/>
        <w:jc w:val="both"/>
      </w:pPr>
      <w:r>
        <w:rPr>
          <w:rFonts w:ascii="Times New Roman"/>
          <w:b w:val="false"/>
          <w:i w:val="false"/>
          <w:color w:val="000000"/>
          <w:sz w:val="28"/>
        </w:rPr>
        <w:t>
      671. Управление материалами и складское хранение:</w:t>
      </w:r>
    </w:p>
    <w:bookmarkEnd w:id="3626"/>
    <w:bookmarkStart w:name="z3730" w:id="3627"/>
    <w:p>
      <w:pPr>
        <w:spacing w:after="0"/>
        <w:ind w:left="0"/>
        <w:jc w:val="both"/>
      </w:pPr>
      <w:r>
        <w:rPr>
          <w:rFonts w:ascii="Times New Roman"/>
          <w:b w:val="false"/>
          <w:i w:val="false"/>
          <w:color w:val="000000"/>
          <w:sz w:val="28"/>
        </w:rPr>
        <w:t>
      информация о мероприятиях по обращению с исходным сырьем, упаковочными материалами, нерасфасованной и готовой продукцией, включая отбор проб, карантин, выдачу разрешения на выпуск и хранение;</w:t>
      </w:r>
    </w:p>
    <w:bookmarkEnd w:id="3627"/>
    <w:bookmarkStart w:name="z3731" w:id="3628"/>
    <w:p>
      <w:pPr>
        <w:spacing w:after="0"/>
        <w:ind w:left="0"/>
        <w:jc w:val="both"/>
      </w:pPr>
      <w:r>
        <w:rPr>
          <w:rFonts w:ascii="Times New Roman"/>
          <w:b w:val="false"/>
          <w:i w:val="false"/>
          <w:color w:val="000000"/>
          <w:sz w:val="28"/>
        </w:rPr>
        <w:t>
      информация о мероприятиях по обращению с отклоненными материалами и продукцией.</w:t>
      </w:r>
    </w:p>
    <w:bookmarkEnd w:id="3628"/>
    <w:bookmarkStart w:name="z3732" w:id="3629"/>
    <w:p>
      <w:pPr>
        <w:spacing w:after="0"/>
        <w:ind w:left="0"/>
        <w:jc w:val="left"/>
      </w:pPr>
      <w:r>
        <w:rPr>
          <w:rFonts w:ascii="Times New Roman"/>
          <w:b/>
          <w:i w:val="false"/>
          <w:color w:val="000000"/>
        </w:rPr>
        <w:t xml:space="preserve"> Параграф 11. Контроль качества.</w:t>
      </w:r>
    </w:p>
    <w:bookmarkEnd w:id="3629"/>
    <w:bookmarkStart w:name="z3733" w:id="3630"/>
    <w:p>
      <w:pPr>
        <w:spacing w:after="0"/>
        <w:ind w:left="0"/>
        <w:jc w:val="both"/>
      </w:pPr>
      <w:r>
        <w:rPr>
          <w:rFonts w:ascii="Times New Roman"/>
          <w:b w:val="false"/>
          <w:i w:val="false"/>
          <w:color w:val="000000"/>
          <w:sz w:val="28"/>
        </w:rPr>
        <w:t>
      672. Следует привести описание деятельности по контролю качества, осуществляемой на производственной площадке в отношении физических, химических, микробиологических и биологических испытаний.</w:t>
      </w:r>
    </w:p>
    <w:bookmarkEnd w:id="3630"/>
    <w:bookmarkStart w:name="z3734" w:id="3631"/>
    <w:p>
      <w:pPr>
        <w:spacing w:after="0"/>
        <w:ind w:left="0"/>
        <w:jc w:val="both"/>
      </w:pPr>
      <w:r>
        <w:rPr>
          <w:rFonts w:ascii="Times New Roman"/>
          <w:b w:val="false"/>
          <w:i w:val="false"/>
          <w:color w:val="000000"/>
          <w:sz w:val="28"/>
        </w:rPr>
        <w:t>
      Дистрибьюция, претензии, дефекты продукции и отзывы.</w:t>
      </w:r>
    </w:p>
    <w:bookmarkEnd w:id="3631"/>
    <w:bookmarkStart w:name="z3735" w:id="3632"/>
    <w:p>
      <w:pPr>
        <w:spacing w:after="0"/>
        <w:ind w:left="0"/>
        <w:jc w:val="both"/>
      </w:pPr>
      <w:r>
        <w:rPr>
          <w:rFonts w:ascii="Times New Roman"/>
          <w:b w:val="false"/>
          <w:i w:val="false"/>
          <w:color w:val="000000"/>
          <w:sz w:val="28"/>
        </w:rPr>
        <w:t>
      Дистрибьюция (в части ответственности производителя): типы организаций (держатели лицензий на дистрибьюцию, держатели лицензий на производство и т. д.), которым поставляется продукция производственной площадки, и их размещение;</w:t>
      </w:r>
    </w:p>
    <w:bookmarkEnd w:id="3632"/>
    <w:bookmarkStart w:name="z3736" w:id="3633"/>
    <w:p>
      <w:pPr>
        <w:spacing w:after="0"/>
        <w:ind w:left="0"/>
        <w:jc w:val="both"/>
      </w:pPr>
      <w:r>
        <w:rPr>
          <w:rFonts w:ascii="Times New Roman"/>
          <w:b w:val="false"/>
          <w:i w:val="false"/>
          <w:color w:val="000000"/>
          <w:sz w:val="28"/>
        </w:rPr>
        <w:t>
      описание системы, применяемой для подтверждения того, что каждый потребитель (получатель) имеет юридическое право получать от производителя лекарственные средства;</w:t>
      </w:r>
    </w:p>
    <w:bookmarkEnd w:id="3633"/>
    <w:bookmarkStart w:name="z3737" w:id="3634"/>
    <w:p>
      <w:pPr>
        <w:spacing w:after="0"/>
        <w:ind w:left="0"/>
        <w:jc w:val="both"/>
      </w:pPr>
      <w:r>
        <w:rPr>
          <w:rFonts w:ascii="Times New Roman"/>
          <w:b w:val="false"/>
          <w:i w:val="false"/>
          <w:color w:val="000000"/>
          <w:sz w:val="28"/>
        </w:rPr>
        <w:t>
      краткое описание системы обеспечения соответствующих условий во время перевозок (например, мониторинг (контроль) температуры);</w:t>
      </w:r>
    </w:p>
    <w:bookmarkEnd w:id="3634"/>
    <w:bookmarkStart w:name="z3738" w:id="3635"/>
    <w:p>
      <w:pPr>
        <w:spacing w:after="0"/>
        <w:ind w:left="0"/>
        <w:jc w:val="both"/>
      </w:pPr>
      <w:r>
        <w:rPr>
          <w:rFonts w:ascii="Times New Roman"/>
          <w:b w:val="false"/>
          <w:i w:val="false"/>
          <w:color w:val="000000"/>
          <w:sz w:val="28"/>
        </w:rPr>
        <w:t>
      описание организации дистрибьюции и методов, которыми обеспечивается прослеживаемость продукции;</w:t>
      </w:r>
    </w:p>
    <w:bookmarkEnd w:id="3635"/>
    <w:bookmarkStart w:name="z3739" w:id="3636"/>
    <w:p>
      <w:pPr>
        <w:spacing w:after="0"/>
        <w:ind w:left="0"/>
        <w:jc w:val="both"/>
      </w:pPr>
      <w:r>
        <w:rPr>
          <w:rFonts w:ascii="Times New Roman"/>
          <w:b w:val="false"/>
          <w:i w:val="false"/>
          <w:color w:val="000000"/>
          <w:sz w:val="28"/>
        </w:rPr>
        <w:t>
      описание мер по предупреждению попадания продукции производителя в незаконную цепь поставки.</w:t>
      </w:r>
    </w:p>
    <w:bookmarkEnd w:id="3636"/>
    <w:bookmarkStart w:name="z3740" w:id="3637"/>
    <w:p>
      <w:pPr>
        <w:spacing w:after="0"/>
        <w:ind w:left="0"/>
        <w:jc w:val="both"/>
      </w:pPr>
      <w:r>
        <w:rPr>
          <w:rFonts w:ascii="Times New Roman"/>
          <w:b w:val="false"/>
          <w:i w:val="false"/>
          <w:color w:val="000000"/>
          <w:sz w:val="28"/>
        </w:rPr>
        <w:t>
      673. Претензии, дефекты продукции и отзывы:</w:t>
      </w:r>
    </w:p>
    <w:bookmarkEnd w:id="3637"/>
    <w:bookmarkStart w:name="z3741" w:id="3638"/>
    <w:p>
      <w:pPr>
        <w:spacing w:after="0"/>
        <w:ind w:left="0"/>
        <w:jc w:val="both"/>
      </w:pPr>
      <w:r>
        <w:rPr>
          <w:rFonts w:ascii="Times New Roman"/>
          <w:b w:val="false"/>
          <w:i w:val="false"/>
          <w:color w:val="000000"/>
          <w:sz w:val="28"/>
        </w:rPr>
        <w:t>
      краткое описание системы работы с претензиями, дефектами продукции и по отзывам.</w:t>
      </w:r>
    </w:p>
    <w:bookmarkEnd w:id="3638"/>
    <w:bookmarkStart w:name="z3742" w:id="3639"/>
    <w:p>
      <w:pPr>
        <w:spacing w:after="0"/>
        <w:ind w:left="0"/>
        <w:jc w:val="both"/>
      </w:pPr>
      <w:r>
        <w:rPr>
          <w:rFonts w:ascii="Times New Roman"/>
          <w:b w:val="false"/>
          <w:i w:val="false"/>
          <w:color w:val="000000"/>
          <w:sz w:val="28"/>
        </w:rPr>
        <w:t>
      674. Самоинспекция:</w:t>
      </w:r>
    </w:p>
    <w:bookmarkEnd w:id="3639"/>
    <w:bookmarkStart w:name="z3743" w:id="3640"/>
    <w:p>
      <w:pPr>
        <w:spacing w:after="0"/>
        <w:ind w:left="0"/>
        <w:jc w:val="both"/>
      </w:pPr>
      <w:r>
        <w:rPr>
          <w:rFonts w:ascii="Times New Roman"/>
          <w:b w:val="false"/>
          <w:i w:val="false"/>
          <w:color w:val="000000"/>
          <w:sz w:val="28"/>
        </w:rPr>
        <w:t>
      краткое описание системы самоинспекций с особым вниманием к критериям выбора планово инспектируемых зон, практические мероприятия и дальнейшие действия.</w:t>
      </w:r>
    </w:p>
    <w:bookmarkEnd w:id="3640"/>
    <w:bookmarkStart w:name="z3744" w:id="3641"/>
    <w:p>
      <w:pPr>
        <w:spacing w:after="0"/>
        <w:ind w:left="0"/>
        <w:jc w:val="both"/>
      </w:pPr>
      <w:r>
        <w:rPr>
          <w:rFonts w:ascii="Times New Roman"/>
          <w:b w:val="false"/>
          <w:i w:val="false"/>
          <w:color w:val="000000"/>
          <w:sz w:val="28"/>
        </w:rPr>
        <w:t>
      Перечень необходимых приложений к досье производственной площадки</w:t>
      </w:r>
    </w:p>
    <w:bookmarkEnd w:id="3641"/>
    <w:bookmarkStart w:name="z3745" w:id="3642"/>
    <w:p>
      <w:pPr>
        <w:spacing w:after="0"/>
        <w:ind w:left="0"/>
        <w:jc w:val="both"/>
      </w:pPr>
      <w:r>
        <w:rPr>
          <w:rFonts w:ascii="Times New Roman"/>
          <w:b w:val="false"/>
          <w:i w:val="false"/>
          <w:color w:val="000000"/>
          <w:sz w:val="28"/>
        </w:rPr>
        <w:t>
      Приложение 1. Копия действующей лицензии на производство.</w:t>
      </w:r>
    </w:p>
    <w:bookmarkEnd w:id="3642"/>
    <w:bookmarkStart w:name="z3746" w:id="3643"/>
    <w:p>
      <w:pPr>
        <w:spacing w:after="0"/>
        <w:ind w:left="0"/>
        <w:jc w:val="both"/>
      </w:pPr>
      <w:r>
        <w:rPr>
          <w:rFonts w:ascii="Times New Roman"/>
          <w:b w:val="false"/>
          <w:i w:val="false"/>
          <w:color w:val="000000"/>
          <w:sz w:val="28"/>
        </w:rPr>
        <w:t>
      Приложение 2. Перечень производимых лекарственных форм, в том числе международные непатентованные наименование или общепринятые названия (если существуют) используемых АФС.</w:t>
      </w:r>
    </w:p>
    <w:bookmarkEnd w:id="3643"/>
    <w:bookmarkStart w:name="z3747" w:id="3644"/>
    <w:p>
      <w:pPr>
        <w:spacing w:after="0"/>
        <w:ind w:left="0"/>
        <w:jc w:val="both"/>
      </w:pPr>
      <w:r>
        <w:rPr>
          <w:rFonts w:ascii="Times New Roman"/>
          <w:b w:val="false"/>
          <w:i w:val="false"/>
          <w:color w:val="000000"/>
          <w:sz w:val="28"/>
        </w:rPr>
        <w:t>
      Приложение 3. Копия действующего сертификата соответствия требованиям настоящего Стандарта.</w:t>
      </w:r>
    </w:p>
    <w:bookmarkEnd w:id="3644"/>
    <w:bookmarkStart w:name="z3748" w:id="3645"/>
    <w:p>
      <w:pPr>
        <w:spacing w:after="0"/>
        <w:ind w:left="0"/>
        <w:jc w:val="both"/>
      </w:pPr>
      <w:r>
        <w:rPr>
          <w:rFonts w:ascii="Times New Roman"/>
          <w:b w:val="false"/>
          <w:i w:val="false"/>
          <w:color w:val="000000"/>
          <w:sz w:val="28"/>
        </w:rPr>
        <w:t>
      Приложение 4. Перечень контрактных производителей и лабораторий, включая адреса и контактную информацию, а также схемы цепей осуществления этой контрактной деятельности.</w:t>
      </w:r>
    </w:p>
    <w:bookmarkEnd w:id="3645"/>
    <w:bookmarkStart w:name="z3749" w:id="3646"/>
    <w:p>
      <w:pPr>
        <w:spacing w:after="0"/>
        <w:ind w:left="0"/>
        <w:jc w:val="both"/>
      </w:pPr>
      <w:r>
        <w:rPr>
          <w:rFonts w:ascii="Times New Roman"/>
          <w:b w:val="false"/>
          <w:i w:val="false"/>
          <w:color w:val="000000"/>
          <w:sz w:val="28"/>
        </w:rPr>
        <w:t>
      Приложение 5. Организационные схемы.</w:t>
      </w:r>
    </w:p>
    <w:bookmarkEnd w:id="3646"/>
    <w:bookmarkStart w:name="z3750" w:id="3647"/>
    <w:p>
      <w:pPr>
        <w:spacing w:after="0"/>
        <w:ind w:left="0"/>
        <w:jc w:val="both"/>
      </w:pPr>
      <w:r>
        <w:rPr>
          <w:rFonts w:ascii="Times New Roman"/>
          <w:b w:val="false"/>
          <w:i w:val="false"/>
          <w:color w:val="000000"/>
          <w:sz w:val="28"/>
        </w:rPr>
        <w:t>
      Приложение 6. Планы производственных зон с указанием потоков исходного сырья и персонала, общая схема производственных процессов для каждого вида продукции (лекарственных форм).</w:t>
      </w:r>
    </w:p>
    <w:bookmarkEnd w:id="3647"/>
    <w:bookmarkStart w:name="z3751" w:id="3648"/>
    <w:p>
      <w:pPr>
        <w:spacing w:after="0"/>
        <w:ind w:left="0"/>
        <w:jc w:val="both"/>
      </w:pPr>
      <w:r>
        <w:rPr>
          <w:rFonts w:ascii="Times New Roman"/>
          <w:b w:val="false"/>
          <w:i w:val="false"/>
          <w:color w:val="000000"/>
          <w:sz w:val="28"/>
        </w:rPr>
        <w:t>
      Приложение 7. Схематические чертежи систем водоподготовки. Приложение 8. Перечень основного технологического и</w:t>
      </w:r>
    </w:p>
    <w:bookmarkEnd w:id="3648"/>
    <w:bookmarkStart w:name="z3752" w:id="3649"/>
    <w:p>
      <w:pPr>
        <w:spacing w:after="0"/>
        <w:ind w:left="0"/>
        <w:jc w:val="both"/>
      </w:pPr>
      <w:r>
        <w:rPr>
          <w:rFonts w:ascii="Times New Roman"/>
          <w:b w:val="false"/>
          <w:i w:val="false"/>
          <w:color w:val="000000"/>
          <w:sz w:val="28"/>
        </w:rPr>
        <w:t>
      лабораторного оборудования.</w:t>
      </w:r>
    </w:p>
    <w:bookmarkEnd w:id="3649"/>
    <w:bookmarkStart w:name="z3753" w:id="3650"/>
    <w:p>
      <w:pPr>
        <w:spacing w:after="0"/>
        <w:ind w:left="0"/>
        <w:jc w:val="left"/>
      </w:pPr>
      <w:r>
        <w:rPr>
          <w:rFonts w:ascii="Times New Roman"/>
          <w:b/>
          <w:i w:val="false"/>
          <w:color w:val="000000"/>
        </w:rPr>
        <w:t xml:space="preserve"> Глава 12. Управление рисками для качества</w:t>
      </w:r>
    </w:p>
    <w:bookmarkEnd w:id="3650"/>
    <w:bookmarkStart w:name="z3754" w:id="3651"/>
    <w:p>
      <w:pPr>
        <w:spacing w:after="0"/>
        <w:ind w:left="0"/>
        <w:jc w:val="left"/>
      </w:pPr>
      <w:r>
        <w:rPr>
          <w:rFonts w:ascii="Times New Roman"/>
          <w:b/>
          <w:i w:val="false"/>
          <w:color w:val="000000"/>
        </w:rPr>
        <w:t xml:space="preserve"> Параграф 1. Предисловие</w:t>
      </w:r>
    </w:p>
    <w:bookmarkEnd w:id="3651"/>
    <w:bookmarkStart w:name="z3755" w:id="3652"/>
    <w:p>
      <w:pPr>
        <w:spacing w:after="0"/>
        <w:ind w:left="0"/>
        <w:jc w:val="both"/>
      </w:pPr>
      <w:r>
        <w:rPr>
          <w:rFonts w:ascii="Times New Roman"/>
          <w:b w:val="false"/>
          <w:i w:val="false"/>
          <w:color w:val="000000"/>
          <w:sz w:val="28"/>
        </w:rPr>
        <w:t>
      675. Управление рисками для качества применяется не только в производстве, но и по отношению к фармацевтической разработке, а также при составлении части регистрационного досье, касающейся качества. Этот документ могут применять уполномоченные органы при фармацевтической оценке части регистрационного досье, связанной с качеством, а также при проведении инспектирования на соответствие требованиям настоящего Стандарта и при расследованиях, связанных с предполагаемым дефектом.</w:t>
      </w:r>
    </w:p>
    <w:bookmarkEnd w:id="3652"/>
    <w:bookmarkStart w:name="z3756" w:id="3653"/>
    <w:p>
      <w:pPr>
        <w:spacing w:after="0"/>
        <w:ind w:left="0"/>
        <w:jc w:val="both"/>
      </w:pPr>
      <w:r>
        <w:rPr>
          <w:rFonts w:ascii="Times New Roman"/>
          <w:b w:val="false"/>
          <w:i w:val="false"/>
          <w:color w:val="000000"/>
          <w:sz w:val="28"/>
        </w:rPr>
        <w:t>
      Для обеспечения взаимосвязи с другими разделами данного документа данная глава включена в настоящую часть Стандарта. Что согласуется с положениями главы 11 части настоящего Стандарта, которые содержат принципы управления рисками для качества.</w:t>
      </w:r>
    </w:p>
    <w:bookmarkEnd w:id="3653"/>
    <w:bookmarkStart w:name="z3757" w:id="3654"/>
    <w:p>
      <w:pPr>
        <w:spacing w:after="0"/>
        <w:ind w:left="0"/>
        <w:jc w:val="both"/>
      </w:pPr>
      <w:r>
        <w:rPr>
          <w:rFonts w:ascii="Times New Roman"/>
          <w:b w:val="false"/>
          <w:i w:val="false"/>
          <w:color w:val="000000"/>
          <w:sz w:val="28"/>
        </w:rPr>
        <w:t>
      Настоящая глава носит рекомендательный характер, в нем приводятся примеры процессов и применения управления рисками для качества.</w:t>
      </w:r>
    </w:p>
    <w:bookmarkEnd w:id="3654"/>
    <w:bookmarkStart w:name="z3758" w:id="3655"/>
    <w:p>
      <w:pPr>
        <w:spacing w:after="0"/>
        <w:ind w:left="0"/>
        <w:jc w:val="left"/>
      </w:pPr>
      <w:r>
        <w:rPr>
          <w:rFonts w:ascii="Times New Roman"/>
          <w:b/>
          <w:i w:val="false"/>
          <w:color w:val="000000"/>
        </w:rPr>
        <w:t xml:space="preserve"> Параграф 2. Введение</w:t>
      </w:r>
    </w:p>
    <w:bookmarkEnd w:id="3655"/>
    <w:bookmarkStart w:name="z3759" w:id="3656"/>
    <w:p>
      <w:pPr>
        <w:spacing w:after="0"/>
        <w:ind w:left="0"/>
        <w:jc w:val="both"/>
      </w:pPr>
      <w:r>
        <w:rPr>
          <w:rFonts w:ascii="Times New Roman"/>
          <w:b w:val="false"/>
          <w:i w:val="false"/>
          <w:color w:val="000000"/>
          <w:sz w:val="28"/>
        </w:rPr>
        <w:t>
      676. Принципы управления рисками эффективно применяются во многих областях экономической деятельности и управления, включая финансы, страхование, безопасность на производстве, здравоохранение, мониторинг безопасности лекарственных препаратов, а также применяются уполномоченными органами, осуществляющими надзорную деятельность в этих областях. Хотя на сегодняшний день известны примеры применения управления рисками для качества в фармацевтической промышленности, они ограничены и не используют все возможности управления рисками. Кроме того, в фармацевтической промышленности признана важность систем качества и становится очевидным, что управление рисками для качества является важным компонентом эффективной системы качества.</w:t>
      </w:r>
    </w:p>
    <w:bookmarkEnd w:id="3656"/>
    <w:bookmarkStart w:name="z3760" w:id="3657"/>
    <w:p>
      <w:pPr>
        <w:spacing w:after="0"/>
        <w:ind w:left="0"/>
        <w:jc w:val="both"/>
      </w:pPr>
      <w:r>
        <w:rPr>
          <w:rFonts w:ascii="Times New Roman"/>
          <w:b w:val="false"/>
          <w:i w:val="false"/>
          <w:color w:val="000000"/>
          <w:sz w:val="28"/>
        </w:rPr>
        <w:t>
      677. Общепризнано, что риск определяется как комбинация вероятности причинения вреда и тяжести такого вреда. Однако сложно достичь однозначного понимания процесса управления рисками всеми заинтересованными сторонами, поскольку каждая из сторон понимает возможный вред по-разному, вероятность возникновения вреда и характеристики его тяжести для каждого участника будут разными. В случае фармацевтической продукции, хотя и существуют различные заинтересованные стороны (в том числе пациенты, медицинские работники, правительственные органы и промышленность), первостепенное значение применения управления рисками для качества имеет защита пациента.</w:t>
      </w:r>
    </w:p>
    <w:bookmarkEnd w:id="3657"/>
    <w:bookmarkStart w:name="z3761" w:id="3658"/>
    <w:p>
      <w:pPr>
        <w:spacing w:after="0"/>
        <w:ind w:left="0"/>
        <w:jc w:val="both"/>
      </w:pPr>
      <w:r>
        <w:rPr>
          <w:rFonts w:ascii="Times New Roman"/>
          <w:b w:val="false"/>
          <w:i w:val="false"/>
          <w:color w:val="000000"/>
          <w:sz w:val="28"/>
        </w:rPr>
        <w:t>
      678. При производстве и применении лекарственного препарата, включая его компоненты, в определенной степени обязательно присутствуют риски. Риски для качества являются только одной составляющей общего риска. Важно понимать, что качество продукции следует поддерживать в течение жизненного цикла продукции таким образом, чтобы характеристики, имеющие значение для качества лекарственного препарата, оставались такими же, как у лекарственных препаратов, использовавшихся при клинических исследованиях. Эффективный подход управлению рисками для качества в дальнейшем гарантирует пациенту высокое качество лекарственного препарата с помощью установления в ходе разработки и производства предупреждающих методов идентификации и контроля возможных проблем, связанных с качеством. Кроме того, применение управления рисками для качества усовершенствуют процедуру принятия решений в случае возникновения проблем с качеством. Эффективное управление рисками для качества способствуют принятию лучших и более обоснованных решений, которые позволяют предприятию гарантировать уполномоченным органам эффективность решения вопросов, связанных с потенциальными рисками, а также благоприятно влиять на масштаб и уровень непосредственного контроля.</w:t>
      </w:r>
    </w:p>
    <w:bookmarkEnd w:id="3658"/>
    <w:bookmarkStart w:name="z3762" w:id="3659"/>
    <w:p>
      <w:pPr>
        <w:spacing w:after="0"/>
        <w:ind w:left="0"/>
        <w:jc w:val="both"/>
      </w:pPr>
      <w:r>
        <w:rPr>
          <w:rFonts w:ascii="Times New Roman"/>
          <w:b w:val="false"/>
          <w:i w:val="false"/>
          <w:color w:val="000000"/>
          <w:sz w:val="28"/>
        </w:rPr>
        <w:t>
      679. Цель данной главы - предложить системный подход к управлению рисками для качества. Это основополагающий документ производителя, который независим от других нормативных правовых актов в отношении качества (хотя и связан, с ними) и который дополняет требования, стандарты и руководства относительно качества, имеющиеся в фармацевтической промышленности и надзорной деятельности. Документ содержит специальные указания в отношении принципов и некоторых инструментов управления рисками для качества, что способствует принятию более эффективных и последовательных решений касательно рисков со стороны сотрудников как уполномоченных органов, так и предприятий в отношении качества активных фармацевтических субстанций и лекарственных препаратов в течение жизненного цикла продукции. Документ не устанавливает какие-либо новые требования в дополнение к действующим установленным требованиям.</w:t>
      </w:r>
    </w:p>
    <w:bookmarkEnd w:id="3659"/>
    <w:bookmarkStart w:name="z3763" w:id="3660"/>
    <w:p>
      <w:pPr>
        <w:spacing w:after="0"/>
        <w:ind w:left="0"/>
        <w:jc w:val="both"/>
      </w:pPr>
      <w:r>
        <w:rPr>
          <w:rFonts w:ascii="Times New Roman"/>
          <w:b w:val="false"/>
          <w:i w:val="false"/>
          <w:color w:val="000000"/>
          <w:sz w:val="28"/>
        </w:rPr>
        <w:t>
      680. Не всегда целесообразным и необходимым является формальный процесс управления рисками (с применением признанных способов и (или) внутренних процедур, например, стандартных операционных процедур). Считается приемлемым применение неформальных процессов управления рисками (с использованием эмпирических методов и (или) внутренних процедур). Надлежащее применение управления рисками для качества облегчает выполнение должностные обязанностей производителей (однако не отменяет их) в отношении соблюдения установленных требований, а также не заменяет соответствующий обмен информацией между представителями предприятий-производителей и уполномоченными органами.</w:t>
      </w:r>
    </w:p>
    <w:bookmarkEnd w:id="3660"/>
    <w:bookmarkStart w:name="z3764" w:id="3661"/>
    <w:p>
      <w:pPr>
        <w:spacing w:after="0"/>
        <w:ind w:left="0"/>
        <w:jc w:val="left"/>
      </w:pPr>
      <w:r>
        <w:rPr>
          <w:rFonts w:ascii="Times New Roman"/>
          <w:b/>
          <w:i w:val="false"/>
          <w:color w:val="000000"/>
        </w:rPr>
        <w:t xml:space="preserve"> Параграф 3. Общие положения</w:t>
      </w:r>
    </w:p>
    <w:bookmarkEnd w:id="3661"/>
    <w:bookmarkStart w:name="z3765" w:id="3662"/>
    <w:p>
      <w:pPr>
        <w:spacing w:after="0"/>
        <w:ind w:left="0"/>
        <w:jc w:val="both"/>
      </w:pPr>
      <w:r>
        <w:rPr>
          <w:rFonts w:ascii="Times New Roman"/>
          <w:b w:val="false"/>
          <w:i w:val="false"/>
          <w:color w:val="000000"/>
          <w:sz w:val="28"/>
        </w:rPr>
        <w:t>
      681. В настоящей главе представлены принципы и примеры инструментов управления рисками для качества, которые могут быть применены к различным аспектам фармацевтического качества. Эти аспекты включают разработку, производство, оптовую торговлю, а также инспектирование и процессы представления заявок (обзоров) на протяжении жизненного цикла активных фармацевтических субстанций, лекарственных препаратов, биологических и биотехнологических лекарственных препаратов (включая использование исходного сырья, растворителей, вспомогательных веществ, упаковочных и маркировочных материалов для лекарственных препаратов, биологических и биотехнологических лекарственных препаратов).</w:t>
      </w:r>
    </w:p>
    <w:bookmarkEnd w:id="3662"/>
    <w:bookmarkStart w:name="z3766" w:id="3663"/>
    <w:p>
      <w:pPr>
        <w:spacing w:after="0"/>
        <w:ind w:left="0"/>
        <w:jc w:val="both"/>
      </w:pPr>
      <w:r>
        <w:rPr>
          <w:rFonts w:ascii="Times New Roman"/>
          <w:b w:val="false"/>
          <w:i w:val="false"/>
          <w:color w:val="000000"/>
          <w:sz w:val="28"/>
        </w:rPr>
        <w:t>
      682. Принципы управления рисками для качества</w:t>
      </w:r>
    </w:p>
    <w:bookmarkEnd w:id="3663"/>
    <w:bookmarkStart w:name="z3767" w:id="3664"/>
    <w:p>
      <w:pPr>
        <w:spacing w:after="0"/>
        <w:ind w:left="0"/>
        <w:jc w:val="both"/>
      </w:pPr>
      <w:r>
        <w:rPr>
          <w:rFonts w:ascii="Times New Roman"/>
          <w:b w:val="false"/>
          <w:i w:val="false"/>
          <w:color w:val="000000"/>
          <w:sz w:val="28"/>
        </w:rPr>
        <w:t>
      Существуют два основополагающих принципа управления рисками для качества:</w:t>
      </w:r>
    </w:p>
    <w:bookmarkEnd w:id="3664"/>
    <w:bookmarkStart w:name="z3768" w:id="3665"/>
    <w:p>
      <w:pPr>
        <w:spacing w:after="0"/>
        <w:ind w:left="0"/>
        <w:jc w:val="both"/>
      </w:pPr>
      <w:r>
        <w:rPr>
          <w:rFonts w:ascii="Times New Roman"/>
          <w:b w:val="false"/>
          <w:i w:val="false"/>
          <w:color w:val="000000"/>
          <w:sz w:val="28"/>
        </w:rPr>
        <w:t>
      оценка рисков для качества базируются на научных данных и быть непосредственно связанной с защитой пациента;</w:t>
      </w:r>
    </w:p>
    <w:bookmarkEnd w:id="3665"/>
    <w:bookmarkStart w:name="z3769" w:id="3666"/>
    <w:p>
      <w:pPr>
        <w:spacing w:after="0"/>
        <w:ind w:left="0"/>
        <w:jc w:val="both"/>
      </w:pPr>
      <w:r>
        <w:rPr>
          <w:rFonts w:ascii="Times New Roman"/>
          <w:b w:val="false"/>
          <w:i w:val="false"/>
          <w:color w:val="000000"/>
          <w:sz w:val="28"/>
        </w:rPr>
        <w:t>
      уровень усилий, формализации и документального оформления процесса управления рисками для качества соответствует уровню рисков.</w:t>
      </w:r>
    </w:p>
    <w:bookmarkEnd w:id="3666"/>
    <w:bookmarkStart w:name="z3770" w:id="3667"/>
    <w:p>
      <w:pPr>
        <w:spacing w:after="0"/>
        <w:ind w:left="0"/>
        <w:jc w:val="both"/>
      </w:pPr>
      <w:r>
        <w:rPr>
          <w:rFonts w:ascii="Times New Roman"/>
          <w:b w:val="false"/>
          <w:i w:val="false"/>
          <w:color w:val="000000"/>
          <w:sz w:val="28"/>
        </w:rPr>
        <w:t>
      683. Общий процесс управления рисками для качества</w:t>
      </w:r>
    </w:p>
    <w:bookmarkEnd w:id="3667"/>
    <w:bookmarkStart w:name="z3771" w:id="3668"/>
    <w:p>
      <w:pPr>
        <w:spacing w:after="0"/>
        <w:ind w:left="0"/>
        <w:jc w:val="both"/>
      </w:pPr>
      <w:r>
        <w:rPr>
          <w:rFonts w:ascii="Times New Roman"/>
          <w:b w:val="false"/>
          <w:i w:val="false"/>
          <w:color w:val="000000"/>
          <w:sz w:val="28"/>
        </w:rPr>
        <w:t>
      Управление рисками для качества - систематический процесс для общей оценки, контроля, информирования и обзора рисков для качества лекарственного препарата на протяжении его жизненного цикла. Модель управления рисками для качества представлена на рисунке 1 настоящего документа.</w:t>
      </w:r>
    </w:p>
    <w:bookmarkEnd w:id="3668"/>
    <w:bookmarkStart w:name="z3772" w:id="3669"/>
    <w:p>
      <w:pPr>
        <w:spacing w:after="0"/>
        <w:ind w:left="0"/>
        <w:jc w:val="both"/>
      </w:pPr>
      <w:r>
        <w:rPr>
          <w:rFonts w:ascii="Times New Roman"/>
          <w:b w:val="false"/>
          <w:i w:val="false"/>
          <w:color w:val="000000"/>
          <w:sz w:val="28"/>
        </w:rPr>
        <w:t xml:space="preserve">
      </w:t>
      </w:r>
    </w:p>
    <w:bookmarkEnd w:id="3669"/>
    <w:p>
      <w:pPr>
        <w:spacing w:after="0"/>
        <w:ind w:left="0"/>
        <w:jc w:val="both"/>
      </w:pPr>
      <w:r>
        <w:drawing>
          <wp:inline distT="0" distB="0" distL="0" distR="0">
            <wp:extent cx="5257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578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73" w:id="3670"/>
    <w:p>
      <w:pPr>
        <w:spacing w:after="0"/>
        <w:ind w:left="0"/>
        <w:jc w:val="both"/>
      </w:pPr>
      <w:r>
        <w:rPr>
          <w:rFonts w:ascii="Times New Roman"/>
          <w:b w:val="false"/>
          <w:i w:val="false"/>
          <w:color w:val="000000"/>
          <w:sz w:val="28"/>
        </w:rPr>
        <w:t>
      Рис. 1 Общая схема типового процесса управления рисками для качества.</w:t>
      </w:r>
    </w:p>
    <w:bookmarkEnd w:id="3670"/>
    <w:bookmarkStart w:name="z3774" w:id="3671"/>
    <w:p>
      <w:pPr>
        <w:spacing w:after="0"/>
        <w:ind w:left="0"/>
        <w:jc w:val="both"/>
      </w:pPr>
      <w:r>
        <w:rPr>
          <w:rFonts w:ascii="Times New Roman"/>
          <w:b w:val="false"/>
          <w:i w:val="false"/>
          <w:color w:val="000000"/>
          <w:sz w:val="28"/>
        </w:rPr>
        <w:t>
      Могут применяться и другие модели. Значение каждого компонента этой структуры может быть разным в разных случаях, но надежный процесс учитывает все компоненты, детализированные до такой степени, которая соответствует отдельному риску для качества.</w:t>
      </w:r>
    </w:p>
    <w:bookmarkEnd w:id="3671"/>
    <w:bookmarkStart w:name="z3775" w:id="3672"/>
    <w:p>
      <w:pPr>
        <w:spacing w:after="0"/>
        <w:ind w:left="0"/>
        <w:jc w:val="both"/>
      </w:pPr>
      <w:r>
        <w:rPr>
          <w:rFonts w:ascii="Times New Roman"/>
          <w:b w:val="false"/>
          <w:i w:val="false"/>
          <w:color w:val="000000"/>
          <w:sz w:val="28"/>
        </w:rPr>
        <w:t>
      На приведенной схеме не указаны точки принятия решений, поскольку решения могут быть приняты в любой точке процесса. Эти решения могут возвращать на предыдущий этап для поиска дальнейшей информации, чтобы откорректировать модели рисков для качества или даже прекратить процесс управления риском для качества из-за информации, являющейся основанием для такого решения. (Примечание: "неприемлемо" на рис. 1 настоящего раздела касается не только требований законодательства, но также необходимости пересмотреть процесс общей оценки рисков.)</w:t>
      </w:r>
    </w:p>
    <w:bookmarkEnd w:id="3672"/>
    <w:bookmarkStart w:name="z3776" w:id="3673"/>
    <w:p>
      <w:pPr>
        <w:spacing w:after="0"/>
        <w:ind w:left="0"/>
        <w:jc w:val="left"/>
      </w:pPr>
      <w:r>
        <w:rPr>
          <w:rFonts w:ascii="Times New Roman"/>
          <w:b/>
          <w:i w:val="false"/>
          <w:color w:val="000000"/>
        </w:rPr>
        <w:t xml:space="preserve"> Параграф 4. Общий процесс управления рисками для качества</w:t>
      </w:r>
    </w:p>
    <w:bookmarkEnd w:id="3673"/>
    <w:bookmarkStart w:name="z3777" w:id="3674"/>
    <w:p>
      <w:pPr>
        <w:spacing w:after="0"/>
        <w:ind w:left="0"/>
        <w:jc w:val="both"/>
      </w:pPr>
      <w:r>
        <w:rPr>
          <w:rFonts w:ascii="Times New Roman"/>
          <w:b w:val="false"/>
          <w:i w:val="false"/>
          <w:color w:val="000000"/>
          <w:sz w:val="28"/>
        </w:rPr>
        <w:t>
      684. Деятельность по управлению рисками для качества, как правило, осуществляется группами, включающими специалистов разных областей знаний. При формировании групп в них следует включать экспертов в соответствующих областях (например, отдела качества, развития бизнеса, инжиниринга, регуляторной деятельности, технологии, продаж и маркетинга, юридической службы, статистики и клиники), в дополнение к лицам, владеющим знаниями процесса управления рисками для качества.</w:t>
      </w:r>
    </w:p>
    <w:bookmarkEnd w:id="3674"/>
    <w:bookmarkStart w:name="z3778" w:id="3675"/>
    <w:p>
      <w:pPr>
        <w:spacing w:after="0"/>
        <w:ind w:left="0"/>
        <w:jc w:val="both"/>
      </w:pPr>
      <w:r>
        <w:rPr>
          <w:rFonts w:ascii="Times New Roman"/>
          <w:b w:val="false"/>
          <w:i w:val="false"/>
          <w:color w:val="000000"/>
          <w:sz w:val="28"/>
        </w:rPr>
        <w:t>
      Лица, ответственные за принятие решений:</w:t>
      </w:r>
    </w:p>
    <w:bookmarkEnd w:id="3675"/>
    <w:bookmarkStart w:name="z3779" w:id="3676"/>
    <w:p>
      <w:pPr>
        <w:spacing w:after="0"/>
        <w:ind w:left="0"/>
        <w:jc w:val="both"/>
      </w:pPr>
      <w:r>
        <w:rPr>
          <w:rFonts w:ascii="Times New Roman"/>
          <w:b w:val="false"/>
          <w:i w:val="false"/>
          <w:color w:val="000000"/>
          <w:sz w:val="28"/>
        </w:rPr>
        <w:t>
      1) отвечающий за координацию управления рисками для качества между разными видами деятельности и разными подразделениями в организации;</w:t>
      </w:r>
    </w:p>
    <w:bookmarkEnd w:id="3676"/>
    <w:bookmarkStart w:name="z3780" w:id="3677"/>
    <w:p>
      <w:pPr>
        <w:spacing w:after="0"/>
        <w:ind w:left="0"/>
        <w:jc w:val="both"/>
      </w:pPr>
      <w:r>
        <w:rPr>
          <w:rFonts w:ascii="Times New Roman"/>
          <w:b w:val="false"/>
          <w:i w:val="false"/>
          <w:color w:val="000000"/>
          <w:sz w:val="28"/>
        </w:rPr>
        <w:t>
      2) гарантировать, что процесс управления рисками для качества определен, находится в действии и проверяется и что имеются достаточные ресурсы.</w:t>
      </w:r>
    </w:p>
    <w:bookmarkEnd w:id="3677"/>
    <w:bookmarkStart w:name="z3781" w:id="3678"/>
    <w:p>
      <w:pPr>
        <w:spacing w:after="0"/>
        <w:ind w:left="0"/>
        <w:jc w:val="left"/>
      </w:pPr>
      <w:r>
        <w:rPr>
          <w:rFonts w:ascii="Times New Roman"/>
          <w:b/>
          <w:i w:val="false"/>
          <w:color w:val="000000"/>
        </w:rPr>
        <w:t xml:space="preserve"> Параграф 5. Начало процесса управления рисками для качества</w:t>
      </w:r>
    </w:p>
    <w:bookmarkEnd w:id="3678"/>
    <w:bookmarkStart w:name="z3782" w:id="3679"/>
    <w:p>
      <w:pPr>
        <w:spacing w:after="0"/>
        <w:ind w:left="0"/>
        <w:jc w:val="both"/>
      </w:pPr>
      <w:r>
        <w:rPr>
          <w:rFonts w:ascii="Times New Roman"/>
          <w:b w:val="false"/>
          <w:i w:val="false"/>
          <w:color w:val="000000"/>
          <w:sz w:val="28"/>
        </w:rPr>
        <w:t>
      685. Управление рисками для качества включают систематические процессы, предназначенные для координации, облегчения и совершенствования принятия научно обоснованных решений в отношении рисков. Этапы, применяемые для планирования и начала выполнения процесса управления рисками для качества, могут включать:</w:t>
      </w:r>
    </w:p>
    <w:bookmarkEnd w:id="3679"/>
    <w:bookmarkStart w:name="z3783" w:id="3680"/>
    <w:p>
      <w:pPr>
        <w:spacing w:after="0"/>
        <w:ind w:left="0"/>
        <w:jc w:val="both"/>
      </w:pPr>
      <w:r>
        <w:rPr>
          <w:rFonts w:ascii="Times New Roman"/>
          <w:b w:val="false"/>
          <w:i w:val="false"/>
          <w:color w:val="000000"/>
          <w:sz w:val="28"/>
        </w:rPr>
        <w:t>
      1) определение проблемного и (или) представляющего риск вопроса, включая соответствующие предположения, устанавливающие возможность риска для качества;</w:t>
      </w:r>
    </w:p>
    <w:bookmarkEnd w:id="3680"/>
    <w:bookmarkStart w:name="z3784" w:id="3681"/>
    <w:p>
      <w:pPr>
        <w:spacing w:after="0"/>
        <w:ind w:left="0"/>
        <w:jc w:val="both"/>
      </w:pPr>
      <w:r>
        <w:rPr>
          <w:rFonts w:ascii="Times New Roman"/>
          <w:b w:val="false"/>
          <w:i w:val="false"/>
          <w:color w:val="000000"/>
          <w:sz w:val="28"/>
        </w:rPr>
        <w:t>
      2) сбор исходной информации и (или) данных о потенциальной опасности, вреде или влиянии на здоровье человека, имеющих отношение к общей оценке рисков;</w:t>
      </w:r>
    </w:p>
    <w:bookmarkEnd w:id="3681"/>
    <w:bookmarkStart w:name="z3785" w:id="3682"/>
    <w:p>
      <w:pPr>
        <w:spacing w:after="0"/>
        <w:ind w:left="0"/>
        <w:jc w:val="both"/>
      </w:pPr>
      <w:r>
        <w:rPr>
          <w:rFonts w:ascii="Times New Roman"/>
          <w:b w:val="false"/>
          <w:i w:val="false"/>
          <w:color w:val="000000"/>
          <w:sz w:val="28"/>
        </w:rPr>
        <w:t>
      3) определение руководителя и необходимых ресурсов;</w:t>
      </w:r>
    </w:p>
    <w:bookmarkEnd w:id="3682"/>
    <w:bookmarkStart w:name="z3786" w:id="3683"/>
    <w:p>
      <w:pPr>
        <w:spacing w:after="0"/>
        <w:ind w:left="0"/>
        <w:jc w:val="both"/>
      </w:pPr>
      <w:r>
        <w:rPr>
          <w:rFonts w:ascii="Times New Roman"/>
          <w:b w:val="false"/>
          <w:i w:val="false"/>
          <w:color w:val="000000"/>
          <w:sz w:val="28"/>
        </w:rPr>
        <w:t>
      4) создание графика, связывающего уровень принятия решения с возможностью осуществления процесса управления рисками для качества.</w:t>
      </w:r>
    </w:p>
    <w:bookmarkEnd w:id="3683"/>
    <w:bookmarkStart w:name="z3787" w:id="3684"/>
    <w:p>
      <w:pPr>
        <w:spacing w:after="0"/>
        <w:ind w:left="0"/>
        <w:jc w:val="left"/>
      </w:pPr>
      <w:r>
        <w:rPr>
          <w:rFonts w:ascii="Times New Roman"/>
          <w:b/>
          <w:i w:val="false"/>
          <w:color w:val="000000"/>
        </w:rPr>
        <w:t xml:space="preserve"> Параграф 6. Общая оценка рисков</w:t>
      </w:r>
    </w:p>
    <w:bookmarkEnd w:id="3684"/>
    <w:bookmarkStart w:name="z3788" w:id="3685"/>
    <w:p>
      <w:pPr>
        <w:spacing w:after="0"/>
        <w:ind w:left="0"/>
        <w:jc w:val="both"/>
      </w:pPr>
      <w:r>
        <w:rPr>
          <w:rFonts w:ascii="Times New Roman"/>
          <w:b w:val="false"/>
          <w:i w:val="false"/>
          <w:color w:val="000000"/>
          <w:sz w:val="28"/>
        </w:rPr>
        <w:t>
      686. Общая оценка рисков состоит из идентификации опасностей, а также анализа и оценки рисков, связанных с воздействием этих опасностей (как указано ниже). Общую оценку рисков для качества начинают с четкого описания проблемы или аспекта риска. Если рассматриваемый риск для качества четко определен, будет легче установить соответствующий инструмент управления риском (см. примеры в разделе 5 настоящей главы), а также виды информации относительно аспекта риска. Для четкого определения рисков в целях общей оценки рисков, как правило, применяются 3 основных вопроса:</w:t>
      </w:r>
    </w:p>
    <w:bookmarkEnd w:id="3685"/>
    <w:bookmarkStart w:name="z3789" w:id="3686"/>
    <w:p>
      <w:pPr>
        <w:spacing w:after="0"/>
        <w:ind w:left="0"/>
        <w:jc w:val="both"/>
      </w:pPr>
      <w:r>
        <w:rPr>
          <w:rFonts w:ascii="Times New Roman"/>
          <w:b w:val="false"/>
          <w:i w:val="false"/>
          <w:color w:val="000000"/>
          <w:sz w:val="28"/>
        </w:rPr>
        <w:t>
      1) что происходить неверно;</w:t>
      </w:r>
    </w:p>
    <w:bookmarkEnd w:id="3686"/>
    <w:bookmarkStart w:name="z3790" w:id="3687"/>
    <w:p>
      <w:pPr>
        <w:spacing w:after="0"/>
        <w:ind w:left="0"/>
        <w:jc w:val="both"/>
      </w:pPr>
      <w:r>
        <w:rPr>
          <w:rFonts w:ascii="Times New Roman"/>
          <w:b w:val="false"/>
          <w:i w:val="false"/>
          <w:color w:val="000000"/>
          <w:sz w:val="28"/>
        </w:rPr>
        <w:t>
      2) какова вероятность (возможность) того, что это будет происходить неверно;</w:t>
      </w:r>
    </w:p>
    <w:bookmarkEnd w:id="3687"/>
    <w:bookmarkStart w:name="z3791" w:id="3688"/>
    <w:p>
      <w:pPr>
        <w:spacing w:after="0"/>
        <w:ind w:left="0"/>
        <w:jc w:val="both"/>
      </w:pPr>
      <w:r>
        <w:rPr>
          <w:rFonts w:ascii="Times New Roman"/>
          <w:b w:val="false"/>
          <w:i w:val="false"/>
          <w:color w:val="000000"/>
          <w:sz w:val="28"/>
        </w:rPr>
        <w:t>
      3) каковы последствия (их тяжесть).</w:t>
      </w:r>
    </w:p>
    <w:bookmarkEnd w:id="3688"/>
    <w:bookmarkStart w:name="z3792" w:id="3689"/>
    <w:p>
      <w:pPr>
        <w:spacing w:after="0"/>
        <w:ind w:left="0"/>
        <w:jc w:val="both"/>
      </w:pPr>
      <w:r>
        <w:rPr>
          <w:rFonts w:ascii="Times New Roman"/>
          <w:b w:val="false"/>
          <w:i w:val="false"/>
          <w:color w:val="000000"/>
          <w:sz w:val="28"/>
        </w:rPr>
        <w:t>
      Идентификация риска - систематическое использование информации для установления опасностей относительно аспекта риска или для описания проблемы. Информация включает предшествующие данные, теоретический анализ, мотивированные заключения, а также вопросы заинтересованных сторон.</w:t>
      </w:r>
    </w:p>
    <w:bookmarkEnd w:id="3689"/>
    <w:bookmarkStart w:name="z3793" w:id="3690"/>
    <w:p>
      <w:pPr>
        <w:spacing w:after="0"/>
        <w:ind w:left="0"/>
        <w:jc w:val="both"/>
      </w:pPr>
      <w:r>
        <w:rPr>
          <w:rFonts w:ascii="Times New Roman"/>
          <w:b w:val="false"/>
          <w:i w:val="false"/>
          <w:color w:val="000000"/>
          <w:sz w:val="28"/>
        </w:rPr>
        <w:t>
      Идентификация риска связана с ответом на вопрос: "что может происходить неверно?" и с установлением возможных последствий. Это дает основу для последующих этапов процесса управления рисками для качества.</w:t>
      </w:r>
    </w:p>
    <w:bookmarkEnd w:id="3690"/>
    <w:bookmarkStart w:name="z3794" w:id="3691"/>
    <w:p>
      <w:pPr>
        <w:spacing w:after="0"/>
        <w:ind w:left="0"/>
        <w:jc w:val="both"/>
      </w:pPr>
      <w:r>
        <w:rPr>
          <w:rFonts w:ascii="Times New Roman"/>
          <w:b w:val="false"/>
          <w:i w:val="false"/>
          <w:color w:val="000000"/>
          <w:sz w:val="28"/>
        </w:rPr>
        <w:t>
      Анализ риска - оценка риска, связанная с идентификацией опасностей. Это процесс установления качественной и количественной связи между вероятностью происшествия и тяжестью вреда. Для некоторых инструментов управления рисками возможность определить опасность (способность к выявлению) также является фактором оценки риска.</w:t>
      </w:r>
    </w:p>
    <w:bookmarkEnd w:id="3691"/>
    <w:bookmarkStart w:name="z3795" w:id="3692"/>
    <w:p>
      <w:pPr>
        <w:spacing w:after="0"/>
        <w:ind w:left="0"/>
        <w:jc w:val="both"/>
      </w:pPr>
      <w:r>
        <w:rPr>
          <w:rFonts w:ascii="Times New Roman"/>
          <w:b w:val="false"/>
          <w:i w:val="false"/>
          <w:color w:val="000000"/>
          <w:sz w:val="28"/>
        </w:rPr>
        <w:t>
      Оценка риска - сравнение идентифицированного и проанализированного риска с установленными критериями приемлемости риска. При оценке риска рассматривают обоснованность доказательств по всем 3 основным вопросам.</w:t>
      </w:r>
    </w:p>
    <w:bookmarkEnd w:id="3692"/>
    <w:bookmarkStart w:name="z3796" w:id="3693"/>
    <w:p>
      <w:pPr>
        <w:spacing w:after="0"/>
        <w:ind w:left="0"/>
        <w:jc w:val="both"/>
      </w:pPr>
      <w:r>
        <w:rPr>
          <w:rFonts w:ascii="Times New Roman"/>
          <w:b w:val="false"/>
          <w:i w:val="false"/>
          <w:color w:val="000000"/>
          <w:sz w:val="28"/>
        </w:rPr>
        <w:t>
      При общей оценке рисков важна обоснованность набора данных, поскольку это определяет качество результата. Выявление допущений и возможных причин неопределенности будет повышать правильность результата и (или) поможет определить ограничения. Неопределенность является следствием неполных знаний о процессе, а также его ожидаемой или неожидаемой вариабельности. Обычными причинами неопределенности является недостаток знаний в фармацевтической области и недостаточное понимание процесса, причины вреда (например, неправильные режимы процесса, причины вариабельности), а также недостаточная возможность выявления проблем.</w:t>
      </w:r>
    </w:p>
    <w:bookmarkEnd w:id="3693"/>
    <w:bookmarkStart w:name="z3797" w:id="3694"/>
    <w:p>
      <w:pPr>
        <w:spacing w:after="0"/>
        <w:ind w:left="0"/>
        <w:jc w:val="both"/>
      </w:pPr>
      <w:r>
        <w:rPr>
          <w:rFonts w:ascii="Times New Roman"/>
          <w:b w:val="false"/>
          <w:i w:val="false"/>
          <w:color w:val="000000"/>
          <w:sz w:val="28"/>
        </w:rPr>
        <w:t>
      Результатом общей оценки рисков является либо количественная оценка рисков, либо качественное описание диапазона рисков. Если риски выражены количественно, используют числовое выражение вероятности. Возможна также выражение риска с использованием качественных признаков, таких как "высокий", "средний" или "низкий", которые определяют настолько подробно, насколько это возможно. Иногда используют "шкалу рисков" для дальнейшего определения признаков при ранжировании рисков. При выполнении количественной общей оценке рисков предусматривается вероятность специфического последствия, представленного как совокупность обстоятельств, способствующих возникновению риска. Таким образом, количественная оценка рисков применяется в отношении одного конкретного последствия, которое произошло в это время. Для некоторых инструментов управления рисками возможно также использование относительной меры риска в комбинации с множественными уровнями тяжести и вероятности для общей оценки относительного риска. На промежуточных этапах процесса установления шкалы можно применять количественную оценку рисков.</w:t>
      </w:r>
    </w:p>
    <w:bookmarkEnd w:id="3694"/>
    <w:bookmarkStart w:name="z3798" w:id="3695"/>
    <w:p>
      <w:pPr>
        <w:spacing w:after="0"/>
        <w:ind w:left="0"/>
        <w:jc w:val="left"/>
      </w:pPr>
      <w:r>
        <w:rPr>
          <w:rFonts w:ascii="Times New Roman"/>
          <w:b/>
          <w:i w:val="false"/>
          <w:color w:val="000000"/>
        </w:rPr>
        <w:t xml:space="preserve"> Параграф 7. Контроль рисков</w:t>
      </w:r>
    </w:p>
    <w:bookmarkEnd w:id="3695"/>
    <w:bookmarkStart w:name="z3799" w:id="3696"/>
    <w:p>
      <w:pPr>
        <w:spacing w:after="0"/>
        <w:ind w:left="0"/>
        <w:jc w:val="both"/>
      </w:pPr>
      <w:r>
        <w:rPr>
          <w:rFonts w:ascii="Times New Roman"/>
          <w:b w:val="false"/>
          <w:i w:val="false"/>
          <w:color w:val="000000"/>
          <w:sz w:val="28"/>
        </w:rPr>
        <w:t>
      687. Контроль рисков предполагает принятие решения по снижению и (или) принятию рисков. Целью контроля рисков является снижение рисков до приемлемого уровня. Количество приложенных для контроля рисков усилий пропорционально важности рисков. Для понимания оптимального уровня рисков лица, ответственные за принятие решения, могут использовать разные процессы, в том числе анализ "Выгода-Затраты".</w:t>
      </w:r>
    </w:p>
    <w:bookmarkEnd w:id="3696"/>
    <w:bookmarkStart w:name="z3800" w:id="3697"/>
    <w:p>
      <w:pPr>
        <w:spacing w:after="0"/>
        <w:ind w:left="0"/>
        <w:jc w:val="both"/>
      </w:pPr>
      <w:r>
        <w:rPr>
          <w:rFonts w:ascii="Times New Roman"/>
          <w:b w:val="false"/>
          <w:i w:val="false"/>
          <w:color w:val="000000"/>
          <w:sz w:val="28"/>
        </w:rPr>
        <w:t>
      Контроль рисков сосредоточен на следующих вопросах:</w:t>
      </w:r>
    </w:p>
    <w:bookmarkEnd w:id="3697"/>
    <w:bookmarkStart w:name="z3801" w:id="3698"/>
    <w:p>
      <w:pPr>
        <w:spacing w:after="0"/>
        <w:ind w:left="0"/>
        <w:jc w:val="both"/>
      </w:pPr>
      <w:r>
        <w:rPr>
          <w:rFonts w:ascii="Times New Roman"/>
          <w:b w:val="false"/>
          <w:i w:val="false"/>
          <w:color w:val="000000"/>
          <w:sz w:val="28"/>
        </w:rPr>
        <w:t>
      превышает ли риск приемлемый уровень;</w:t>
      </w:r>
    </w:p>
    <w:bookmarkEnd w:id="3698"/>
    <w:bookmarkStart w:name="z3802" w:id="3699"/>
    <w:p>
      <w:pPr>
        <w:spacing w:after="0"/>
        <w:ind w:left="0"/>
        <w:jc w:val="both"/>
      </w:pPr>
      <w:r>
        <w:rPr>
          <w:rFonts w:ascii="Times New Roman"/>
          <w:b w:val="false"/>
          <w:i w:val="false"/>
          <w:color w:val="000000"/>
          <w:sz w:val="28"/>
        </w:rPr>
        <w:t>
      что сделано для снижения или устранения риска; каков приемлемый баланс между выгодой, рисками и ресурсами; возникают ли новые риски в результате проведения контроля установленных рисков.</w:t>
      </w:r>
    </w:p>
    <w:bookmarkEnd w:id="3699"/>
    <w:bookmarkStart w:name="z3803" w:id="3700"/>
    <w:p>
      <w:pPr>
        <w:spacing w:after="0"/>
        <w:ind w:left="0"/>
        <w:jc w:val="both"/>
      </w:pPr>
      <w:r>
        <w:rPr>
          <w:rFonts w:ascii="Times New Roman"/>
          <w:b w:val="false"/>
          <w:i w:val="false"/>
          <w:color w:val="000000"/>
          <w:sz w:val="28"/>
        </w:rPr>
        <w:t>
      Снижение рисков сосредоточено на процессах уменьшения или устранения рисков для качества при превышении установленного (приемлемого) уровня риска (см. рис. 1). Снижение рисков включают меры, предпринимаемые для уменьшения тяжести и вероятности вреда. Как часть стратегии контроля рисков могут использоваться процессы, улучшающие способность к выявлению опасности и рисков для качества. Внедрение мероприятий по снижению рисков приводится к внесению новых рисков в систему или к возрастанию значимости других существующих рисков. Таким образом, после внедрения процесса снижения рисков целесообразным пересматривают общую оценку рисков для установления и оценки какого-либо возможного изменения рисков.</w:t>
      </w:r>
    </w:p>
    <w:bookmarkEnd w:id="3700"/>
    <w:bookmarkStart w:name="z3804" w:id="3701"/>
    <w:p>
      <w:pPr>
        <w:spacing w:after="0"/>
        <w:ind w:left="0"/>
        <w:jc w:val="both"/>
      </w:pPr>
      <w:r>
        <w:rPr>
          <w:rFonts w:ascii="Times New Roman"/>
          <w:b w:val="false"/>
          <w:i w:val="false"/>
          <w:color w:val="000000"/>
          <w:sz w:val="28"/>
        </w:rPr>
        <w:t>
      Принятие рисков - решение принять риски. Принятие рисков может быть формальным решением принять окончательные риски или пассивным решением, если окончательные риски не установлены. Относительно некоторых видов вреда даже наилучшие правила управления рисками для качества не в состоянии полностью устранить риски. При таких условиях принимаются решение о том, что используется соответствующая стратегия управления рисками для качества и что риски для качества снижены до установленного (приемлемого) уровня. Такой установленный (приемлемый) уровень будет зависеть от многих параметров и определен в каждом отдельном случае.</w:t>
      </w:r>
    </w:p>
    <w:bookmarkEnd w:id="3701"/>
    <w:bookmarkStart w:name="z3805" w:id="3702"/>
    <w:p>
      <w:pPr>
        <w:spacing w:after="0"/>
        <w:ind w:left="0"/>
        <w:jc w:val="left"/>
      </w:pPr>
      <w:r>
        <w:rPr>
          <w:rFonts w:ascii="Times New Roman"/>
          <w:b/>
          <w:i w:val="false"/>
          <w:color w:val="000000"/>
        </w:rPr>
        <w:t xml:space="preserve"> Параграф 8. Информирование о рисках</w:t>
      </w:r>
    </w:p>
    <w:bookmarkEnd w:id="3702"/>
    <w:bookmarkStart w:name="z3806" w:id="3703"/>
    <w:p>
      <w:pPr>
        <w:spacing w:after="0"/>
        <w:ind w:left="0"/>
        <w:jc w:val="both"/>
      </w:pPr>
      <w:r>
        <w:rPr>
          <w:rFonts w:ascii="Times New Roman"/>
          <w:b w:val="false"/>
          <w:i w:val="false"/>
          <w:color w:val="000000"/>
          <w:sz w:val="28"/>
        </w:rPr>
        <w:t>
      688. Информирование о рисках - передача информации относительно рисков и управления рисками лицам, ответственным за принятие решения, и другим заинтересованным лицам. Стороны могут быть проинформированы на любой стадии процесса управления рисками (см. рис. 1 настоящего документа, обозначено пунктирными стрелками). Следует надлежащим образом информировать о результатах процесса управления рисками для качества и оформлять их документально (см. рис. 1 настоящего документа, обозначено непрерывной стрелкой). Обмен информацией между всеми заинтересованными сторонами (например, между представителями уполномоченных органов и производителями, между представителями производителей и пациентом, между внутренним персоналом производителя, представителями производителей и уполномоченного органа и т. п.). Включенные сведения могут касаться существования, характера, формы, вероятности, тяжести, приемлемости, контроля, рассмотрения, способности к выявлению и других аспектов рисков для качества. Нет необходимости информировать о каждом случае принятия рисков. Информирование о решении в отношении управления рисками для качества между производителями и уполномоченными органами эффективно осуществляются по имеющимся каналам, в соответствии с установленными нормативными правовыми актами и руководствами.</w:t>
      </w:r>
    </w:p>
    <w:bookmarkEnd w:id="3703"/>
    <w:bookmarkStart w:name="z3807" w:id="3704"/>
    <w:p>
      <w:pPr>
        <w:spacing w:after="0"/>
        <w:ind w:left="0"/>
        <w:jc w:val="left"/>
      </w:pPr>
      <w:r>
        <w:rPr>
          <w:rFonts w:ascii="Times New Roman"/>
          <w:b/>
          <w:i w:val="false"/>
          <w:color w:val="000000"/>
        </w:rPr>
        <w:t xml:space="preserve"> Параграф 9. Обзор рисков</w:t>
      </w:r>
    </w:p>
    <w:bookmarkEnd w:id="3704"/>
    <w:bookmarkStart w:name="z3808" w:id="3705"/>
    <w:p>
      <w:pPr>
        <w:spacing w:after="0"/>
        <w:ind w:left="0"/>
        <w:jc w:val="both"/>
      </w:pPr>
      <w:r>
        <w:rPr>
          <w:rFonts w:ascii="Times New Roman"/>
          <w:b w:val="false"/>
          <w:i w:val="false"/>
          <w:color w:val="000000"/>
          <w:sz w:val="28"/>
        </w:rPr>
        <w:t>
      689. Управление рисками постоянно действующей частью процесса управления качеством. Следует ввести механизм обзора или мониторинга событий.</w:t>
      </w:r>
    </w:p>
    <w:bookmarkEnd w:id="3705"/>
    <w:bookmarkStart w:name="z3809" w:id="3706"/>
    <w:p>
      <w:pPr>
        <w:spacing w:after="0"/>
        <w:ind w:left="0"/>
        <w:jc w:val="both"/>
      </w:pPr>
      <w:r>
        <w:rPr>
          <w:rFonts w:ascii="Times New Roman"/>
          <w:b w:val="false"/>
          <w:i w:val="false"/>
          <w:color w:val="000000"/>
          <w:sz w:val="28"/>
        </w:rPr>
        <w:t>
      Результаты процесса управления рисками следует пересматривать учетом новых знаний и опыта. Если процесс управления рисками для качества был начат, его следует продолжать, для того чтобы рассматривать события, которые могут повлиять на предыдущее решение в рамках процесса управления рисками для качества, независимо от того, являются ли эти события запланированными (например, обзор качества продукции, инспекция, аудит, контроль изменений) или незапланированными (например, основная причина при расследовании несоответствия, отзыв). Частота любого обзора основывается на уровне рисков. Обзор рисков включают пересмотр решения о принятии рисков (в пункте 687 данного раздела).</w:t>
      </w:r>
    </w:p>
    <w:bookmarkEnd w:id="3706"/>
    <w:bookmarkStart w:name="z3810" w:id="3707"/>
    <w:p>
      <w:pPr>
        <w:spacing w:after="0"/>
        <w:ind w:left="0"/>
        <w:jc w:val="left"/>
      </w:pPr>
      <w:r>
        <w:rPr>
          <w:rFonts w:ascii="Times New Roman"/>
          <w:b/>
          <w:i w:val="false"/>
          <w:color w:val="000000"/>
        </w:rPr>
        <w:t xml:space="preserve"> Параграф 10. Методология управления рисками</w:t>
      </w:r>
    </w:p>
    <w:bookmarkEnd w:id="3707"/>
    <w:bookmarkStart w:name="z3811" w:id="3708"/>
    <w:p>
      <w:pPr>
        <w:spacing w:after="0"/>
        <w:ind w:left="0"/>
        <w:jc w:val="both"/>
      </w:pPr>
      <w:r>
        <w:rPr>
          <w:rFonts w:ascii="Times New Roman"/>
          <w:b w:val="false"/>
          <w:i w:val="false"/>
          <w:color w:val="000000"/>
          <w:sz w:val="28"/>
        </w:rPr>
        <w:t>
      690. Управление рисками для качества основывается на научном и практическом подходе к принятию решений. Оно предусматривает документально оформленные, понятные и воспроизводимые методы по осуществлению этапов процесса управления рисками для качества на основании имеющихся знаний относительно оценки вероятности, тяжести и иногда способности к выявлению рисков.</w:t>
      </w:r>
    </w:p>
    <w:bookmarkEnd w:id="3708"/>
    <w:bookmarkStart w:name="z3812" w:id="3709"/>
    <w:p>
      <w:pPr>
        <w:spacing w:after="0"/>
        <w:ind w:left="0"/>
        <w:jc w:val="both"/>
      </w:pPr>
      <w:r>
        <w:rPr>
          <w:rFonts w:ascii="Times New Roman"/>
          <w:b w:val="false"/>
          <w:i w:val="false"/>
          <w:color w:val="000000"/>
          <w:sz w:val="28"/>
        </w:rPr>
        <w:t>
      691. Традиционно оценку рисков для качества и управление ими осуществляли с помощью разных неформальных способов (например, эмпирических и (или) внутренних методик), которые базировались, например, на комбинации наблюдений, тенденций и другой информации. Эти подходы обеспечивают полезной информацией, что оказывают помощь в решении таких вопросов, как работа с претензиями, дефекты, отклонения, распределение ресурсов.</w:t>
      </w:r>
    </w:p>
    <w:bookmarkEnd w:id="3709"/>
    <w:bookmarkStart w:name="z3813" w:id="3710"/>
    <w:p>
      <w:pPr>
        <w:spacing w:after="0"/>
        <w:ind w:left="0"/>
        <w:jc w:val="both"/>
      </w:pPr>
      <w:r>
        <w:rPr>
          <w:rFonts w:ascii="Times New Roman"/>
          <w:b w:val="false"/>
          <w:i w:val="false"/>
          <w:color w:val="000000"/>
          <w:sz w:val="28"/>
        </w:rPr>
        <w:t>
      692. Кроме того, представители фармацевтической промышленности и уполномоченных органов могут оценивать риски и управлять ими с помощью признанных инструментов управления рисками и (или) внутренних процедур (например, стандартных операционных процедур). Перечень некоторых инструментов управления рисками (детальную информацию см. в Дополнении № 1 настоящего Стандарта и в разделе 8 настоящей части) включает в себя:</w:t>
      </w:r>
    </w:p>
    <w:bookmarkEnd w:id="3710"/>
    <w:bookmarkStart w:name="z3814" w:id="3711"/>
    <w:p>
      <w:pPr>
        <w:spacing w:after="0"/>
        <w:ind w:left="0"/>
        <w:jc w:val="both"/>
      </w:pPr>
      <w:r>
        <w:rPr>
          <w:rFonts w:ascii="Times New Roman"/>
          <w:b w:val="false"/>
          <w:i w:val="false"/>
          <w:color w:val="000000"/>
          <w:sz w:val="28"/>
        </w:rPr>
        <w:t>
      1) основные вспомогательные методы управления риском (блок-схемы, контрольные карты и тому подобное);</w:t>
      </w:r>
    </w:p>
    <w:bookmarkEnd w:id="3711"/>
    <w:bookmarkStart w:name="z3815" w:id="3712"/>
    <w:p>
      <w:pPr>
        <w:spacing w:after="0"/>
        <w:ind w:left="0"/>
        <w:jc w:val="both"/>
      </w:pPr>
      <w:r>
        <w:rPr>
          <w:rFonts w:ascii="Times New Roman"/>
          <w:b w:val="false"/>
          <w:i w:val="false"/>
          <w:color w:val="000000"/>
          <w:sz w:val="28"/>
        </w:rPr>
        <w:t>
      2) анализ режимов и последствий отказов (Failure Mode Effects Analysis - FMEA);</w:t>
      </w:r>
    </w:p>
    <w:bookmarkEnd w:id="3712"/>
    <w:bookmarkStart w:name="z3816" w:id="3713"/>
    <w:p>
      <w:pPr>
        <w:spacing w:after="0"/>
        <w:ind w:left="0"/>
        <w:jc w:val="both"/>
      </w:pPr>
      <w:r>
        <w:rPr>
          <w:rFonts w:ascii="Times New Roman"/>
          <w:b w:val="false"/>
          <w:i w:val="false"/>
          <w:color w:val="000000"/>
          <w:sz w:val="28"/>
        </w:rPr>
        <w:t>
      3) анализ режимов, последствий и критичности отказов (Failure Mode, Effects and Criticality Analysis - FMECA);</w:t>
      </w:r>
    </w:p>
    <w:bookmarkEnd w:id="3713"/>
    <w:bookmarkStart w:name="z3817" w:id="3714"/>
    <w:p>
      <w:pPr>
        <w:spacing w:after="0"/>
        <w:ind w:left="0"/>
        <w:jc w:val="both"/>
      </w:pPr>
      <w:r>
        <w:rPr>
          <w:rFonts w:ascii="Times New Roman"/>
          <w:b w:val="false"/>
          <w:i w:val="false"/>
          <w:color w:val="000000"/>
          <w:sz w:val="28"/>
        </w:rPr>
        <w:t>
      4) анализ древа ошибок (Fault Tree Analysis - FTA);</w:t>
      </w:r>
    </w:p>
    <w:bookmarkEnd w:id="3714"/>
    <w:bookmarkStart w:name="z3818" w:id="3715"/>
    <w:p>
      <w:pPr>
        <w:spacing w:after="0"/>
        <w:ind w:left="0"/>
        <w:jc w:val="both"/>
      </w:pPr>
      <w:r>
        <w:rPr>
          <w:rFonts w:ascii="Times New Roman"/>
          <w:b w:val="false"/>
          <w:i w:val="false"/>
          <w:color w:val="000000"/>
          <w:sz w:val="28"/>
        </w:rPr>
        <w:t>
      5) анализ опасностей и критические контрольные точки (Hazard Analysis and Critical Control Points - HACCP);</w:t>
      </w:r>
    </w:p>
    <w:bookmarkEnd w:id="3715"/>
    <w:bookmarkStart w:name="z3819" w:id="3716"/>
    <w:p>
      <w:pPr>
        <w:spacing w:after="0"/>
        <w:ind w:left="0"/>
        <w:jc w:val="both"/>
      </w:pPr>
      <w:r>
        <w:rPr>
          <w:rFonts w:ascii="Times New Roman"/>
          <w:b w:val="false"/>
          <w:i w:val="false"/>
          <w:color w:val="000000"/>
          <w:sz w:val="28"/>
        </w:rPr>
        <w:t>
      6) анализ опасности и работоспособности (Hazard Operability Analysis - HAZOP);</w:t>
      </w:r>
    </w:p>
    <w:bookmarkEnd w:id="3716"/>
    <w:bookmarkStart w:name="z3820" w:id="3717"/>
    <w:p>
      <w:pPr>
        <w:spacing w:after="0"/>
        <w:ind w:left="0"/>
        <w:jc w:val="both"/>
      </w:pPr>
      <w:r>
        <w:rPr>
          <w:rFonts w:ascii="Times New Roman"/>
          <w:b w:val="false"/>
          <w:i w:val="false"/>
          <w:color w:val="000000"/>
          <w:sz w:val="28"/>
        </w:rPr>
        <w:t>
      7) предварительный анализ опасности (Preliminary Hazard Analysis - PHA);</w:t>
      </w:r>
    </w:p>
    <w:bookmarkEnd w:id="3717"/>
    <w:bookmarkStart w:name="z3821" w:id="3718"/>
    <w:p>
      <w:pPr>
        <w:spacing w:after="0"/>
        <w:ind w:left="0"/>
        <w:jc w:val="both"/>
      </w:pPr>
      <w:r>
        <w:rPr>
          <w:rFonts w:ascii="Times New Roman"/>
          <w:b w:val="false"/>
          <w:i w:val="false"/>
          <w:color w:val="000000"/>
          <w:sz w:val="28"/>
        </w:rPr>
        <w:t>
      8) ранжирование и фильтрация рисков; соответствующие статистические методы.</w:t>
      </w:r>
    </w:p>
    <w:bookmarkEnd w:id="3718"/>
    <w:bookmarkStart w:name="z3822" w:id="3719"/>
    <w:p>
      <w:pPr>
        <w:spacing w:after="0"/>
        <w:ind w:left="0"/>
        <w:jc w:val="left"/>
      </w:pPr>
      <w:r>
        <w:rPr>
          <w:rFonts w:ascii="Times New Roman"/>
          <w:b/>
          <w:i w:val="false"/>
          <w:color w:val="000000"/>
        </w:rPr>
        <w:t xml:space="preserve"> Параграф 11. Внедрение управления рисками для качества в промышленность и надзорную деятельность</w:t>
      </w:r>
    </w:p>
    <w:bookmarkEnd w:id="3719"/>
    <w:bookmarkStart w:name="z3823" w:id="3720"/>
    <w:p>
      <w:pPr>
        <w:spacing w:after="0"/>
        <w:ind w:left="0"/>
        <w:jc w:val="both"/>
      </w:pPr>
      <w:r>
        <w:rPr>
          <w:rFonts w:ascii="Times New Roman"/>
          <w:b w:val="false"/>
          <w:i w:val="false"/>
          <w:color w:val="000000"/>
          <w:sz w:val="28"/>
        </w:rPr>
        <w:t>
      693. Управление рисками для качества является процессом, способствующим принятию научно обоснованных и практических решений при его интеграции в системы качества (см. дополнение 2 к настоящему Стандарту). Как указано выше, надлежащее применение управления рисками для качества не устраняет обязанности представителей промышленности соблюдать требования, установленные уполномоченными органами. Однако эффективное управление рисками для качества способствуют принятию лучших и более обоснованных решений, что предоставит представителям уполномоченных органов большую гарантию способности предприятия управлять потенциальными рисками, а также повлияют на масштаб уровень непосредственного контроля со стороны уполномоченного органа. Кроме того, управление рисками для качества способствуют лучшему использованию ресурсов всеми сторонами.</w:t>
      </w:r>
    </w:p>
    <w:bookmarkEnd w:id="3720"/>
    <w:bookmarkStart w:name="z3824" w:id="3721"/>
    <w:p>
      <w:pPr>
        <w:spacing w:after="0"/>
        <w:ind w:left="0"/>
        <w:jc w:val="both"/>
      </w:pPr>
      <w:r>
        <w:rPr>
          <w:rFonts w:ascii="Times New Roman"/>
          <w:b w:val="false"/>
          <w:i w:val="false"/>
          <w:color w:val="000000"/>
          <w:sz w:val="28"/>
        </w:rPr>
        <w:t>
      694. Обучение процессам управления рисками для качества как работников промышленности, так и представителей уполномоченных органов обеспечивает лучшее понимание процессов принятия решений создает доверие к результатам управления рисками для качества.</w:t>
      </w:r>
    </w:p>
    <w:bookmarkEnd w:id="3721"/>
    <w:bookmarkStart w:name="z3825" w:id="3722"/>
    <w:p>
      <w:pPr>
        <w:spacing w:after="0"/>
        <w:ind w:left="0"/>
        <w:jc w:val="both"/>
      </w:pPr>
      <w:r>
        <w:rPr>
          <w:rFonts w:ascii="Times New Roman"/>
          <w:b w:val="false"/>
          <w:i w:val="false"/>
          <w:color w:val="000000"/>
          <w:sz w:val="28"/>
        </w:rPr>
        <w:t>
      695. Управление рисками для качества следует внедрять в существующую деятельность и должным образом оформлять документально. В дополнении № 2 к настоящему Стандарту представлены примеры ситуаций, когда применение процесса управления рисками для качества обеспечивают информацией, которая использована в различной деятельности в фармацевтической сфере. Эти примеры приведены с целью иллюстрации, не могут рассматриваться как окончательный и исчерпывающий перечень и не предназначены для установления каких-либо новых требований в дополнение к требованиям, установленным законодательством.</w:t>
      </w:r>
    </w:p>
    <w:bookmarkEnd w:id="3722"/>
    <w:bookmarkStart w:name="z3826" w:id="3723"/>
    <w:p>
      <w:pPr>
        <w:spacing w:after="0"/>
        <w:ind w:left="0"/>
        <w:jc w:val="both"/>
      </w:pPr>
      <w:r>
        <w:rPr>
          <w:rFonts w:ascii="Times New Roman"/>
          <w:b w:val="false"/>
          <w:i w:val="false"/>
          <w:color w:val="000000"/>
          <w:sz w:val="28"/>
        </w:rPr>
        <w:t>
      Примеры производственной деятельности и деятельности уполномоченных органов (см. Дополнение 2 Стандарта):</w:t>
      </w:r>
    </w:p>
    <w:bookmarkEnd w:id="3723"/>
    <w:bookmarkStart w:name="z3827" w:id="3724"/>
    <w:p>
      <w:pPr>
        <w:spacing w:after="0"/>
        <w:ind w:left="0"/>
        <w:jc w:val="both"/>
      </w:pPr>
      <w:r>
        <w:rPr>
          <w:rFonts w:ascii="Times New Roman"/>
          <w:b w:val="false"/>
          <w:i w:val="false"/>
          <w:color w:val="000000"/>
          <w:sz w:val="28"/>
        </w:rPr>
        <w:t>
      управление качеством.</w:t>
      </w:r>
    </w:p>
    <w:bookmarkEnd w:id="3724"/>
    <w:bookmarkStart w:name="z3828" w:id="3725"/>
    <w:p>
      <w:pPr>
        <w:spacing w:after="0"/>
        <w:ind w:left="0"/>
        <w:jc w:val="both"/>
      </w:pPr>
      <w:r>
        <w:rPr>
          <w:rFonts w:ascii="Times New Roman"/>
          <w:b w:val="false"/>
          <w:i w:val="false"/>
          <w:color w:val="000000"/>
          <w:sz w:val="28"/>
        </w:rPr>
        <w:t>
      Примеры производственных операций и деятельности (см. Дополнение 2 Стандарта):</w:t>
      </w:r>
    </w:p>
    <w:bookmarkEnd w:id="3725"/>
    <w:bookmarkStart w:name="z3829" w:id="3726"/>
    <w:p>
      <w:pPr>
        <w:spacing w:after="0"/>
        <w:ind w:left="0"/>
        <w:jc w:val="both"/>
      </w:pPr>
      <w:r>
        <w:rPr>
          <w:rFonts w:ascii="Times New Roman"/>
          <w:b w:val="false"/>
          <w:i w:val="false"/>
          <w:color w:val="000000"/>
          <w:sz w:val="28"/>
        </w:rPr>
        <w:t>
      1) разработка;</w:t>
      </w:r>
    </w:p>
    <w:bookmarkEnd w:id="3726"/>
    <w:bookmarkStart w:name="z3830" w:id="3727"/>
    <w:p>
      <w:pPr>
        <w:spacing w:after="0"/>
        <w:ind w:left="0"/>
        <w:jc w:val="both"/>
      </w:pPr>
      <w:r>
        <w:rPr>
          <w:rFonts w:ascii="Times New Roman"/>
          <w:b w:val="false"/>
          <w:i w:val="false"/>
          <w:color w:val="000000"/>
          <w:sz w:val="28"/>
        </w:rPr>
        <w:t>
      2) помещения, оборудование и системы обеспечения;</w:t>
      </w:r>
    </w:p>
    <w:bookmarkEnd w:id="3727"/>
    <w:bookmarkStart w:name="z3831" w:id="3728"/>
    <w:p>
      <w:pPr>
        <w:spacing w:after="0"/>
        <w:ind w:left="0"/>
        <w:jc w:val="both"/>
      </w:pPr>
      <w:r>
        <w:rPr>
          <w:rFonts w:ascii="Times New Roman"/>
          <w:b w:val="false"/>
          <w:i w:val="false"/>
          <w:color w:val="000000"/>
          <w:sz w:val="28"/>
        </w:rPr>
        <w:t>
      3) управление исходным сырьем и материалами;</w:t>
      </w:r>
    </w:p>
    <w:bookmarkEnd w:id="3728"/>
    <w:bookmarkStart w:name="z3832" w:id="3729"/>
    <w:p>
      <w:pPr>
        <w:spacing w:after="0"/>
        <w:ind w:left="0"/>
        <w:jc w:val="both"/>
      </w:pPr>
      <w:r>
        <w:rPr>
          <w:rFonts w:ascii="Times New Roman"/>
          <w:b w:val="false"/>
          <w:i w:val="false"/>
          <w:color w:val="000000"/>
          <w:sz w:val="28"/>
        </w:rPr>
        <w:t>
      4) производство;</w:t>
      </w:r>
    </w:p>
    <w:bookmarkEnd w:id="3729"/>
    <w:bookmarkStart w:name="z3833" w:id="3730"/>
    <w:p>
      <w:pPr>
        <w:spacing w:after="0"/>
        <w:ind w:left="0"/>
        <w:jc w:val="both"/>
      </w:pPr>
      <w:r>
        <w:rPr>
          <w:rFonts w:ascii="Times New Roman"/>
          <w:b w:val="false"/>
          <w:i w:val="false"/>
          <w:color w:val="000000"/>
          <w:sz w:val="28"/>
        </w:rPr>
        <w:t>
      5) лабораторный контроль и испытание стабильности;</w:t>
      </w:r>
    </w:p>
    <w:bookmarkEnd w:id="3730"/>
    <w:bookmarkStart w:name="z3834" w:id="3731"/>
    <w:p>
      <w:pPr>
        <w:spacing w:after="0"/>
        <w:ind w:left="0"/>
        <w:jc w:val="both"/>
      </w:pPr>
      <w:r>
        <w:rPr>
          <w:rFonts w:ascii="Times New Roman"/>
          <w:b w:val="false"/>
          <w:i w:val="false"/>
          <w:color w:val="000000"/>
          <w:sz w:val="28"/>
        </w:rPr>
        <w:t>
      6) упаковка и маркировка;</w:t>
      </w:r>
    </w:p>
    <w:bookmarkEnd w:id="3731"/>
    <w:bookmarkStart w:name="z3835" w:id="3732"/>
    <w:p>
      <w:pPr>
        <w:spacing w:after="0"/>
        <w:ind w:left="0"/>
        <w:jc w:val="both"/>
      </w:pPr>
      <w:r>
        <w:rPr>
          <w:rFonts w:ascii="Times New Roman"/>
          <w:b w:val="false"/>
          <w:i w:val="false"/>
          <w:color w:val="000000"/>
          <w:sz w:val="28"/>
        </w:rPr>
        <w:t>
      7) Примеры деятельности уполномоченных органов (см. Дополнение 2 Стандарта):</w:t>
      </w:r>
    </w:p>
    <w:bookmarkEnd w:id="3732"/>
    <w:bookmarkStart w:name="z3836" w:id="3733"/>
    <w:p>
      <w:pPr>
        <w:spacing w:after="0"/>
        <w:ind w:left="0"/>
        <w:jc w:val="both"/>
      </w:pPr>
      <w:r>
        <w:rPr>
          <w:rFonts w:ascii="Times New Roman"/>
          <w:b w:val="false"/>
          <w:i w:val="false"/>
          <w:color w:val="000000"/>
          <w:sz w:val="28"/>
        </w:rPr>
        <w:t>
      8) инспектирование и оценка деятельности предприятия.</w:t>
      </w:r>
    </w:p>
    <w:bookmarkEnd w:id="3733"/>
    <w:bookmarkStart w:name="z3837" w:id="3734"/>
    <w:p>
      <w:pPr>
        <w:spacing w:after="0"/>
        <w:ind w:left="0"/>
        <w:jc w:val="both"/>
      </w:pPr>
      <w:r>
        <w:rPr>
          <w:rFonts w:ascii="Times New Roman"/>
          <w:b w:val="false"/>
          <w:i w:val="false"/>
          <w:color w:val="000000"/>
          <w:sz w:val="28"/>
        </w:rPr>
        <w:t>
      Поскольку решения уполномоченных органов принимаются отдельно в каждом государстве (регионе), общее понимание и применение принципов управления рисками для качества способствуют взаимному доверию и принятию более согласованных решений представителями разных уполномоченных органов на основании одинаковой информации. Такое сотрудничество важно при разработке политики и руководящих документов, которые вводят практики управления рисками для качества и способствуют их внедрению.</w:t>
      </w:r>
    </w:p>
    <w:bookmarkEnd w:id="3734"/>
    <w:bookmarkStart w:name="z3838" w:id="3735"/>
    <w:p>
      <w:pPr>
        <w:spacing w:after="0"/>
        <w:ind w:left="0"/>
        <w:jc w:val="left"/>
      </w:pPr>
      <w:r>
        <w:rPr>
          <w:rFonts w:ascii="Times New Roman"/>
          <w:b/>
          <w:i w:val="false"/>
          <w:color w:val="000000"/>
        </w:rPr>
        <w:t xml:space="preserve"> Параграф 12. Термины и определения</w:t>
      </w:r>
    </w:p>
    <w:bookmarkEnd w:id="3735"/>
    <w:bookmarkStart w:name="z3839" w:id="3736"/>
    <w:p>
      <w:pPr>
        <w:spacing w:after="0"/>
        <w:ind w:left="0"/>
        <w:jc w:val="both"/>
      </w:pPr>
      <w:r>
        <w:rPr>
          <w:rFonts w:ascii="Times New Roman"/>
          <w:b w:val="false"/>
          <w:i w:val="false"/>
          <w:color w:val="000000"/>
          <w:sz w:val="28"/>
        </w:rPr>
        <w:t>
      696. Для целей настоящей части используются основные понятия, которые означают следующее:</w:t>
      </w:r>
    </w:p>
    <w:bookmarkEnd w:id="3736"/>
    <w:bookmarkStart w:name="z3840" w:id="3737"/>
    <w:p>
      <w:pPr>
        <w:spacing w:after="0"/>
        <w:ind w:left="0"/>
        <w:jc w:val="both"/>
      </w:pPr>
      <w:r>
        <w:rPr>
          <w:rFonts w:ascii="Times New Roman"/>
          <w:b w:val="false"/>
          <w:i w:val="false"/>
          <w:color w:val="000000"/>
          <w:sz w:val="28"/>
        </w:rPr>
        <w:t>
      1) "анализ рисков" (risk analysis) - оценка рисков в связи с установленной опасностью;</w:t>
      </w:r>
    </w:p>
    <w:bookmarkEnd w:id="3737"/>
    <w:bookmarkStart w:name="z3841" w:id="3738"/>
    <w:p>
      <w:pPr>
        <w:spacing w:after="0"/>
        <w:ind w:left="0"/>
        <w:jc w:val="both"/>
      </w:pPr>
      <w:r>
        <w:rPr>
          <w:rFonts w:ascii="Times New Roman"/>
          <w:b w:val="false"/>
          <w:i w:val="false"/>
          <w:color w:val="000000"/>
          <w:sz w:val="28"/>
        </w:rPr>
        <w:t>
      2) "вред" (harm) - ущерб, нанесенный здоровью человека, в том числе вред, являющийся следствием утраты качества продукции или ее пригодности;</w:t>
      </w:r>
    </w:p>
    <w:bookmarkEnd w:id="3738"/>
    <w:bookmarkStart w:name="z3842" w:id="3739"/>
    <w:p>
      <w:pPr>
        <w:spacing w:after="0"/>
        <w:ind w:left="0"/>
        <w:jc w:val="both"/>
      </w:pPr>
      <w:r>
        <w:rPr>
          <w:rFonts w:ascii="Times New Roman"/>
          <w:b w:val="false"/>
          <w:i w:val="false"/>
          <w:color w:val="000000"/>
          <w:sz w:val="28"/>
        </w:rPr>
        <w:t>
      3) "жизненный цикл продукции" (product lifecycle) - все фазы жизни продукции от начальной разработки, пребывания в обороте и до прекращения существования продукции;</w:t>
      </w:r>
    </w:p>
    <w:bookmarkEnd w:id="3739"/>
    <w:bookmarkStart w:name="z3843" w:id="3740"/>
    <w:p>
      <w:pPr>
        <w:spacing w:after="0"/>
        <w:ind w:left="0"/>
        <w:jc w:val="both"/>
      </w:pPr>
      <w:r>
        <w:rPr>
          <w:rFonts w:ascii="Times New Roman"/>
          <w:b w:val="false"/>
          <w:i w:val="false"/>
          <w:color w:val="000000"/>
          <w:sz w:val="28"/>
        </w:rPr>
        <w:t>
      4) "заинтересованная сторона" (stakeholder) - какое-либо лицо, группа лиц или организация, которые могут влиять на риски либо на которые могут влиять риски, либо которые считают себя находящимися под влиянием рисков. Лица, ответственные за принятие решений, также могут быть заинтересованной стороной. В настоящей части первостепенными заинтересованными сторонами являются пациент, медицинский работник, уполномоченный орган и предприятие-производитель;</w:t>
      </w:r>
    </w:p>
    <w:bookmarkEnd w:id="3740"/>
    <w:bookmarkStart w:name="z3844" w:id="3741"/>
    <w:p>
      <w:pPr>
        <w:spacing w:after="0"/>
        <w:ind w:left="0"/>
        <w:jc w:val="both"/>
      </w:pPr>
      <w:r>
        <w:rPr>
          <w:rFonts w:ascii="Times New Roman"/>
          <w:b w:val="false"/>
          <w:i w:val="false"/>
          <w:color w:val="000000"/>
          <w:sz w:val="28"/>
        </w:rPr>
        <w:t>
      5) "идентификация риска" (risk identification) - систематическое использование информации для выявления потенциальных источников вреда (опасности) со ссылкой на рассмотрение риска или описание проблемы;</w:t>
      </w:r>
    </w:p>
    <w:bookmarkEnd w:id="3741"/>
    <w:bookmarkStart w:name="z3845" w:id="3742"/>
    <w:p>
      <w:pPr>
        <w:spacing w:after="0"/>
        <w:ind w:left="0"/>
        <w:jc w:val="both"/>
      </w:pPr>
      <w:r>
        <w:rPr>
          <w:rFonts w:ascii="Times New Roman"/>
          <w:b w:val="false"/>
          <w:i w:val="false"/>
          <w:color w:val="000000"/>
          <w:sz w:val="28"/>
        </w:rPr>
        <w:t>
      6) "информирование о рисках" (risk communication) - передача информации о рисках и управлению рисками между лицом, ответственным за принятие решения, и другими заинтересованными сторонами;</w:t>
      </w:r>
    </w:p>
    <w:bookmarkEnd w:id="3742"/>
    <w:bookmarkStart w:name="z3846" w:id="3743"/>
    <w:p>
      <w:pPr>
        <w:spacing w:after="0"/>
        <w:ind w:left="0"/>
        <w:jc w:val="both"/>
      </w:pPr>
      <w:r>
        <w:rPr>
          <w:rFonts w:ascii="Times New Roman"/>
          <w:b w:val="false"/>
          <w:i w:val="false"/>
          <w:color w:val="000000"/>
          <w:sz w:val="28"/>
        </w:rPr>
        <w:t>
      7) "качество" (quality) - степень соответствия требованиям характеристик продукции, системы или процесса;</w:t>
      </w:r>
    </w:p>
    <w:bookmarkEnd w:id="3743"/>
    <w:bookmarkStart w:name="z3847" w:id="3744"/>
    <w:p>
      <w:pPr>
        <w:spacing w:after="0"/>
        <w:ind w:left="0"/>
        <w:jc w:val="both"/>
      </w:pPr>
      <w:r>
        <w:rPr>
          <w:rFonts w:ascii="Times New Roman"/>
          <w:b w:val="false"/>
          <w:i w:val="false"/>
          <w:color w:val="000000"/>
          <w:sz w:val="28"/>
        </w:rPr>
        <w:t>
      8) "контроль рисков" (risk control) - действия по выполнению решений по управлению рисками;</w:t>
      </w:r>
    </w:p>
    <w:bookmarkEnd w:id="3744"/>
    <w:bookmarkStart w:name="z3848" w:id="3745"/>
    <w:p>
      <w:pPr>
        <w:spacing w:after="0"/>
        <w:ind w:left="0"/>
        <w:jc w:val="both"/>
      </w:pPr>
      <w:r>
        <w:rPr>
          <w:rFonts w:ascii="Times New Roman"/>
          <w:b w:val="false"/>
          <w:i w:val="false"/>
          <w:color w:val="000000"/>
          <w:sz w:val="28"/>
        </w:rPr>
        <w:t>
      9) "лицо(а), ответственное(ые) за принятие решений" (decision maker(s)) - лицо(а), имеющее(ие) соответствующую компетенцию и полномочия для принятия надлежащих и своевременных решений по вопросам управления рисками для качества;</w:t>
      </w:r>
    </w:p>
    <w:bookmarkEnd w:id="3745"/>
    <w:bookmarkStart w:name="z3849" w:id="3746"/>
    <w:p>
      <w:pPr>
        <w:spacing w:after="0"/>
        <w:ind w:left="0"/>
        <w:jc w:val="both"/>
      </w:pPr>
      <w:r>
        <w:rPr>
          <w:rFonts w:ascii="Times New Roman"/>
          <w:b w:val="false"/>
          <w:i w:val="false"/>
          <w:color w:val="000000"/>
          <w:sz w:val="28"/>
        </w:rPr>
        <w:t>
      10) "обзор рисков" (risk review) - обзор или мониторинг итогов (результатов) процесса управления рисками с учетом (при необходимости) новых знаний и опыта о них;</w:t>
      </w:r>
    </w:p>
    <w:bookmarkEnd w:id="3746"/>
    <w:bookmarkStart w:name="z3850" w:id="3747"/>
    <w:p>
      <w:pPr>
        <w:spacing w:after="0"/>
        <w:ind w:left="0"/>
        <w:jc w:val="both"/>
      </w:pPr>
      <w:r>
        <w:rPr>
          <w:rFonts w:ascii="Times New Roman"/>
          <w:b w:val="false"/>
          <w:i w:val="false"/>
          <w:color w:val="000000"/>
          <w:sz w:val="28"/>
        </w:rPr>
        <w:t>
      11) "общая оценка рисков" (risk assessment) - систематический процесс формирования информации для обеспечения принятия решений отношении рисков в рамках процесса управления рисками. Он состоит из идентификации опасности, а также анализа и оценки рисков, связанных с влиянием этой опасности;</w:t>
      </w:r>
    </w:p>
    <w:bookmarkEnd w:id="3747"/>
    <w:bookmarkStart w:name="z3851" w:id="3748"/>
    <w:p>
      <w:pPr>
        <w:spacing w:after="0"/>
        <w:ind w:left="0"/>
        <w:jc w:val="both"/>
      </w:pPr>
      <w:r>
        <w:rPr>
          <w:rFonts w:ascii="Times New Roman"/>
          <w:b w:val="false"/>
          <w:i w:val="false"/>
          <w:color w:val="000000"/>
          <w:sz w:val="28"/>
        </w:rPr>
        <w:t>
      12) "опасность" (hazard) - потенциальный источник вреда;</w:t>
      </w:r>
    </w:p>
    <w:bookmarkEnd w:id="3748"/>
    <w:bookmarkStart w:name="z3852" w:id="3749"/>
    <w:p>
      <w:pPr>
        <w:spacing w:after="0"/>
        <w:ind w:left="0"/>
        <w:jc w:val="both"/>
      </w:pPr>
      <w:r>
        <w:rPr>
          <w:rFonts w:ascii="Times New Roman"/>
          <w:b w:val="false"/>
          <w:i w:val="false"/>
          <w:color w:val="000000"/>
          <w:sz w:val="28"/>
        </w:rPr>
        <w:t>
      13) "оценка риска" (risk evaluation) - сравнение предполагаемого риска с установленными критериями приемлемости риска с использованием количественной и качественной шкалы с целью определения значимости риска;</w:t>
      </w:r>
    </w:p>
    <w:bookmarkEnd w:id="3749"/>
    <w:bookmarkStart w:name="z3853" w:id="3750"/>
    <w:p>
      <w:pPr>
        <w:spacing w:after="0"/>
        <w:ind w:left="0"/>
        <w:jc w:val="both"/>
      </w:pPr>
      <w:r>
        <w:rPr>
          <w:rFonts w:ascii="Times New Roman"/>
          <w:b w:val="false"/>
          <w:i w:val="false"/>
          <w:color w:val="000000"/>
          <w:sz w:val="28"/>
        </w:rPr>
        <w:t xml:space="preserve">
      14) "принятие риска" (risk acceptance) - решение принять риск; </w:t>
      </w:r>
    </w:p>
    <w:bookmarkEnd w:id="3750"/>
    <w:bookmarkStart w:name="z3854" w:id="3751"/>
    <w:p>
      <w:pPr>
        <w:spacing w:after="0"/>
        <w:ind w:left="0"/>
        <w:jc w:val="both"/>
      </w:pPr>
      <w:r>
        <w:rPr>
          <w:rFonts w:ascii="Times New Roman"/>
          <w:b w:val="false"/>
          <w:i w:val="false"/>
          <w:color w:val="000000"/>
          <w:sz w:val="28"/>
        </w:rPr>
        <w:t>
      15) "потребность" (requirements) - явные или предполагаемые потребности или ожидания пациентов или лиц, осуществляющих представление их интересов (например, медицинских работников, работников уполномоченных органов);</w:t>
      </w:r>
    </w:p>
    <w:bookmarkEnd w:id="3751"/>
    <w:bookmarkStart w:name="z3855" w:id="3752"/>
    <w:p>
      <w:pPr>
        <w:spacing w:after="0"/>
        <w:ind w:left="0"/>
        <w:jc w:val="both"/>
      </w:pPr>
      <w:r>
        <w:rPr>
          <w:rFonts w:ascii="Times New Roman"/>
          <w:b w:val="false"/>
          <w:i w:val="false"/>
          <w:color w:val="000000"/>
          <w:sz w:val="28"/>
        </w:rPr>
        <w:t>
      16) "риск" (risk) - комбинация вероятности причинения вреда и тяжести этого вреда;</w:t>
      </w:r>
    </w:p>
    <w:bookmarkEnd w:id="3752"/>
    <w:bookmarkStart w:name="z3856" w:id="3753"/>
    <w:p>
      <w:pPr>
        <w:spacing w:after="0"/>
        <w:ind w:left="0"/>
        <w:jc w:val="both"/>
      </w:pPr>
      <w:r>
        <w:rPr>
          <w:rFonts w:ascii="Times New Roman"/>
          <w:b w:val="false"/>
          <w:i w:val="false"/>
          <w:color w:val="000000"/>
          <w:sz w:val="28"/>
        </w:rPr>
        <w:t>
      17) "система качества" (quality system) - совокупность всех аспектов системы, которая внедряет политику в области качества и обеспечивает достижение целей в отношении качества.</w:t>
      </w:r>
    </w:p>
    <w:bookmarkEnd w:id="3753"/>
    <w:bookmarkStart w:name="z3857" w:id="3754"/>
    <w:p>
      <w:pPr>
        <w:spacing w:after="0"/>
        <w:ind w:left="0"/>
        <w:jc w:val="both"/>
      </w:pPr>
      <w:r>
        <w:rPr>
          <w:rFonts w:ascii="Times New Roman"/>
          <w:b w:val="false"/>
          <w:i w:val="false"/>
          <w:color w:val="000000"/>
          <w:sz w:val="28"/>
        </w:rPr>
        <w:t>
      18) "снижение рисков" (risk reduction) - меры, предпринятые для снижения вероятности причинения вреда и серьезности этого вреда;</w:t>
      </w:r>
    </w:p>
    <w:bookmarkEnd w:id="3754"/>
    <w:bookmarkStart w:name="z3858" w:id="3755"/>
    <w:p>
      <w:pPr>
        <w:spacing w:after="0"/>
        <w:ind w:left="0"/>
        <w:jc w:val="both"/>
      </w:pPr>
      <w:r>
        <w:rPr>
          <w:rFonts w:ascii="Times New Roman"/>
          <w:b w:val="false"/>
          <w:i w:val="false"/>
          <w:color w:val="000000"/>
          <w:sz w:val="28"/>
        </w:rPr>
        <w:t>
      19) "способность к выявлению" (detectability) - возможность выявить или установить наличие, присутствие или факт опасности;</w:t>
      </w:r>
    </w:p>
    <w:bookmarkEnd w:id="3755"/>
    <w:bookmarkStart w:name="z3859" w:id="3756"/>
    <w:p>
      <w:pPr>
        <w:spacing w:after="0"/>
        <w:ind w:left="0"/>
        <w:jc w:val="both"/>
      </w:pPr>
      <w:r>
        <w:rPr>
          <w:rFonts w:ascii="Times New Roman"/>
          <w:b w:val="false"/>
          <w:i w:val="false"/>
          <w:color w:val="000000"/>
          <w:sz w:val="28"/>
        </w:rPr>
        <w:t>
      20) "тенденция" (trend) - статистический термин, означающий направление или степень изменения переменной(ых);</w:t>
      </w:r>
    </w:p>
    <w:bookmarkEnd w:id="3756"/>
    <w:bookmarkStart w:name="z3860" w:id="3757"/>
    <w:p>
      <w:pPr>
        <w:spacing w:after="0"/>
        <w:ind w:left="0"/>
        <w:jc w:val="both"/>
      </w:pPr>
      <w:r>
        <w:rPr>
          <w:rFonts w:ascii="Times New Roman"/>
          <w:b w:val="false"/>
          <w:i w:val="false"/>
          <w:color w:val="000000"/>
          <w:sz w:val="28"/>
        </w:rPr>
        <w:t>
      21) "тяжесть" (severity) - мера возможных последствий опасности; "управление рисками" (risk management) - систематическое применение политики управления качеством, процедур и правил с целью общей оценки, контроля, обзора рисков и соответствующего информирования;</w:t>
      </w:r>
    </w:p>
    <w:bookmarkEnd w:id="3757"/>
    <w:bookmarkStart w:name="z3861" w:id="3758"/>
    <w:p>
      <w:pPr>
        <w:spacing w:after="0"/>
        <w:ind w:left="0"/>
        <w:jc w:val="both"/>
      </w:pPr>
      <w:r>
        <w:rPr>
          <w:rFonts w:ascii="Times New Roman"/>
          <w:b w:val="false"/>
          <w:i w:val="false"/>
          <w:color w:val="000000"/>
          <w:sz w:val="28"/>
        </w:rPr>
        <w:t>
      22) "управление рисками для качества" (quality risk management) - систематический процесс общей оценки, контроля, информирования и обзора рисков для качества лекарственного препарата на протяжении его жизненного цикла.</w:t>
      </w:r>
    </w:p>
    <w:bookmarkEnd w:id="3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1</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bookmarkStart w:name="z3863" w:id="3759"/>
    <w:p>
      <w:pPr>
        <w:spacing w:after="0"/>
        <w:ind w:left="0"/>
        <w:jc w:val="left"/>
      </w:pPr>
      <w:r>
        <w:rPr>
          <w:rFonts w:ascii="Times New Roman"/>
          <w:b/>
          <w:i w:val="false"/>
          <w:color w:val="000000"/>
        </w:rPr>
        <w:t xml:space="preserve"> Параграф 13. Требования методам и инструментам управления рисками для качества</w:t>
      </w:r>
    </w:p>
    <w:bookmarkEnd w:id="3759"/>
    <w:bookmarkStart w:name="z3864" w:id="3760"/>
    <w:p>
      <w:pPr>
        <w:spacing w:after="0"/>
        <w:ind w:left="0"/>
        <w:jc w:val="both"/>
      </w:pPr>
      <w:r>
        <w:rPr>
          <w:rFonts w:ascii="Times New Roman"/>
          <w:b w:val="false"/>
          <w:i w:val="false"/>
          <w:color w:val="000000"/>
          <w:sz w:val="28"/>
        </w:rPr>
        <w:t>
      697. Цель настоящего дополнения - представить общий обзор и ссылки на основные инструменты, которые могут быть использованы при управлении рисками для качества (далее - управление рисками) в промышленности и деятельности уполномоченных органов. Эти ссылки приведены с целью расширения знаний и представления более детальной информации относительно конкретного инструмента управления рисками. Данный перечень не является исчерпывающим. Важно отметить, что ни один инструмент или набор инструментов не применим ко всем случаям, когда используется управление рисками.</w:t>
      </w:r>
    </w:p>
    <w:bookmarkEnd w:id="3760"/>
    <w:bookmarkStart w:name="z3865" w:id="3761"/>
    <w:p>
      <w:pPr>
        <w:spacing w:after="0"/>
        <w:ind w:left="0"/>
        <w:jc w:val="both"/>
      </w:pPr>
      <w:r>
        <w:rPr>
          <w:rFonts w:ascii="Times New Roman"/>
          <w:b w:val="false"/>
          <w:i w:val="false"/>
          <w:color w:val="000000"/>
          <w:sz w:val="28"/>
        </w:rPr>
        <w:t>
      Основные вспомогательные методы управления рисками</w:t>
      </w:r>
    </w:p>
    <w:bookmarkEnd w:id="3761"/>
    <w:bookmarkStart w:name="z3866" w:id="3762"/>
    <w:p>
      <w:pPr>
        <w:spacing w:after="0"/>
        <w:ind w:left="0"/>
        <w:jc w:val="both"/>
      </w:pPr>
      <w:r>
        <w:rPr>
          <w:rFonts w:ascii="Times New Roman"/>
          <w:b w:val="false"/>
          <w:i w:val="false"/>
          <w:color w:val="000000"/>
          <w:sz w:val="28"/>
        </w:rPr>
        <w:t>
      Некоторыми из простых средств, которые широко применяются для структуризации системы управления рисками путем упорядочения данных и для содействия принятию решений, являются:</w:t>
      </w:r>
    </w:p>
    <w:bookmarkEnd w:id="3762"/>
    <w:bookmarkStart w:name="z3867" w:id="3763"/>
    <w:p>
      <w:pPr>
        <w:spacing w:after="0"/>
        <w:ind w:left="0"/>
        <w:jc w:val="both"/>
      </w:pPr>
      <w:r>
        <w:rPr>
          <w:rFonts w:ascii="Times New Roman"/>
          <w:b w:val="false"/>
          <w:i w:val="false"/>
          <w:color w:val="000000"/>
          <w:sz w:val="28"/>
        </w:rPr>
        <w:t>
      1) блок-схемы;</w:t>
      </w:r>
    </w:p>
    <w:bookmarkEnd w:id="3763"/>
    <w:bookmarkStart w:name="z3868" w:id="3764"/>
    <w:p>
      <w:pPr>
        <w:spacing w:after="0"/>
        <w:ind w:left="0"/>
        <w:jc w:val="both"/>
      </w:pPr>
      <w:r>
        <w:rPr>
          <w:rFonts w:ascii="Times New Roman"/>
          <w:b w:val="false"/>
          <w:i w:val="false"/>
          <w:color w:val="000000"/>
          <w:sz w:val="28"/>
        </w:rPr>
        <w:t>
      2) контрольные карты;</w:t>
      </w:r>
    </w:p>
    <w:bookmarkEnd w:id="3764"/>
    <w:bookmarkStart w:name="z3869" w:id="3765"/>
    <w:p>
      <w:pPr>
        <w:spacing w:after="0"/>
        <w:ind w:left="0"/>
        <w:jc w:val="both"/>
      </w:pPr>
      <w:r>
        <w:rPr>
          <w:rFonts w:ascii="Times New Roman"/>
          <w:b w:val="false"/>
          <w:i w:val="false"/>
          <w:color w:val="000000"/>
          <w:sz w:val="28"/>
        </w:rPr>
        <w:t>
      3) картирование процесса;</w:t>
      </w:r>
    </w:p>
    <w:bookmarkEnd w:id="3765"/>
    <w:bookmarkStart w:name="z3870" w:id="3766"/>
    <w:p>
      <w:pPr>
        <w:spacing w:after="0"/>
        <w:ind w:left="0"/>
        <w:jc w:val="both"/>
      </w:pPr>
      <w:r>
        <w:rPr>
          <w:rFonts w:ascii="Times New Roman"/>
          <w:b w:val="false"/>
          <w:i w:val="false"/>
          <w:color w:val="000000"/>
          <w:sz w:val="28"/>
        </w:rPr>
        <w:t>
      4) диаграммы причин и следствий (называемые также диаграммами Исшикавы или диаграммами "рыбий скелет").</w:t>
      </w:r>
    </w:p>
    <w:bookmarkEnd w:id="3766"/>
    <w:bookmarkStart w:name="z3871" w:id="3767"/>
    <w:p>
      <w:pPr>
        <w:spacing w:after="0"/>
        <w:ind w:left="0"/>
        <w:jc w:val="both"/>
      </w:pPr>
      <w:r>
        <w:rPr>
          <w:rFonts w:ascii="Times New Roman"/>
          <w:b w:val="false"/>
          <w:i w:val="false"/>
          <w:color w:val="000000"/>
          <w:sz w:val="28"/>
        </w:rPr>
        <w:t>
      Анализ режимов и последствий отказов (Failure Mode Effects Analysis - FMEA)</w:t>
      </w:r>
    </w:p>
    <w:bookmarkEnd w:id="3767"/>
    <w:bookmarkStart w:name="z3872" w:id="3768"/>
    <w:p>
      <w:pPr>
        <w:spacing w:after="0"/>
        <w:ind w:left="0"/>
        <w:jc w:val="both"/>
      </w:pPr>
      <w:r>
        <w:rPr>
          <w:rFonts w:ascii="Times New Roman"/>
          <w:b w:val="false"/>
          <w:i w:val="false"/>
          <w:color w:val="000000"/>
          <w:sz w:val="28"/>
        </w:rPr>
        <w:t>
      FMEA предназначен для оценивания характера потенциальных отказов при проведении процесса, а также возможных последствий отказов для результата процесса и (или) характеристики продукции. Если виды отказов установлены, следует применять снижение рисков с целью устранения, ограничения, уменьшения или контроля потенциальных отказов. FMEA зависит от специфики продукции и процесса. FMEA методически разделяет анализ сложных процессов на стадии, которыми можно управлять. Это мощный инструмент для обобщенного рассмотрения характера важных отказов, факторов, способствующих таким отказам, и возможных последствий таких отказов.</w:t>
      </w:r>
    </w:p>
    <w:bookmarkEnd w:id="3768"/>
    <w:bookmarkStart w:name="z3873" w:id="3769"/>
    <w:p>
      <w:pPr>
        <w:spacing w:after="0"/>
        <w:ind w:left="0"/>
        <w:jc w:val="both"/>
      </w:pPr>
      <w:r>
        <w:rPr>
          <w:rFonts w:ascii="Times New Roman"/>
          <w:b w:val="false"/>
          <w:i w:val="false"/>
          <w:color w:val="000000"/>
          <w:sz w:val="28"/>
        </w:rPr>
        <w:t>
      FMEA можно применять в отношении оборудования и помещений, для анализа технологической операции и ее влияния на продукцию или процесс. FMEA определяет элементы (операции) системы, делающие ее уязвимой. Результаты FMEA могут быть использованы в качестве основы для планирования, либо последующего анализа, либо составления рекомендаций относительно использования ресурсов.</w:t>
      </w:r>
    </w:p>
    <w:bookmarkEnd w:id="3769"/>
    <w:bookmarkStart w:name="z3874" w:id="3770"/>
    <w:p>
      <w:pPr>
        <w:spacing w:after="0"/>
        <w:ind w:left="0"/>
        <w:jc w:val="both"/>
      </w:pPr>
      <w:r>
        <w:rPr>
          <w:rFonts w:ascii="Times New Roman"/>
          <w:b w:val="false"/>
          <w:i w:val="false"/>
          <w:color w:val="000000"/>
          <w:sz w:val="28"/>
        </w:rPr>
        <w:t>
      Анализ режимов, последствий и критичности отказов (Failure Mode, Effects and Criticality Analysis - FMECA)</w:t>
      </w:r>
    </w:p>
    <w:bookmarkEnd w:id="3770"/>
    <w:bookmarkStart w:name="z3875" w:id="3771"/>
    <w:p>
      <w:pPr>
        <w:spacing w:after="0"/>
        <w:ind w:left="0"/>
        <w:jc w:val="both"/>
      </w:pPr>
      <w:r>
        <w:rPr>
          <w:rFonts w:ascii="Times New Roman"/>
          <w:b w:val="false"/>
          <w:i w:val="false"/>
          <w:color w:val="000000"/>
          <w:sz w:val="28"/>
        </w:rPr>
        <w:t>
      FMEA может быть расширен, в целях включения также исследования степени тяжести последствий, соответствующей вероятности случаев отказов, способности их выявления. Таким образом, FMEA становится анализом характера, последствий и критичности отказов (Failure Mode, Effects and Criticality Analysis - FMECA). Для проведения такого анализа устанавливают спецификации на продукцию и процесс. С помощью FMECA могут быть определены точки, в которых принятых дополнительных предупреждающих мер, чтобы свести риски к минимуму.</w:t>
      </w:r>
    </w:p>
    <w:bookmarkEnd w:id="3771"/>
    <w:bookmarkStart w:name="z3876" w:id="3772"/>
    <w:p>
      <w:pPr>
        <w:spacing w:after="0"/>
        <w:ind w:left="0"/>
        <w:jc w:val="both"/>
      </w:pPr>
      <w:r>
        <w:rPr>
          <w:rFonts w:ascii="Times New Roman"/>
          <w:b w:val="false"/>
          <w:i w:val="false"/>
          <w:color w:val="000000"/>
          <w:sz w:val="28"/>
        </w:rPr>
        <w:t>
      Применять FMECA в фармацевтической промышленности необходимо преимущественно для отказов и рисков, связанных с производственными процессами, однако применение FMECA этим не ограничивается. Результатом FMECA является относительная "шкала" риска для каждого вида отказа, с помощью которой проводят ранжирование режимов на основании относительного риска.</w:t>
      </w:r>
    </w:p>
    <w:bookmarkEnd w:id="3772"/>
    <w:bookmarkStart w:name="z3877" w:id="3773"/>
    <w:p>
      <w:pPr>
        <w:spacing w:after="0"/>
        <w:ind w:left="0"/>
        <w:jc w:val="both"/>
      </w:pPr>
      <w:r>
        <w:rPr>
          <w:rFonts w:ascii="Times New Roman"/>
          <w:b w:val="false"/>
          <w:i w:val="false"/>
          <w:color w:val="000000"/>
          <w:sz w:val="28"/>
        </w:rPr>
        <w:t>
      Анализ древа ошибок (Fault Tree Analysis - FTA)</w:t>
      </w:r>
    </w:p>
    <w:bookmarkEnd w:id="3773"/>
    <w:bookmarkStart w:name="z3878" w:id="3774"/>
    <w:p>
      <w:pPr>
        <w:spacing w:after="0"/>
        <w:ind w:left="0"/>
        <w:jc w:val="both"/>
      </w:pPr>
      <w:r>
        <w:rPr>
          <w:rFonts w:ascii="Times New Roman"/>
          <w:b w:val="false"/>
          <w:i w:val="false"/>
          <w:color w:val="000000"/>
          <w:sz w:val="28"/>
        </w:rPr>
        <w:t>
      Анализ древа ошибок (FTA) - подход, предполагающий наличие несоответствий в функциональных характеристиках продукции или процессе. С помощью этого подхода оцениваются одноразовые ошибки системы (или части системы), а также могут быть объединены множественные факторы отказа путем установления причинных связей. Результаты представляют в виде иллюстрации в форме древа видов отказов. На каждом уровне древа комбинации видов отказов могут быть описаны с помощью логических операций ("и", "или" и др.). FTA зависит от понимания экспертами процесса в части установления причинных факторов.</w:t>
      </w:r>
    </w:p>
    <w:bookmarkEnd w:id="3774"/>
    <w:bookmarkStart w:name="z3879" w:id="3775"/>
    <w:p>
      <w:pPr>
        <w:spacing w:after="0"/>
        <w:ind w:left="0"/>
        <w:jc w:val="both"/>
      </w:pPr>
      <w:r>
        <w:rPr>
          <w:rFonts w:ascii="Times New Roman"/>
          <w:b w:val="false"/>
          <w:i w:val="false"/>
          <w:color w:val="000000"/>
          <w:sz w:val="28"/>
        </w:rPr>
        <w:t>
      698. FTA можно применять для установления пути к основной причине отказа, а также для расследования претензий или отклонений, позволяющего достичь полного понимания их основных причин и гарантировать, что запланированные улучшения позволят решить проблему и не приведут к возникновению других проблем (то есть решение одной проблемы не являются причиной появления другой проблемы). Анализ древа ошибок является эффективным инструментом для оценки степени влияния того, как множественных факторов на данную проблему. Результатом FTA является визуальное выражение видов отказов. FTA полезен как для общего оценивания рисков, так и для разрабатывающихся планов мониторинга.</w:t>
      </w:r>
    </w:p>
    <w:bookmarkEnd w:id="3775"/>
    <w:bookmarkStart w:name="z3880" w:id="3776"/>
    <w:p>
      <w:pPr>
        <w:spacing w:after="0"/>
        <w:ind w:left="0"/>
        <w:jc w:val="both"/>
      </w:pPr>
      <w:r>
        <w:rPr>
          <w:rFonts w:ascii="Times New Roman"/>
          <w:b w:val="false"/>
          <w:i w:val="false"/>
          <w:color w:val="000000"/>
          <w:sz w:val="28"/>
        </w:rPr>
        <w:t>
      Анализ опасностей и критические контрольные точки</w:t>
      </w:r>
    </w:p>
    <w:bookmarkEnd w:id="3776"/>
    <w:bookmarkStart w:name="z3881" w:id="3777"/>
    <w:p>
      <w:pPr>
        <w:spacing w:after="0"/>
        <w:ind w:left="0"/>
        <w:jc w:val="both"/>
      </w:pPr>
      <w:r>
        <w:rPr>
          <w:rFonts w:ascii="Times New Roman"/>
          <w:b w:val="false"/>
          <w:i w:val="false"/>
          <w:color w:val="000000"/>
          <w:sz w:val="28"/>
        </w:rPr>
        <w:t>
      (Hazard Analysis and Critical Control Points - HACCP)</w:t>
      </w:r>
    </w:p>
    <w:bookmarkEnd w:id="3777"/>
    <w:bookmarkStart w:name="z3882" w:id="3778"/>
    <w:p>
      <w:pPr>
        <w:spacing w:after="0"/>
        <w:ind w:left="0"/>
        <w:jc w:val="both"/>
      </w:pPr>
      <w:r>
        <w:rPr>
          <w:rFonts w:ascii="Times New Roman"/>
          <w:b w:val="false"/>
          <w:i w:val="false"/>
          <w:color w:val="000000"/>
          <w:sz w:val="28"/>
        </w:rPr>
        <w:t>
      HACCP является системным, предупреждающим и профилактическим инструментом для обеспечения качества, надежности и безопасности продукции. Это структурированный подход применением технических и научных принципов для анализа, оценки, предупреждения и контроля рисков или неблагоприятных последствий опасности, которые являются результатом планирования, разработки, производства и применения продукции.</w:t>
      </w:r>
    </w:p>
    <w:bookmarkEnd w:id="3778"/>
    <w:bookmarkStart w:name="z3883" w:id="3779"/>
    <w:p>
      <w:pPr>
        <w:spacing w:after="0"/>
        <w:ind w:left="0"/>
        <w:jc w:val="both"/>
      </w:pPr>
      <w:r>
        <w:rPr>
          <w:rFonts w:ascii="Times New Roman"/>
          <w:b w:val="false"/>
          <w:i w:val="false"/>
          <w:color w:val="000000"/>
          <w:sz w:val="28"/>
        </w:rPr>
        <w:t>
      HACCP состоит из следующих 7 этапов:</w:t>
      </w:r>
    </w:p>
    <w:bookmarkEnd w:id="3779"/>
    <w:bookmarkStart w:name="z3884" w:id="3780"/>
    <w:p>
      <w:pPr>
        <w:spacing w:after="0"/>
        <w:ind w:left="0"/>
        <w:jc w:val="both"/>
      </w:pPr>
      <w:r>
        <w:rPr>
          <w:rFonts w:ascii="Times New Roman"/>
          <w:b w:val="false"/>
          <w:i w:val="false"/>
          <w:color w:val="000000"/>
          <w:sz w:val="28"/>
        </w:rPr>
        <w:t>
      5) проведение анализа безопасности и определение предупреждающих мер для каждой стадии процесса;</w:t>
      </w:r>
    </w:p>
    <w:bookmarkEnd w:id="3780"/>
    <w:bookmarkStart w:name="z3885" w:id="3781"/>
    <w:p>
      <w:pPr>
        <w:spacing w:after="0"/>
        <w:ind w:left="0"/>
        <w:jc w:val="both"/>
      </w:pPr>
      <w:r>
        <w:rPr>
          <w:rFonts w:ascii="Times New Roman"/>
          <w:b w:val="false"/>
          <w:i w:val="false"/>
          <w:color w:val="000000"/>
          <w:sz w:val="28"/>
        </w:rPr>
        <w:t>
      6) определение критических контрольных точек; установление критических пределов; установление системы проверки критических контрольных точек;</w:t>
      </w:r>
    </w:p>
    <w:bookmarkEnd w:id="3781"/>
    <w:bookmarkStart w:name="z3886" w:id="3782"/>
    <w:p>
      <w:pPr>
        <w:spacing w:after="0"/>
        <w:ind w:left="0"/>
        <w:jc w:val="both"/>
      </w:pPr>
      <w:r>
        <w:rPr>
          <w:rFonts w:ascii="Times New Roman"/>
          <w:b w:val="false"/>
          <w:i w:val="false"/>
          <w:color w:val="000000"/>
          <w:sz w:val="28"/>
        </w:rPr>
        <w:t>
      7) определение корректирующих мероприятий, которые проведены, если при мониторинге установлено, что критические контрольные точки являются неконтролируемыми;</w:t>
      </w:r>
    </w:p>
    <w:bookmarkEnd w:id="3782"/>
    <w:bookmarkStart w:name="z3887" w:id="3783"/>
    <w:p>
      <w:pPr>
        <w:spacing w:after="0"/>
        <w:ind w:left="0"/>
        <w:jc w:val="both"/>
      </w:pPr>
      <w:r>
        <w:rPr>
          <w:rFonts w:ascii="Times New Roman"/>
          <w:b w:val="false"/>
          <w:i w:val="false"/>
          <w:color w:val="000000"/>
          <w:sz w:val="28"/>
        </w:rPr>
        <w:t>
      8) введение системы подтверждения эффективности работы системы HACCP;</w:t>
      </w:r>
    </w:p>
    <w:bookmarkEnd w:id="3783"/>
    <w:bookmarkStart w:name="z3888" w:id="3784"/>
    <w:p>
      <w:pPr>
        <w:spacing w:after="0"/>
        <w:ind w:left="0"/>
        <w:jc w:val="both"/>
      </w:pPr>
      <w:r>
        <w:rPr>
          <w:rFonts w:ascii="Times New Roman"/>
          <w:b w:val="false"/>
          <w:i w:val="false"/>
          <w:color w:val="000000"/>
          <w:sz w:val="28"/>
        </w:rPr>
        <w:t>
      9) установление системы хранения записей.</w:t>
      </w:r>
    </w:p>
    <w:bookmarkEnd w:id="3784"/>
    <w:bookmarkStart w:name="z3889" w:id="3785"/>
    <w:p>
      <w:pPr>
        <w:spacing w:after="0"/>
        <w:ind w:left="0"/>
        <w:jc w:val="both"/>
      </w:pPr>
      <w:r>
        <w:rPr>
          <w:rFonts w:ascii="Times New Roman"/>
          <w:b w:val="false"/>
          <w:i w:val="false"/>
          <w:color w:val="000000"/>
          <w:sz w:val="28"/>
        </w:rPr>
        <w:t xml:space="preserve">
      HACCP применяется для определения рисков, связанных с физической, химической и биологической опасностью (в том числе с микробной контаминацией), и управления ими. HACCP наиболее полезен, если понимание специфики продукции и процесса является достаточно полным для обеспечения идентификации критических контрольных точек. Результатом HACCP является информация касающаяся управления рисками и облегчающая мониторинг критических точек не только в ходе производственного процесса, но и на других этапах жизненного цикла. Анализ опасностей и работоспособности </w:t>
      </w:r>
    </w:p>
    <w:bookmarkEnd w:id="3785"/>
    <w:bookmarkStart w:name="z3890" w:id="3786"/>
    <w:p>
      <w:pPr>
        <w:spacing w:after="0"/>
        <w:ind w:left="0"/>
        <w:jc w:val="both"/>
      </w:pPr>
      <w:r>
        <w:rPr>
          <w:rFonts w:ascii="Times New Roman"/>
          <w:b w:val="false"/>
          <w:i w:val="false"/>
          <w:color w:val="000000"/>
          <w:sz w:val="28"/>
        </w:rPr>
        <w:t xml:space="preserve">
      (Hazard Operability Analysis - HAZOP) </w:t>
      </w:r>
    </w:p>
    <w:bookmarkEnd w:id="3786"/>
    <w:bookmarkStart w:name="z3891" w:id="3787"/>
    <w:p>
      <w:pPr>
        <w:spacing w:after="0"/>
        <w:ind w:left="0"/>
        <w:jc w:val="both"/>
      </w:pPr>
      <w:r>
        <w:rPr>
          <w:rFonts w:ascii="Times New Roman"/>
          <w:b w:val="false"/>
          <w:i w:val="false"/>
          <w:color w:val="000000"/>
          <w:sz w:val="28"/>
        </w:rPr>
        <w:t>
      HAZOP основан на теории, допускающей, что случаи рисков являются следствием отклонения от запланированных или рабочих параметров, и является системным методом "мозгового штурма" для идентификации опасности с использованием так называемых "направляющих слов". "Направляющие слова" (например, "нет", "больше", "иной, чем", "часть..." и т. д.) применяются в отношении соответствующих параметров (например, контаминация, температура) для того, чтобы помочь установить возможные отклонения от обычных или запланированных параметров. Часто используется группа людей, обладающих знаниями и опытом по разработке процесса или продукта и его применению.</w:t>
      </w:r>
    </w:p>
    <w:bookmarkEnd w:id="3787"/>
    <w:bookmarkStart w:name="z3892" w:id="3788"/>
    <w:p>
      <w:pPr>
        <w:spacing w:after="0"/>
        <w:ind w:left="0"/>
        <w:jc w:val="both"/>
      </w:pPr>
      <w:r>
        <w:rPr>
          <w:rFonts w:ascii="Times New Roman"/>
          <w:b w:val="false"/>
          <w:i w:val="false"/>
          <w:color w:val="000000"/>
          <w:sz w:val="28"/>
        </w:rPr>
        <w:t>
      HAZOP применяется в отношении производственных процессов (в том числе при контрактном производстве), а также в отношении поставщиков, оборудования и помещений для производства активных фармацевтических субстанций и лекарственных препаратов. HAZOP преимущественно применяется также в фармацевтической промышленности для оценки безопасности процесса. Результатом HAZOP (как и HACCP) является перечень критических операций для управления рисками. Это облегчает регулярный мониторинг критических точек в ходе производственного процесса.</w:t>
      </w:r>
    </w:p>
    <w:bookmarkEnd w:id="3788"/>
    <w:bookmarkStart w:name="z3893" w:id="3789"/>
    <w:p>
      <w:pPr>
        <w:spacing w:after="0"/>
        <w:ind w:left="0"/>
        <w:jc w:val="both"/>
      </w:pPr>
      <w:r>
        <w:rPr>
          <w:rFonts w:ascii="Times New Roman"/>
          <w:b w:val="false"/>
          <w:i w:val="false"/>
          <w:color w:val="000000"/>
          <w:sz w:val="28"/>
        </w:rPr>
        <w:t>
      Предварительный анализ опасности</w:t>
      </w:r>
    </w:p>
    <w:bookmarkEnd w:id="3789"/>
    <w:bookmarkStart w:name="z3894" w:id="3790"/>
    <w:p>
      <w:pPr>
        <w:spacing w:after="0"/>
        <w:ind w:left="0"/>
        <w:jc w:val="both"/>
      </w:pPr>
      <w:r>
        <w:rPr>
          <w:rFonts w:ascii="Times New Roman"/>
          <w:b w:val="false"/>
          <w:i w:val="false"/>
          <w:color w:val="000000"/>
          <w:sz w:val="28"/>
        </w:rPr>
        <w:t>
      (Preliminary Hazard Analysis - PHA)</w:t>
      </w:r>
    </w:p>
    <w:bookmarkEnd w:id="3790"/>
    <w:bookmarkStart w:name="z3895" w:id="3791"/>
    <w:p>
      <w:pPr>
        <w:spacing w:after="0"/>
        <w:ind w:left="0"/>
        <w:jc w:val="both"/>
      </w:pPr>
      <w:r>
        <w:rPr>
          <w:rFonts w:ascii="Times New Roman"/>
          <w:b w:val="false"/>
          <w:i w:val="false"/>
          <w:color w:val="000000"/>
          <w:sz w:val="28"/>
        </w:rPr>
        <w:t>
      PHA является инструментом, основанным на использовании предыдущего опыта или знаний об опасности или отказе и направленным на определение других факторов опасности, опасных ситуаций и случаев, которые могут быть причиной вреда, а также на оценку вероятности их возникновения в рамках данной деятельности, данных технических средств, продукции или системы.</w:t>
      </w:r>
    </w:p>
    <w:bookmarkEnd w:id="3791"/>
    <w:bookmarkStart w:name="z3896" w:id="3792"/>
    <w:p>
      <w:pPr>
        <w:spacing w:after="0"/>
        <w:ind w:left="0"/>
        <w:jc w:val="both"/>
      </w:pPr>
      <w:r>
        <w:rPr>
          <w:rFonts w:ascii="Times New Roman"/>
          <w:b w:val="false"/>
          <w:i w:val="false"/>
          <w:color w:val="000000"/>
          <w:sz w:val="28"/>
        </w:rPr>
        <w:t>
      PHA включает в себя:</w:t>
      </w:r>
    </w:p>
    <w:bookmarkEnd w:id="3792"/>
    <w:bookmarkStart w:name="z3897" w:id="3793"/>
    <w:p>
      <w:pPr>
        <w:spacing w:after="0"/>
        <w:ind w:left="0"/>
        <w:jc w:val="both"/>
      </w:pPr>
      <w:r>
        <w:rPr>
          <w:rFonts w:ascii="Times New Roman"/>
          <w:b w:val="false"/>
          <w:i w:val="false"/>
          <w:color w:val="000000"/>
          <w:sz w:val="28"/>
        </w:rPr>
        <w:t>
      идентификацию возможностей того, что произойдет случай, связанный с риском;</w:t>
      </w:r>
    </w:p>
    <w:bookmarkEnd w:id="3793"/>
    <w:bookmarkStart w:name="z3898" w:id="3794"/>
    <w:p>
      <w:pPr>
        <w:spacing w:after="0"/>
        <w:ind w:left="0"/>
        <w:jc w:val="both"/>
      </w:pPr>
      <w:r>
        <w:rPr>
          <w:rFonts w:ascii="Times New Roman"/>
          <w:b w:val="false"/>
          <w:i w:val="false"/>
          <w:color w:val="000000"/>
          <w:sz w:val="28"/>
        </w:rPr>
        <w:t>
      качественную оценку масштаба возможного повреждения или вреда для здоровья, которые являются следствием;</w:t>
      </w:r>
    </w:p>
    <w:bookmarkEnd w:id="3794"/>
    <w:bookmarkStart w:name="z3899" w:id="3795"/>
    <w:p>
      <w:pPr>
        <w:spacing w:after="0"/>
        <w:ind w:left="0"/>
        <w:jc w:val="both"/>
      </w:pPr>
      <w:r>
        <w:rPr>
          <w:rFonts w:ascii="Times New Roman"/>
          <w:b w:val="false"/>
          <w:i w:val="false"/>
          <w:color w:val="000000"/>
          <w:sz w:val="28"/>
        </w:rPr>
        <w:t>
      относительное ранжирование опасности с использованием комбинации тяжести последствий и вероятности случая;</w:t>
      </w:r>
    </w:p>
    <w:bookmarkEnd w:id="3795"/>
    <w:bookmarkStart w:name="z3900" w:id="3796"/>
    <w:p>
      <w:pPr>
        <w:spacing w:after="0"/>
        <w:ind w:left="0"/>
        <w:jc w:val="both"/>
      </w:pPr>
      <w:r>
        <w:rPr>
          <w:rFonts w:ascii="Times New Roman"/>
          <w:b w:val="false"/>
          <w:i w:val="false"/>
          <w:color w:val="000000"/>
          <w:sz w:val="28"/>
        </w:rPr>
        <w:t>
      определение возможных корректирующих действий.</w:t>
      </w:r>
    </w:p>
    <w:bookmarkEnd w:id="3796"/>
    <w:bookmarkStart w:name="z3901" w:id="3797"/>
    <w:p>
      <w:pPr>
        <w:spacing w:after="0"/>
        <w:ind w:left="0"/>
        <w:jc w:val="both"/>
      </w:pPr>
      <w:r>
        <w:rPr>
          <w:rFonts w:ascii="Times New Roman"/>
          <w:b w:val="false"/>
          <w:i w:val="false"/>
          <w:color w:val="000000"/>
          <w:sz w:val="28"/>
        </w:rPr>
        <w:t>
      PHA полезен при анализе систем или при выявлении первостепенной опасности, если обстоятельства не позволяют применять более масштабный способ. PHA может быть применим при планировании производства продукции, процесса и помещений, а также для оценки типов опасности для основной продукции, для видов продукции и для отдельного продукта. PHA наиболее часто применяется на ранних этапах разработки проекта при недостаточном количестве информации о деталях плана или операционных процедурах. Таким образом, PHA часто является предварительным инструментом для последующих исследований. Как правило, опасность, установленная при применении PHA, в последующем оценивается с помощью других инструментов управления рисками, указанных в настоящем разделе.</w:t>
      </w:r>
    </w:p>
    <w:bookmarkEnd w:id="3797"/>
    <w:bookmarkStart w:name="z3902" w:id="3798"/>
    <w:p>
      <w:pPr>
        <w:spacing w:after="0"/>
        <w:ind w:left="0"/>
        <w:jc w:val="both"/>
      </w:pPr>
      <w:r>
        <w:rPr>
          <w:rFonts w:ascii="Times New Roman"/>
          <w:b w:val="false"/>
          <w:i w:val="false"/>
          <w:color w:val="000000"/>
          <w:sz w:val="28"/>
        </w:rPr>
        <w:t>
      Ранжирование и фильтрация рисков</w:t>
      </w:r>
    </w:p>
    <w:bookmarkEnd w:id="3798"/>
    <w:bookmarkStart w:name="z3903" w:id="3799"/>
    <w:p>
      <w:pPr>
        <w:spacing w:after="0"/>
        <w:ind w:left="0"/>
        <w:jc w:val="both"/>
      </w:pPr>
      <w:r>
        <w:rPr>
          <w:rFonts w:ascii="Times New Roman"/>
          <w:b w:val="false"/>
          <w:i w:val="false"/>
          <w:color w:val="000000"/>
          <w:sz w:val="28"/>
        </w:rPr>
        <w:t>
      Ранжирование и фильтрация рисков являются инструментом для сравнения и ранжирования рисков. Ранжирование рисков сложных систем, как правило, требует оценки многочисленных разнообразных количественных и качественных факторов каждого риска. Инструмент заключается в разделении основной связанной с риском проблемы на множество компонентов в целях фиксации факторов, связанных с риском. Эти факторы объединяются в одну относительную шкалу рисков, которую можно применять для ранжирования рисков. Фильтры, которые представляют собой значимые факторы или границы уровней риска, могут быть использованы для градации или ранжирования риска в соответствии с целями управления или политики.</w:t>
      </w:r>
    </w:p>
    <w:bookmarkEnd w:id="3799"/>
    <w:bookmarkStart w:name="z3904" w:id="3800"/>
    <w:p>
      <w:pPr>
        <w:spacing w:after="0"/>
        <w:ind w:left="0"/>
        <w:jc w:val="both"/>
      </w:pPr>
      <w:r>
        <w:rPr>
          <w:rFonts w:ascii="Times New Roman"/>
          <w:b w:val="false"/>
          <w:i w:val="false"/>
          <w:color w:val="000000"/>
          <w:sz w:val="28"/>
        </w:rPr>
        <w:t>
      Ранжирование и фильтрацию рисков можно применять при определении приоритетов проведения инспекции (аудита) производственных участков со стороны уполномоченных органов (организаций) или со стороны представителей предприятий. Методы ранжирования рисков являются полезными, в частности, в ситуациях, когда риски и последствия, которыми управляются, являются разнообразными и представляют трудности для сравнения при применении только одного инструмента. Ранжирование рисков целесообразно, если для управления в рамках одной и той же организационной схемы оценивают как количественно, так и качественно оцениваемые риски.</w:t>
      </w:r>
    </w:p>
    <w:bookmarkEnd w:id="3800"/>
    <w:bookmarkStart w:name="z3905" w:id="3801"/>
    <w:p>
      <w:pPr>
        <w:spacing w:after="0"/>
        <w:ind w:left="0"/>
        <w:jc w:val="both"/>
      </w:pPr>
      <w:r>
        <w:rPr>
          <w:rFonts w:ascii="Times New Roman"/>
          <w:b w:val="false"/>
          <w:i w:val="false"/>
          <w:color w:val="000000"/>
          <w:sz w:val="28"/>
        </w:rPr>
        <w:t>
      Статистические методы</w:t>
      </w:r>
    </w:p>
    <w:bookmarkEnd w:id="3801"/>
    <w:bookmarkStart w:name="z3906" w:id="3802"/>
    <w:p>
      <w:pPr>
        <w:spacing w:after="0"/>
        <w:ind w:left="0"/>
        <w:jc w:val="both"/>
      </w:pPr>
      <w:r>
        <w:rPr>
          <w:rFonts w:ascii="Times New Roman"/>
          <w:b w:val="false"/>
          <w:i w:val="false"/>
          <w:color w:val="000000"/>
          <w:sz w:val="28"/>
        </w:rPr>
        <w:t>
      Статистические методы могут способствовать управлению рисками для качества и облегчать его осуществление. Они обеспечивают возможность эффективной оценки данных, помогают при определении важности набора(ов) данных, а также способствуют принятию наиболее правильных решений. Перечень некоторых основных статистических методов, широко применяемых в фармацевтической промышленности, включает в себя:</w:t>
      </w:r>
    </w:p>
    <w:bookmarkEnd w:id="3802"/>
    <w:bookmarkStart w:name="z3907" w:id="3803"/>
    <w:p>
      <w:pPr>
        <w:spacing w:after="0"/>
        <w:ind w:left="0"/>
        <w:jc w:val="both"/>
      </w:pPr>
      <w:r>
        <w:rPr>
          <w:rFonts w:ascii="Times New Roman"/>
          <w:b w:val="false"/>
          <w:i w:val="false"/>
          <w:color w:val="000000"/>
          <w:sz w:val="28"/>
        </w:rPr>
        <w:t>
      1) контрольные карты, в том числе:</w:t>
      </w:r>
    </w:p>
    <w:bookmarkEnd w:id="3803"/>
    <w:bookmarkStart w:name="z3908" w:id="3804"/>
    <w:p>
      <w:pPr>
        <w:spacing w:after="0"/>
        <w:ind w:left="0"/>
        <w:jc w:val="both"/>
      </w:pPr>
      <w:r>
        <w:rPr>
          <w:rFonts w:ascii="Times New Roman"/>
          <w:b w:val="false"/>
          <w:i w:val="false"/>
          <w:color w:val="000000"/>
          <w:sz w:val="28"/>
        </w:rPr>
        <w:t>
      приемочные контрольные карты;</w:t>
      </w:r>
    </w:p>
    <w:bookmarkEnd w:id="3804"/>
    <w:bookmarkStart w:name="z3909" w:id="3805"/>
    <w:p>
      <w:pPr>
        <w:spacing w:after="0"/>
        <w:ind w:left="0"/>
        <w:jc w:val="both"/>
      </w:pPr>
      <w:r>
        <w:rPr>
          <w:rFonts w:ascii="Times New Roman"/>
          <w:b w:val="false"/>
          <w:i w:val="false"/>
          <w:color w:val="000000"/>
          <w:sz w:val="28"/>
        </w:rPr>
        <w:t>
      контрольные карты для арифметического среднего с предупреждающими границами;</w:t>
      </w:r>
    </w:p>
    <w:bookmarkEnd w:id="3805"/>
    <w:bookmarkStart w:name="z3910" w:id="3806"/>
    <w:p>
      <w:pPr>
        <w:spacing w:after="0"/>
        <w:ind w:left="0"/>
        <w:jc w:val="both"/>
      </w:pPr>
      <w:r>
        <w:rPr>
          <w:rFonts w:ascii="Times New Roman"/>
          <w:b w:val="false"/>
          <w:i w:val="false"/>
          <w:color w:val="000000"/>
          <w:sz w:val="28"/>
        </w:rPr>
        <w:t>
      контрольные карты кумулятивных сумм;</w:t>
      </w:r>
    </w:p>
    <w:bookmarkEnd w:id="3806"/>
    <w:bookmarkStart w:name="z3911" w:id="3807"/>
    <w:p>
      <w:pPr>
        <w:spacing w:after="0"/>
        <w:ind w:left="0"/>
        <w:jc w:val="both"/>
      </w:pPr>
      <w:r>
        <w:rPr>
          <w:rFonts w:ascii="Times New Roman"/>
          <w:b w:val="false"/>
          <w:i w:val="false"/>
          <w:color w:val="000000"/>
          <w:sz w:val="28"/>
        </w:rPr>
        <w:t>
       контрольные карты Шухарта; взвешенное скользящее среднее;</w:t>
      </w:r>
    </w:p>
    <w:bookmarkEnd w:id="3807"/>
    <w:bookmarkStart w:name="z3912" w:id="3808"/>
    <w:p>
      <w:pPr>
        <w:spacing w:after="0"/>
        <w:ind w:left="0"/>
        <w:jc w:val="both"/>
      </w:pPr>
      <w:r>
        <w:rPr>
          <w:rFonts w:ascii="Times New Roman"/>
          <w:b w:val="false"/>
          <w:i w:val="false"/>
          <w:color w:val="000000"/>
          <w:sz w:val="28"/>
        </w:rPr>
        <w:t>
      2) планирование экспериментов (Design of Experiments - DOE);</w:t>
      </w:r>
    </w:p>
    <w:bookmarkEnd w:id="3808"/>
    <w:bookmarkStart w:name="z3913" w:id="3809"/>
    <w:p>
      <w:pPr>
        <w:spacing w:after="0"/>
        <w:ind w:left="0"/>
        <w:jc w:val="both"/>
      </w:pPr>
      <w:r>
        <w:rPr>
          <w:rFonts w:ascii="Times New Roman"/>
          <w:b w:val="false"/>
          <w:i w:val="false"/>
          <w:color w:val="000000"/>
          <w:sz w:val="28"/>
        </w:rPr>
        <w:t>
      3) гистограммы;</w:t>
      </w:r>
    </w:p>
    <w:bookmarkEnd w:id="3809"/>
    <w:bookmarkStart w:name="z3914" w:id="3810"/>
    <w:p>
      <w:pPr>
        <w:spacing w:after="0"/>
        <w:ind w:left="0"/>
        <w:jc w:val="both"/>
      </w:pPr>
      <w:r>
        <w:rPr>
          <w:rFonts w:ascii="Times New Roman"/>
          <w:b w:val="false"/>
          <w:i w:val="false"/>
          <w:color w:val="000000"/>
          <w:sz w:val="28"/>
        </w:rPr>
        <w:t>
      4) диаграммы Парето;</w:t>
      </w:r>
    </w:p>
    <w:bookmarkEnd w:id="3810"/>
    <w:bookmarkStart w:name="z3915" w:id="3811"/>
    <w:p>
      <w:pPr>
        <w:spacing w:after="0"/>
        <w:ind w:left="0"/>
        <w:jc w:val="both"/>
      </w:pPr>
      <w:r>
        <w:rPr>
          <w:rFonts w:ascii="Times New Roman"/>
          <w:b w:val="false"/>
          <w:i w:val="false"/>
          <w:color w:val="000000"/>
          <w:sz w:val="28"/>
        </w:rPr>
        <w:t>
      5) анализ возможностей процесса.</w:t>
      </w:r>
    </w:p>
    <w:bookmarkEnd w:id="3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2</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bookmarkStart w:name="z3917" w:id="3812"/>
    <w:p>
      <w:pPr>
        <w:spacing w:after="0"/>
        <w:ind w:left="0"/>
        <w:jc w:val="left"/>
      </w:pPr>
      <w:r>
        <w:rPr>
          <w:rFonts w:ascii="Times New Roman"/>
          <w:b/>
          <w:i w:val="false"/>
          <w:color w:val="000000"/>
        </w:rPr>
        <w:t xml:space="preserve"> Параграф 14. Потенциальное применение управления рисками для качества</w:t>
      </w:r>
    </w:p>
    <w:bookmarkEnd w:id="3812"/>
    <w:bookmarkStart w:name="z3918" w:id="3813"/>
    <w:p>
      <w:pPr>
        <w:spacing w:after="0"/>
        <w:ind w:left="0"/>
        <w:jc w:val="both"/>
      </w:pPr>
      <w:r>
        <w:rPr>
          <w:rFonts w:ascii="Times New Roman"/>
          <w:b w:val="false"/>
          <w:i w:val="false"/>
          <w:color w:val="000000"/>
          <w:sz w:val="28"/>
        </w:rPr>
        <w:t>
      699. Настоящее Дополнение предназначено для определения возможного применения принципов и инструментов управления рисками для качества как представителями промышленности, так и представителями уполномоченных органов. Однако выбор инструментов управления рисками для качества полностью зависит от специфических факторов и обстоятельств.</w:t>
      </w:r>
    </w:p>
    <w:bookmarkEnd w:id="3813"/>
    <w:bookmarkStart w:name="z3919" w:id="3814"/>
    <w:p>
      <w:pPr>
        <w:spacing w:after="0"/>
        <w:ind w:left="0"/>
        <w:jc w:val="both"/>
      </w:pPr>
      <w:r>
        <w:rPr>
          <w:rFonts w:ascii="Times New Roman"/>
          <w:b w:val="false"/>
          <w:i w:val="false"/>
          <w:color w:val="000000"/>
          <w:sz w:val="28"/>
        </w:rPr>
        <w:t>
      Приведенные примеры представлены в целях иллюстрации и являются только рекомендациями по возможному применению управления рисками для качества.</w:t>
      </w:r>
    </w:p>
    <w:bookmarkEnd w:id="3814"/>
    <w:bookmarkStart w:name="z3920" w:id="3815"/>
    <w:p>
      <w:pPr>
        <w:spacing w:after="0"/>
        <w:ind w:left="0"/>
        <w:jc w:val="both"/>
      </w:pPr>
      <w:r>
        <w:rPr>
          <w:rFonts w:ascii="Times New Roman"/>
          <w:b w:val="false"/>
          <w:i w:val="false"/>
          <w:color w:val="000000"/>
          <w:sz w:val="28"/>
        </w:rPr>
        <w:t>
      Настоящее Дополнение не содержит новых требований в дополнение к требованиям, установленным законодательством.</w:t>
      </w:r>
    </w:p>
    <w:bookmarkEnd w:id="3815"/>
    <w:bookmarkStart w:name="z3921" w:id="3816"/>
    <w:p>
      <w:pPr>
        <w:spacing w:after="0"/>
        <w:ind w:left="0"/>
        <w:jc w:val="both"/>
      </w:pPr>
      <w:r>
        <w:rPr>
          <w:rFonts w:ascii="Times New Roman"/>
          <w:b w:val="false"/>
          <w:i w:val="false"/>
          <w:color w:val="000000"/>
          <w:sz w:val="28"/>
        </w:rPr>
        <w:t>
      Управление рисками для качества как часть интегрированного управления качеством предполагает:</w:t>
      </w:r>
    </w:p>
    <w:bookmarkEnd w:id="3816"/>
    <w:bookmarkStart w:name="z3922" w:id="3817"/>
    <w:p>
      <w:pPr>
        <w:spacing w:after="0"/>
        <w:ind w:left="0"/>
        <w:jc w:val="both"/>
      </w:pPr>
      <w:r>
        <w:rPr>
          <w:rFonts w:ascii="Times New Roman"/>
          <w:b w:val="false"/>
          <w:i w:val="false"/>
          <w:color w:val="000000"/>
          <w:sz w:val="28"/>
        </w:rPr>
        <w:t>
      1) наличие документации:</w:t>
      </w:r>
    </w:p>
    <w:bookmarkEnd w:id="3817"/>
    <w:bookmarkStart w:name="z3923" w:id="3818"/>
    <w:p>
      <w:pPr>
        <w:spacing w:after="0"/>
        <w:ind w:left="0"/>
        <w:jc w:val="both"/>
      </w:pPr>
      <w:r>
        <w:rPr>
          <w:rFonts w:ascii="Times New Roman"/>
          <w:b w:val="false"/>
          <w:i w:val="false"/>
          <w:color w:val="000000"/>
          <w:sz w:val="28"/>
        </w:rPr>
        <w:t>
      2) для обзора действующих версий и соблюдения требований, законодательства;</w:t>
      </w:r>
    </w:p>
    <w:bookmarkEnd w:id="3818"/>
    <w:bookmarkStart w:name="z3924" w:id="3819"/>
    <w:p>
      <w:pPr>
        <w:spacing w:after="0"/>
        <w:ind w:left="0"/>
        <w:jc w:val="both"/>
      </w:pPr>
      <w:r>
        <w:rPr>
          <w:rFonts w:ascii="Times New Roman"/>
          <w:b w:val="false"/>
          <w:i w:val="false"/>
          <w:color w:val="000000"/>
          <w:sz w:val="28"/>
        </w:rPr>
        <w:t>
      3) для определения необходимости разработки и (или) разработка содержания стандартных операционных процедур (СОПов), руководств и т. п.;</w:t>
      </w:r>
    </w:p>
    <w:bookmarkEnd w:id="3819"/>
    <w:bookmarkStart w:name="z3925" w:id="3820"/>
    <w:p>
      <w:pPr>
        <w:spacing w:after="0"/>
        <w:ind w:left="0"/>
        <w:jc w:val="both"/>
      </w:pPr>
      <w:r>
        <w:rPr>
          <w:rFonts w:ascii="Times New Roman"/>
          <w:b w:val="false"/>
          <w:i w:val="false"/>
          <w:color w:val="000000"/>
          <w:sz w:val="28"/>
        </w:rPr>
        <w:t>
      4) организацию и проведение обучения:</w:t>
      </w:r>
    </w:p>
    <w:bookmarkEnd w:id="3820"/>
    <w:bookmarkStart w:name="z3926" w:id="3821"/>
    <w:p>
      <w:pPr>
        <w:spacing w:after="0"/>
        <w:ind w:left="0"/>
        <w:jc w:val="both"/>
      </w:pPr>
      <w:r>
        <w:rPr>
          <w:rFonts w:ascii="Times New Roman"/>
          <w:b w:val="false"/>
          <w:i w:val="false"/>
          <w:color w:val="000000"/>
          <w:sz w:val="28"/>
        </w:rPr>
        <w:t>
      для определения целесообразности начального обучения и (или) постоянных циклов обучения, основывающихся на образовании, опыте трудовых навыках персонала, а также периодической оценки проведенного обучения (например, его эффективности);</w:t>
      </w:r>
    </w:p>
    <w:bookmarkEnd w:id="3821"/>
    <w:bookmarkStart w:name="z3927" w:id="3822"/>
    <w:p>
      <w:pPr>
        <w:spacing w:after="0"/>
        <w:ind w:left="0"/>
        <w:jc w:val="both"/>
      </w:pPr>
      <w:r>
        <w:rPr>
          <w:rFonts w:ascii="Times New Roman"/>
          <w:b w:val="false"/>
          <w:i w:val="false"/>
          <w:color w:val="000000"/>
          <w:sz w:val="28"/>
        </w:rPr>
        <w:t>
      5) для определения знаний, опыта, квалификационных характеристик</w:t>
      </w:r>
    </w:p>
    <w:bookmarkEnd w:id="3822"/>
    <w:bookmarkStart w:name="z3928" w:id="3823"/>
    <w:p>
      <w:pPr>
        <w:spacing w:after="0"/>
        <w:ind w:left="0"/>
        <w:jc w:val="both"/>
      </w:pPr>
      <w:r>
        <w:rPr>
          <w:rFonts w:ascii="Times New Roman"/>
          <w:b w:val="false"/>
          <w:i w:val="false"/>
          <w:color w:val="000000"/>
          <w:sz w:val="28"/>
        </w:rPr>
        <w:t>
      физических возможностей, которые позволяют персоналу выполнять работу правильно и не оказывать отрицательного влияния на качество продукции;</w:t>
      </w:r>
    </w:p>
    <w:bookmarkEnd w:id="3823"/>
    <w:bookmarkStart w:name="z3929" w:id="3824"/>
    <w:p>
      <w:pPr>
        <w:spacing w:after="0"/>
        <w:ind w:left="0"/>
        <w:jc w:val="both"/>
      </w:pPr>
      <w:r>
        <w:rPr>
          <w:rFonts w:ascii="Times New Roman"/>
          <w:b w:val="false"/>
          <w:i w:val="false"/>
          <w:color w:val="000000"/>
          <w:sz w:val="28"/>
        </w:rPr>
        <w:t>
      6) выявление несоответствий качеству:</w:t>
      </w:r>
    </w:p>
    <w:bookmarkEnd w:id="3824"/>
    <w:bookmarkStart w:name="z3930" w:id="3825"/>
    <w:p>
      <w:pPr>
        <w:spacing w:after="0"/>
        <w:ind w:left="0"/>
        <w:jc w:val="both"/>
      </w:pPr>
      <w:r>
        <w:rPr>
          <w:rFonts w:ascii="Times New Roman"/>
          <w:b w:val="false"/>
          <w:i w:val="false"/>
          <w:color w:val="000000"/>
          <w:sz w:val="28"/>
        </w:rPr>
        <w:t xml:space="preserve">
      7) целью обеспечения основы для определения и оценки потенциального влияния на качество продукции возможных несоответствий, претензий, тенденций, расследований, результатов, не соответствующих спецификации и т. д., а также информирования о них; для содействия информированию о риске и определении в сотрудничестве с уполномоченным органом (организацией) соответствующего мероприятия (например, отзыв) в связи со </w:t>
      </w:r>
    </w:p>
    <w:bookmarkEnd w:id="3825"/>
    <w:bookmarkStart w:name="z3931" w:id="3826"/>
    <w:p>
      <w:pPr>
        <w:spacing w:after="0"/>
        <w:ind w:left="0"/>
        <w:jc w:val="both"/>
      </w:pPr>
      <w:r>
        <w:rPr>
          <w:rFonts w:ascii="Times New Roman"/>
          <w:b w:val="false"/>
          <w:i w:val="false"/>
          <w:color w:val="000000"/>
          <w:sz w:val="28"/>
        </w:rPr>
        <w:t xml:space="preserve">
      значительным дефектом; </w:t>
      </w:r>
    </w:p>
    <w:bookmarkEnd w:id="3826"/>
    <w:bookmarkStart w:name="z3932" w:id="3827"/>
    <w:p>
      <w:pPr>
        <w:spacing w:after="0"/>
        <w:ind w:left="0"/>
        <w:jc w:val="both"/>
      </w:pPr>
      <w:r>
        <w:rPr>
          <w:rFonts w:ascii="Times New Roman"/>
          <w:b w:val="false"/>
          <w:i w:val="false"/>
          <w:color w:val="000000"/>
          <w:sz w:val="28"/>
        </w:rPr>
        <w:t>
      8) планирование аудита (инспекции):</w:t>
      </w:r>
    </w:p>
    <w:bookmarkEnd w:id="3827"/>
    <w:bookmarkStart w:name="z3933" w:id="3828"/>
    <w:p>
      <w:pPr>
        <w:spacing w:after="0"/>
        <w:ind w:left="0"/>
        <w:jc w:val="both"/>
      </w:pPr>
      <w:r>
        <w:rPr>
          <w:rFonts w:ascii="Times New Roman"/>
          <w:b w:val="false"/>
          <w:i w:val="false"/>
          <w:color w:val="000000"/>
          <w:sz w:val="28"/>
        </w:rPr>
        <w:t>
      9) частота и область аудитов, как внутренних, так и внешних, устанавливается с учетом таких факторов, как:</w:t>
      </w:r>
    </w:p>
    <w:bookmarkEnd w:id="3828"/>
    <w:bookmarkStart w:name="z3934" w:id="3829"/>
    <w:p>
      <w:pPr>
        <w:spacing w:after="0"/>
        <w:ind w:left="0"/>
        <w:jc w:val="both"/>
      </w:pPr>
      <w:r>
        <w:rPr>
          <w:rFonts w:ascii="Times New Roman"/>
          <w:b w:val="false"/>
          <w:i w:val="false"/>
          <w:color w:val="000000"/>
          <w:sz w:val="28"/>
        </w:rPr>
        <w:t>
      10) требования законодательства;</w:t>
      </w:r>
    </w:p>
    <w:bookmarkEnd w:id="3829"/>
    <w:bookmarkStart w:name="z3935" w:id="3830"/>
    <w:p>
      <w:pPr>
        <w:spacing w:after="0"/>
        <w:ind w:left="0"/>
        <w:jc w:val="both"/>
      </w:pPr>
      <w:r>
        <w:rPr>
          <w:rFonts w:ascii="Times New Roman"/>
          <w:b w:val="false"/>
          <w:i w:val="false"/>
          <w:color w:val="000000"/>
          <w:sz w:val="28"/>
        </w:rPr>
        <w:t>
      11) текущее состояние общего соответствия и совокупность имеющихся сведений о предприятии или производственной площадке;</w:t>
      </w:r>
    </w:p>
    <w:bookmarkEnd w:id="3830"/>
    <w:bookmarkStart w:name="z3936" w:id="3831"/>
    <w:p>
      <w:pPr>
        <w:spacing w:after="0"/>
        <w:ind w:left="0"/>
        <w:jc w:val="both"/>
      </w:pPr>
      <w:r>
        <w:rPr>
          <w:rFonts w:ascii="Times New Roman"/>
          <w:b w:val="false"/>
          <w:i w:val="false"/>
          <w:color w:val="000000"/>
          <w:sz w:val="28"/>
        </w:rPr>
        <w:t>
      12) надежность деятельности организации в плане управления рисками для качества;</w:t>
      </w:r>
    </w:p>
    <w:bookmarkEnd w:id="3831"/>
    <w:bookmarkStart w:name="z3937" w:id="3832"/>
    <w:p>
      <w:pPr>
        <w:spacing w:after="0"/>
        <w:ind w:left="0"/>
        <w:jc w:val="both"/>
      </w:pPr>
      <w:r>
        <w:rPr>
          <w:rFonts w:ascii="Times New Roman"/>
          <w:b w:val="false"/>
          <w:i w:val="false"/>
          <w:color w:val="000000"/>
          <w:sz w:val="28"/>
        </w:rPr>
        <w:t>
      13) сложность участка;</w:t>
      </w:r>
    </w:p>
    <w:bookmarkEnd w:id="3832"/>
    <w:bookmarkStart w:name="z3938" w:id="3833"/>
    <w:p>
      <w:pPr>
        <w:spacing w:after="0"/>
        <w:ind w:left="0"/>
        <w:jc w:val="both"/>
      </w:pPr>
      <w:r>
        <w:rPr>
          <w:rFonts w:ascii="Times New Roman"/>
          <w:b w:val="false"/>
          <w:i w:val="false"/>
          <w:color w:val="000000"/>
          <w:sz w:val="28"/>
        </w:rPr>
        <w:t>
      14) сложность производственного процесса;</w:t>
      </w:r>
    </w:p>
    <w:bookmarkEnd w:id="3833"/>
    <w:bookmarkStart w:name="z3939" w:id="3834"/>
    <w:p>
      <w:pPr>
        <w:spacing w:after="0"/>
        <w:ind w:left="0"/>
        <w:jc w:val="both"/>
      </w:pPr>
      <w:r>
        <w:rPr>
          <w:rFonts w:ascii="Times New Roman"/>
          <w:b w:val="false"/>
          <w:i w:val="false"/>
          <w:color w:val="000000"/>
          <w:sz w:val="28"/>
        </w:rPr>
        <w:t>
      15) сложность продукции и ее терапевтическое значение;</w:t>
      </w:r>
    </w:p>
    <w:bookmarkEnd w:id="3834"/>
    <w:bookmarkStart w:name="z3940" w:id="3835"/>
    <w:p>
      <w:pPr>
        <w:spacing w:after="0"/>
        <w:ind w:left="0"/>
        <w:jc w:val="both"/>
      </w:pPr>
      <w:r>
        <w:rPr>
          <w:rFonts w:ascii="Times New Roman"/>
          <w:b w:val="false"/>
          <w:i w:val="false"/>
          <w:color w:val="000000"/>
          <w:sz w:val="28"/>
        </w:rPr>
        <w:t>
      16) количество и значимость дефектов (например, количество ведущих к отзывам продукции);</w:t>
      </w:r>
    </w:p>
    <w:bookmarkEnd w:id="3835"/>
    <w:bookmarkStart w:name="z3941" w:id="3836"/>
    <w:p>
      <w:pPr>
        <w:spacing w:after="0"/>
        <w:ind w:left="0"/>
        <w:jc w:val="both"/>
      </w:pPr>
      <w:r>
        <w:rPr>
          <w:rFonts w:ascii="Times New Roman"/>
          <w:b w:val="false"/>
          <w:i w:val="false"/>
          <w:color w:val="000000"/>
          <w:sz w:val="28"/>
        </w:rPr>
        <w:t>
      17) результаты предыдущих аудитов (инспекций);</w:t>
      </w:r>
    </w:p>
    <w:bookmarkEnd w:id="3836"/>
    <w:bookmarkStart w:name="z3942" w:id="3837"/>
    <w:p>
      <w:pPr>
        <w:spacing w:after="0"/>
        <w:ind w:left="0"/>
        <w:jc w:val="both"/>
      </w:pPr>
      <w:r>
        <w:rPr>
          <w:rFonts w:ascii="Times New Roman"/>
          <w:b w:val="false"/>
          <w:i w:val="false"/>
          <w:color w:val="000000"/>
          <w:sz w:val="28"/>
        </w:rPr>
        <w:t>
      существенные изменения помещений, оборудования, процессов, ключевого персонала;</w:t>
      </w:r>
    </w:p>
    <w:bookmarkEnd w:id="3837"/>
    <w:bookmarkStart w:name="z3943" w:id="3838"/>
    <w:p>
      <w:pPr>
        <w:spacing w:after="0"/>
        <w:ind w:left="0"/>
        <w:jc w:val="both"/>
      </w:pPr>
      <w:r>
        <w:rPr>
          <w:rFonts w:ascii="Times New Roman"/>
          <w:b w:val="false"/>
          <w:i w:val="false"/>
          <w:color w:val="000000"/>
          <w:sz w:val="28"/>
        </w:rPr>
        <w:t>
      18) опыт производства продукции (например, частота производства, объем и количество серий);</w:t>
      </w:r>
    </w:p>
    <w:bookmarkEnd w:id="3838"/>
    <w:bookmarkStart w:name="z3944" w:id="3839"/>
    <w:p>
      <w:pPr>
        <w:spacing w:after="0"/>
        <w:ind w:left="0"/>
        <w:jc w:val="both"/>
      </w:pPr>
      <w:r>
        <w:rPr>
          <w:rFonts w:ascii="Times New Roman"/>
          <w:b w:val="false"/>
          <w:i w:val="false"/>
          <w:color w:val="000000"/>
          <w:sz w:val="28"/>
        </w:rPr>
        <w:t>
      19) результаты испытаний в аккредитованных испытательных лабораториях;</w:t>
      </w:r>
    </w:p>
    <w:bookmarkEnd w:id="3839"/>
    <w:bookmarkStart w:name="z3945" w:id="3840"/>
    <w:p>
      <w:pPr>
        <w:spacing w:after="0"/>
        <w:ind w:left="0"/>
        <w:jc w:val="both"/>
      </w:pPr>
      <w:r>
        <w:rPr>
          <w:rFonts w:ascii="Times New Roman"/>
          <w:b w:val="false"/>
          <w:i w:val="false"/>
          <w:color w:val="000000"/>
          <w:sz w:val="28"/>
        </w:rPr>
        <w:t>
      20) осуществление периодического обзора:</w:t>
      </w:r>
    </w:p>
    <w:bookmarkEnd w:id="3840"/>
    <w:bookmarkStart w:name="z3946" w:id="3841"/>
    <w:p>
      <w:pPr>
        <w:spacing w:after="0"/>
        <w:ind w:left="0"/>
        <w:jc w:val="both"/>
      </w:pPr>
      <w:r>
        <w:rPr>
          <w:rFonts w:ascii="Times New Roman"/>
          <w:b w:val="false"/>
          <w:i w:val="false"/>
          <w:color w:val="000000"/>
          <w:sz w:val="28"/>
        </w:rPr>
        <w:t>
      21) для выбора, оценки и объяснения данных, которые свидетельствуют о тенденции в рамках обзора качества продукции;</w:t>
      </w:r>
    </w:p>
    <w:bookmarkEnd w:id="3841"/>
    <w:bookmarkStart w:name="z3947" w:id="3842"/>
    <w:p>
      <w:pPr>
        <w:spacing w:after="0"/>
        <w:ind w:left="0"/>
        <w:jc w:val="both"/>
      </w:pPr>
      <w:r>
        <w:rPr>
          <w:rFonts w:ascii="Times New Roman"/>
          <w:b w:val="false"/>
          <w:i w:val="false"/>
          <w:color w:val="000000"/>
          <w:sz w:val="28"/>
        </w:rPr>
        <w:t>
      22) для объяснения данных мониторинга (например, для систематической оценки надлежащего проведения повторной валидации или изменений при отборе проб);</w:t>
      </w:r>
    </w:p>
    <w:bookmarkEnd w:id="3842"/>
    <w:bookmarkStart w:name="z3948" w:id="3843"/>
    <w:p>
      <w:pPr>
        <w:spacing w:after="0"/>
        <w:ind w:left="0"/>
        <w:jc w:val="both"/>
      </w:pPr>
      <w:r>
        <w:rPr>
          <w:rFonts w:ascii="Times New Roman"/>
          <w:b w:val="false"/>
          <w:i w:val="false"/>
          <w:color w:val="000000"/>
          <w:sz w:val="28"/>
        </w:rPr>
        <w:t>
      23) управление изменениями (контроль изменений):</w:t>
      </w:r>
    </w:p>
    <w:bookmarkEnd w:id="3843"/>
    <w:bookmarkStart w:name="z3949" w:id="3844"/>
    <w:p>
      <w:pPr>
        <w:spacing w:after="0"/>
        <w:ind w:left="0"/>
        <w:jc w:val="both"/>
      </w:pPr>
      <w:r>
        <w:rPr>
          <w:rFonts w:ascii="Times New Roman"/>
          <w:b w:val="false"/>
          <w:i w:val="false"/>
          <w:color w:val="000000"/>
          <w:sz w:val="28"/>
        </w:rPr>
        <w:t>
      24) для управления изменениями на основании знаний и информации, полученной во время фармацевтической разработки и производства;</w:t>
      </w:r>
    </w:p>
    <w:bookmarkEnd w:id="3844"/>
    <w:bookmarkStart w:name="z3950" w:id="3845"/>
    <w:p>
      <w:pPr>
        <w:spacing w:after="0"/>
        <w:ind w:left="0"/>
        <w:jc w:val="both"/>
      </w:pPr>
      <w:r>
        <w:rPr>
          <w:rFonts w:ascii="Times New Roman"/>
          <w:b w:val="false"/>
          <w:i w:val="false"/>
          <w:color w:val="000000"/>
          <w:sz w:val="28"/>
        </w:rPr>
        <w:t>
      25) для оценки влияния изменений на соответствие качества готовой продукции требованиям спецификации;</w:t>
      </w:r>
    </w:p>
    <w:bookmarkEnd w:id="3845"/>
    <w:bookmarkStart w:name="z3951" w:id="3846"/>
    <w:p>
      <w:pPr>
        <w:spacing w:after="0"/>
        <w:ind w:left="0"/>
        <w:jc w:val="both"/>
      </w:pPr>
      <w:r>
        <w:rPr>
          <w:rFonts w:ascii="Times New Roman"/>
          <w:b w:val="false"/>
          <w:i w:val="false"/>
          <w:color w:val="000000"/>
          <w:sz w:val="28"/>
        </w:rPr>
        <w:t>
      26) для оценки влияния на качество продукции изменений, внесенных производственные площадки, оборудование, материалы, производственный процесс, или переносов технологии;</w:t>
      </w:r>
    </w:p>
    <w:bookmarkEnd w:id="3846"/>
    <w:bookmarkStart w:name="z3952" w:id="3847"/>
    <w:p>
      <w:pPr>
        <w:spacing w:after="0"/>
        <w:ind w:left="0"/>
        <w:jc w:val="both"/>
      </w:pPr>
      <w:r>
        <w:rPr>
          <w:rFonts w:ascii="Times New Roman"/>
          <w:b w:val="false"/>
          <w:i w:val="false"/>
          <w:color w:val="000000"/>
          <w:sz w:val="28"/>
        </w:rPr>
        <w:t>
      27) для определения мероприятий, которые предшествуют внесению изменения, например, дополнительные испытания, квалификация (повторная квалификация), валидация (повторная валидация) или информирование уполномоченных органов (организаций);</w:t>
      </w:r>
    </w:p>
    <w:bookmarkEnd w:id="3847"/>
    <w:bookmarkStart w:name="z3953" w:id="3848"/>
    <w:p>
      <w:pPr>
        <w:spacing w:after="0"/>
        <w:ind w:left="0"/>
        <w:jc w:val="both"/>
      </w:pPr>
      <w:r>
        <w:rPr>
          <w:rFonts w:ascii="Times New Roman"/>
          <w:b w:val="false"/>
          <w:i w:val="false"/>
          <w:color w:val="000000"/>
          <w:sz w:val="28"/>
        </w:rPr>
        <w:t>
      28) постоянное улучшение системы управления рисками:</w:t>
      </w:r>
    </w:p>
    <w:bookmarkEnd w:id="3848"/>
    <w:bookmarkStart w:name="z3954" w:id="3849"/>
    <w:p>
      <w:pPr>
        <w:spacing w:after="0"/>
        <w:ind w:left="0"/>
        <w:jc w:val="both"/>
      </w:pPr>
      <w:r>
        <w:rPr>
          <w:rFonts w:ascii="Times New Roman"/>
          <w:b w:val="false"/>
          <w:i w:val="false"/>
          <w:color w:val="000000"/>
          <w:sz w:val="28"/>
        </w:rPr>
        <w:t>
      для содействия постоянному улучшению процессов на протяжении жизненного цикла продукции.</w:t>
      </w:r>
    </w:p>
    <w:bookmarkEnd w:id="3849"/>
    <w:bookmarkStart w:name="z3955" w:id="3850"/>
    <w:p>
      <w:pPr>
        <w:spacing w:after="0"/>
        <w:ind w:left="0"/>
        <w:jc w:val="both"/>
      </w:pPr>
      <w:r>
        <w:rPr>
          <w:rFonts w:ascii="Times New Roman"/>
          <w:b w:val="false"/>
          <w:i w:val="false"/>
          <w:color w:val="000000"/>
          <w:sz w:val="28"/>
        </w:rPr>
        <w:t>
      Управление рисками для качества как часть деятельности уполномоченных органов (организаций) предполагает проведение следующих мероприятий:</w:t>
      </w:r>
    </w:p>
    <w:bookmarkEnd w:id="3850"/>
    <w:bookmarkStart w:name="z3956" w:id="3851"/>
    <w:p>
      <w:pPr>
        <w:spacing w:after="0"/>
        <w:ind w:left="0"/>
        <w:jc w:val="both"/>
      </w:pPr>
      <w:r>
        <w:rPr>
          <w:rFonts w:ascii="Times New Roman"/>
          <w:b w:val="false"/>
          <w:i w:val="false"/>
          <w:color w:val="000000"/>
          <w:sz w:val="28"/>
        </w:rPr>
        <w:t>
      инспекция и систематическая оценка деятельности:</w:t>
      </w:r>
    </w:p>
    <w:bookmarkEnd w:id="3851"/>
    <w:bookmarkStart w:name="z3957" w:id="3852"/>
    <w:p>
      <w:pPr>
        <w:spacing w:after="0"/>
        <w:ind w:left="0"/>
        <w:jc w:val="both"/>
      </w:pPr>
      <w:r>
        <w:rPr>
          <w:rFonts w:ascii="Times New Roman"/>
          <w:b w:val="false"/>
          <w:i w:val="false"/>
          <w:color w:val="000000"/>
          <w:sz w:val="28"/>
        </w:rPr>
        <w:t>
      29) для содействия рациональному распределению ресурсов, в том числе, например, для планирования инспекций и частоты их проведения, а также для проведения инспекций и определения их объема (см. "Планирование аудита (инспекции)" в пункте 699 настоящего дополнения);</w:t>
      </w:r>
    </w:p>
    <w:bookmarkEnd w:id="3852"/>
    <w:bookmarkStart w:name="z3958" w:id="3853"/>
    <w:p>
      <w:pPr>
        <w:spacing w:after="0"/>
        <w:ind w:left="0"/>
        <w:jc w:val="both"/>
      </w:pPr>
      <w:r>
        <w:rPr>
          <w:rFonts w:ascii="Times New Roman"/>
          <w:b w:val="false"/>
          <w:i w:val="false"/>
          <w:color w:val="000000"/>
          <w:sz w:val="28"/>
        </w:rPr>
        <w:t>
      30) для оценки значимости результатов (например, дефектов, ведущих к отзывам продукции) и данных, полученных при инспектировании;</w:t>
      </w:r>
    </w:p>
    <w:bookmarkEnd w:id="3853"/>
    <w:bookmarkStart w:name="z3959" w:id="3854"/>
    <w:p>
      <w:pPr>
        <w:spacing w:after="0"/>
        <w:ind w:left="0"/>
        <w:jc w:val="both"/>
      </w:pPr>
      <w:r>
        <w:rPr>
          <w:rFonts w:ascii="Times New Roman"/>
          <w:b w:val="false"/>
          <w:i w:val="false"/>
          <w:color w:val="000000"/>
          <w:sz w:val="28"/>
        </w:rPr>
        <w:t>
      31) для определения необходимости и вида предусмотренных законодательством мероприятий по результатам проведения инспекции; для оценки информации, предоставленной представителями предприятий, в том числе относительно фармацевтической разработки;</w:t>
      </w:r>
    </w:p>
    <w:bookmarkEnd w:id="3854"/>
    <w:bookmarkStart w:name="z3960" w:id="3855"/>
    <w:p>
      <w:pPr>
        <w:spacing w:after="0"/>
        <w:ind w:left="0"/>
        <w:jc w:val="both"/>
      </w:pPr>
      <w:r>
        <w:rPr>
          <w:rFonts w:ascii="Times New Roman"/>
          <w:b w:val="false"/>
          <w:i w:val="false"/>
          <w:color w:val="000000"/>
          <w:sz w:val="28"/>
        </w:rPr>
        <w:t>
      32) для оценки влияния предлагаемых отклонений или изменений; для определения рисков, которые следует обсуждать с инспекторами и экспертами для содействия лучшему пониманию того, как риск можно контролировать или как он контролируется (например, выпуск по параметрам, процессно-аналитическая технология (Process Analytical Technology - PAT)).</w:t>
      </w:r>
    </w:p>
    <w:bookmarkEnd w:id="3855"/>
    <w:bookmarkStart w:name="z3961" w:id="3856"/>
    <w:p>
      <w:pPr>
        <w:spacing w:after="0"/>
        <w:ind w:left="0"/>
        <w:jc w:val="both"/>
      </w:pPr>
      <w:r>
        <w:rPr>
          <w:rFonts w:ascii="Times New Roman"/>
          <w:b w:val="false"/>
          <w:i w:val="false"/>
          <w:color w:val="000000"/>
          <w:sz w:val="28"/>
        </w:rPr>
        <w:t>
      Управление рисками для качества как часть разработки предполагает проведение следующих мероприятий:</w:t>
      </w:r>
    </w:p>
    <w:bookmarkEnd w:id="3856"/>
    <w:bookmarkStart w:name="z3962" w:id="3857"/>
    <w:p>
      <w:pPr>
        <w:spacing w:after="0"/>
        <w:ind w:left="0"/>
        <w:jc w:val="both"/>
      </w:pPr>
      <w:r>
        <w:rPr>
          <w:rFonts w:ascii="Times New Roman"/>
          <w:b w:val="false"/>
          <w:i w:val="false"/>
          <w:color w:val="000000"/>
          <w:sz w:val="28"/>
        </w:rPr>
        <w:t>
      33) для планирования качества продукции и технологического процесса, в целях получения продукции с функциональными характеристиками, соответствующими ее назначению;</w:t>
      </w:r>
    </w:p>
    <w:bookmarkEnd w:id="3857"/>
    <w:bookmarkStart w:name="z3963" w:id="3858"/>
    <w:p>
      <w:pPr>
        <w:spacing w:after="0"/>
        <w:ind w:left="0"/>
        <w:jc w:val="both"/>
      </w:pPr>
      <w:r>
        <w:rPr>
          <w:rFonts w:ascii="Times New Roman"/>
          <w:b w:val="false"/>
          <w:i w:val="false"/>
          <w:color w:val="000000"/>
          <w:sz w:val="28"/>
        </w:rPr>
        <w:t>
      34) для расширения знаний о функциональных характеристиках продукции в зависимости от изменения характеристик сырья в широком диапазоне (например, распределение частиц по размерам, содержание влаги, реологические свойства), изменение технологических операций и параметров процесса;</w:t>
      </w:r>
    </w:p>
    <w:bookmarkEnd w:id="3858"/>
    <w:bookmarkStart w:name="z3964" w:id="3859"/>
    <w:p>
      <w:pPr>
        <w:spacing w:after="0"/>
        <w:ind w:left="0"/>
        <w:jc w:val="both"/>
      </w:pPr>
      <w:r>
        <w:rPr>
          <w:rFonts w:ascii="Times New Roman"/>
          <w:b w:val="false"/>
          <w:i w:val="false"/>
          <w:color w:val="000000"/>
          <w:sz w:val="28"/>
        </w:rPr>
        <w:t>
      35) для оценки критических характеристик исходного сырья, растворителей, исходного сырья для активных фармацевтических субстанций (АФС), самих АФС, вспомогательных веществ или упаковочных материалов;</w:t>
      </w:r>
    </w:p>
    <w:bookmarkEnd w:id="3859"/>
    <w:bookmarkStart w:name="z3965" w:id="3860"/>
    <w:p>
      <w:pPr>
        <w:spacing w:after="0"/>
        <w:ind w:left="0"/>
        <w:jc w:val="both"/>
      </w:pPr>
      <w:r>
        <w:rPr>
          <w:rFonts w:ascii="Times New Roman"/>
          <w:b w:val="false"/>
          <w:i w:val="false"/>
          <w:color w:val="000000"/>
          <w:sz w:val="28"/>
        </w:rPr>
        <w:t>
      36) для установления соответствующих спецификаций, определения критических параметров процесса и организации производственного контроля (например, на основании информации о клинически значимых показателях качества, полученной на этапе фармацевтической разработки, а также о возможности контролировать их в ходе процесса);</w:t>
      </w:r>
    </w:p>
    <w:bookmarkEnd w:id="3860"/>
    <w:bookmarkStart w:name="z3966" w:id="3861"/>
    <w:p>
      <w:pPr>
        <w:spacing w:after="0"/>
        <w:ind w:left="0"/>
        <w:jc w:val="both"/>
      </w:pPr>
      <w:r>
        <w:rPr>
          <w:rFonts w:ascii="Times New Roman"/>
          <w:b w:val="false"/>
          <w:i w:val="false"/>
          <w:color w:val="000000"/>
          <w:sz w:val="28"/>
        </w:rPr>
        <w:t>
      37) для уменьшения непостоянства показателей качества (снижение количества дефектов продукции, исходного сырья и материалов, отклонений при производстве);</w:t>
      </w:r>
    </w:p>
    <w:bookmarkEnd w:id="3861"/>
    <w:bookmarkStart w:name="z3967" w:id="3862"/>
    <w:p>
      <w:pPr>
        <w:spacing w:after="0"/>
        <w:ind w:left="0"/>
        <w:jc w:val="both"/>
      </w:pPr>
      <w:r>
        <w:rPr>
          <w:rFonts w:ascii="Times New Roman"/>
          <w:b w:val="false"/>
          <w:i w:val="false"/>
          <w:color w:val="000000"/>
          <w:sz w:val="28"/>
        </w:rPr>
        <w:t>
      38) для оценки необходимости проведения дополнительных исследований (например, биоэквивалентность, стабильность) при масштабировании и переносе технологии;</w:t>
      </w:r>
    </w:p>
    <w:bookmarkEnd w:id="3862"/>
    <w:bookmarkStart w:name="z3968" w:id="3863"/>
    <w:p>
      <w:pPr>
        <w:spacing w:after="0"/>
        <w:ind w:left="0"/>
        <w:jc w:val="both"/>
      </w:pPr>
      <w:r>
        <w:rPr>
          <w:rFonts w:ascii="Times New Roman"/>
          <w:b w:val="false"/>
          <w:i w:val="false"/>
          <w:color w:val="000000"/>
          <w:sz w:val="28"/>
        </w:rPr>
        <w:t>
      39) для использования концепции "пространства проектных параметров".</w:t>
      </w:r>
    </w:p>
    <w:bookmarkEnd w:id="3863"/>
    <w:bookmarkStart w:name="z3969" w:id="3864"/>
    <w:p>
      <w:pPr>
        <w:spacing w:after="0"/>
        <w:ind w:left="0"/>
        <w:jc w:val="both"/>
      </w:pPr>
      <w:r>
        <w:rPr>
          <w:rFonts w:ascii="Times New Roman"/>
          <w:b w:val="false"/>
          <w:i w:val="false"/>
          <w:color w:val="000000"/>
          <w:sz w:val="28"/>
        </w:rPr>
        <w:t>
      Управление рисками для качества в отношении производственных помещений, оборудования и систем обеспечения предполагает проведение следующих мероприятий:</w:t>
      </w:r>
    </w:p>
    <w:bookmarkEnd w:id="3864"/>
    <w:bookmarkStart w:name="z3970" w:id="3865"/>
    <w:p>
      <w:pPr>
        <w:spacing w:after="0"/>
        <w:ind w:left="0"/>
        <w:jc w:val="both"/>
      </w:pPr>
      <w:r>
        <w:rPr>
          <w:rFonts w:ascii="Times New Roman"/>
          <w:b w:val="false"/>
          <w:i w:val="false"/>
          <w:color w:val="000000"/>
          <w:sz w:val="28"/>
        </w:rPr>
        <w:t xml:space="preserve">
      проектирование производственных помещений и (или) </w:t>
      </w:r>
    </w:p>
    <w:bookmarkEnd w:id="3865"/>
    <w:p>
      <w:pPr>
        <w:spacing w:after="0"/>
        <w:ind w:left="0"/>
        <w:jc w:val="both"/>
      </w:pPr>
      <w:r>
        <w:rPr>
          <w:rFonts w:ascii="Times New Roman"/>
          <w:b w:val="false"/>
          <w:i w:val="false"/>
          <w:color w:val="000000"/>
          <w:sz w:val="28"/>
        </w:rPr>
        <w:t>
      оборудования:</w:t>
      </w:r>
    </w:p>
    <w:bookmarkStart w:name="z3971" w:id="3866"/>
    <w:p>
      <w:pPr>
        <w:spacing w:after="0"/>
        <w:ind w:left="0"/>
        <w:jc w:val="both"/>
      </w:pPr>
      <w:r>
        <w:rPr>
          <w:rFonts w:ascii="Times New Roman"/>
          <w:b w:val="false"/>
          <w:i w:val="false"/>
          <w:color w:val="000000"/>
          <w:sz w:val="28"/>
        </w:rPr>
        <w:t>
      40) для определения соответствующих зон при проектировании зданий и производственных помещений, включая в том числе:</w:t>
      </w:r>
    </w:p>
    <w:bookmarkEnd w:id="3866"/>
    <w:bookmarkStart w:name="z3972" w:id="3867"/>
    <w:p>
      <w:pPr>
        <w:spacing w:after="0"/>
        <w:ind w:left="0"/>
        <w:jc w:val="both"/>
      </w:pPr>
      <w:r>
        <w:rPr>
          <w:rFonts w:ascii="Times New Roman"/>
          <w:b w:val="false"/>
          <w:i w:val="false"/>
          <w:color w:val="000000"/>
          <w:sz w:val="28"/>
        </w:rPr>
        <w:t>
      41) определение направлений потоков материалов и персонала;</w:t>
      </w:r>
    </w:p>
    <w:bookmarkEnd w:id="3867"/>
    <w:bookmarkStart w:name="z3973" w:id="3868"/>
    <w:p>
      <w:pPr>
        <w:spacing w:after="0"/>
        <w:ind w:left="0"/>
        <w:jc w:val="both"/>
      </w:pPr>
      <w:r>
        <w:rPr>
          <w:rFonts w:ascii="Times New Roman"/>
          <w:b w:val="false"/>
          <w:i w:val="false"/>
          <w:color w:val="000000"/>
          <w:sz w:val="28"/>
        </w:rPr>
        <w:t>
      42) сведение к минимуму контаминации;</w:t>
      </w:r>
    </w:p>
    <w:bookmarkEnd w:id="3868"/>
    <w:bookmarkStart w:name="z3974" w:id="3869"/>
    <w:p>
      <w:pPr>
        <w:spacing w:after="0"/>
        <w:ind w:left="0"/>
        <w:jc w:val="both"/>
      </w:pPr>
      <w:r>
        <w:rPr>
          <w:rFonts w:ascii="Times New Roman"/>
          <w:b w:val="false"/>
          <w:i w:val="false"/>
          <w:color w:val="000000"/>
          <w:sz w:val="28"/>
        </w:rPr>
        <w:t>
      43) проведение мероприятий по контролю паразитов;</w:t>
      </w:r>
    </w:p>
    <w:bookmarkEnd w:id="3869"/>
    <w:bookmarkStart w:name="z3975" w:id="3870"/>
    <w:p>
      <w:pPr>
        <w:spacing w:after="0"/>
        <w:ind w:left="0"/>
        <w:jc w:val="both"/>
      </w:pPr>
      <w:r>
        <w:rPr>
          <w:rFonts w:ascii="Times New Roman"/>
          <w:b w:val="false"/>
          <w:i w:val="false"/>
          <w:color w:val="000000"/>
          <w:sz w:val="28"/>
        </w:rPr>
        <w:t>
      44) предупреждение перепутывания;</w:t>
      </w:r>
    </w:p>
    <w:bookmarkEnd w:id="3870"/>
    <w:bookmarkStart w:name="z3976" w:id="3871"/>
    <w:p>
      <w:pPr>
        <w:spacing w:after="0"/>
        <w:ind w:left="0"/>
        <w:jc w:val="both"/>
      </w:pPr>
      <w:r>
        <w:rPr>
          <w:rFonts w:ascii="Times New Roman"/>
          <w:b w:val="false"/>
          <w:i w:val="false"/>
          <w:color w:val="000000"/>
          <w:sz w:val="28"/>
        </w:rPr>
        <w:t>
      45) сравнение оборудования открытого и закрытого типов; сравнение чистых помещений с изолирующей технологией; определение специально предназначенных или выделенных производственных помещений и (или) оборудования;</w:t>
      </w:r>
    </w:p>
    <w:bookmarkEnd w:id="3871"/>
    <w:bookmarkStart w:name="z3977" w:id="3872"/>
    <w:p>
      <w:pPr>
        <w:spacing w:after="0"/>
        <w:ind w:left="0"/>
        <w:jc w:val="both"/>
      </w:pPr>
      <w:r>
        <w:rPr>
          <w:rFonts w:ascii="Times New Roman"/>
          <w:b w:val="false"/>
          <w:i w:val="false"/>
          <w:color w:val="000000"/>
          <w:sz w:val="28"/>
        </w:rPr>
        <w:t>
      46) для определения соответствующих материалов для оборудования контейнеров, контактирующих с продукцией (например, выбор марки нержавеющей стали, сальников, смазочных материалов);</w:t>
      </w:r>
    </w:p>
    <w:bookmarkEnd w:id="3872"/>
    <w:bookmarkStart w:name="z3978" w:id="3873"/>
    <w:p>
      <w:pPr>
        <w:spacing w:after="0"/>
        <w:ind w:left="0"/>
        <w:jc w:val="both"/>
      </w:pPr>
      <w:r>
        <w:rPr>
          <w:rFonts w:ascii="Times New Roman"/>
          <w:b w:val="false"/>
          <w:i w:val="false"/>
          <w:color w:val="000000"/>
          <w:sz w:val="28"/>
        </w:rPr>
        <w:t>
      47) для определения соответствующих систем обеспечения (например, пар, газы, источник питания, сжатый воздух, система нагрева, вентиляции и кондиционирования воздуха, вода);</w:t>
      </w:r>
    </w:p>
    <w:bookmarkEnd w:id="3873"/>
    <w:bookmarkStart w:name="z3979" w:id="3874"/>
    <w:p>
      <w:pPr>
        <w:spacing w:after="0"/>
        <w:ind w:left="0"/>
        <w:jc w:val="both"/>
      </w:pPr>
      <w:r>
        <w:rPr>
          <w:rFonts w:ascii="Times New Roman"/>
          <w:b w:val="false"/>
          <w:i w:val="false"/>
          <w:color w:val="000000"/>
          <w:sz w:val="28"/>
        </w:rPr>
        <w:t>
      48) для определения профилактического обслуживания связанного друг с другом оборудования (например, перечень необходимых запасных частей);</w:t>
      </w:r>
    </w:p>
    <w:bookmarkEnd w:id="3874"/>
    <w:bookmarkStart w:name="z3980" w:id="3875"/>
    <w:p>
      <w:pPr>
        <w:spacing w:after="0"/>
        <w:ind w:left="0"/>
        <w:jc w:val="both"/>
      </w:pPr>
      <w:r>
        <w:rPr>
          <w:rFonts w:ascii="Times New Roman"/>
          <w:b w:val="false"/>
          <w:i w:val="false"/>
          <w:color w:val="000000"/>
          <w:sz w:val="28"/>
        </w:rPr>
        <w:t>
      49) рамках гигиены в помещениях:</w:t>
      </w:r>
    </w:p>
    <w:bookmarkEnd w:id="3875"/>
    <w:bookmarkStart w:name="z3981" w:id="3876"/>
    <w:p>
      <w:pPr>
        <w:spacing w:after="0"/>
        <w:ind w:left="0"/>
        <w:jc w:val="both"/>
      </w:pPr>
      <w:r>
        <w:rPr>
          <w:rFonts w:ascii="Times New Roman"/>
          <w:b w:val="false"/>
          <w:i w:val="false"/>
          <w:color w:val="000000"/>
          <w:sz w:val="28"/>
        </w:rPr>
        <w:t>
      50) для защиты продукции от опасности со стороны производственной среды, в том числе от химических, микробиологических и физических факторов опасности (например, определение надлежащей одежды и организация гардеробной, гигиены);</w:t>
      </w:r>
    </w:p>
    <w:bookmarkEnd w:id="3876"/>
    <w:bookmarkStart w:name="z3982" w:id="3877"/>
    <w:p>
      <w:pPr>
        <w:spacing w:after="0"/>
        <w:ind w:left="0"/>
        <w:jc w:val="both"/>
      </w:pPr>
      <w:r>
        <w:rPr>
          <w:rFonts w:ascii="Times New Roman"/>
          <w:b w:val="false"/>
          <w:i w:val="false"/>
          <w:color w:val="000000"/>
          <w:sz w:val="28"/>
        </w:rPr>
        <w:t>
      51) для защиты производственной среды и персонала от опасностей, связанных с производимой продукцией вследствие перекрестной контаминации;</w:t>
      </w:r>
    </w:p>
    <w:bookmarkEnd w:id="3877"/>
    <w:bookmarkStart w:name="z3983" w:id="3878"/>
    <w:p>
      <w:pPr>
        <w:spacing w:after="0"/>
        <w:ind w:left="0"/>
        <w:jc w:val="both"/>
      </w:pPr>
      <w:r>
        <w:rPr>
          <w:rFonts w:ascii="Times New Roman"/>
          <w:b w:val="false"/>
          <w:i w:val="false"/>
          <w:color w:val="000000"/>
          <w:sz w:val="28"/>
        </w:rPr>
        <w:t>
      52) рамках квалификации производственных помещений (оборудования, систем обеспечения) - определение области и масштаба квалификации помещений, зданий и технологического оборудования, а также лабораторных приборов (в том числе надлежащих методов калибровки);</w:t>
      </w:r>
    </w:p>
    <w:bookmarkEnd w:id="3878"/>
    <w:bookmarkStart w:name="z3984" w:id="3879"/>
    <w:p>
      <w:pPr>
        <w:spacing w:after="0"/>
        <w:ind w:left="0"/>
        <w:jc w:val="both"/>
      </w:pPr>
      <w:r>
        <w:rPr>
          <w:rFonts w:ascii="Times New Roman"/>
          <w:b w:val="false"/>
          <w:i w:val="false"/>
          <w:color w:val="000000"/>
          <w:sz w:val="28"/>
        </w:rPr>
        <w:t>
      53) рамках очистки оборудования и контроль производственной среды:</w:t>
      </w:r>
    </w:p>
    <w:bookmarkEnd w:id="3879"/>
    <w:bookmarkStart w:name="z3985" w:id="3880"/>
    <w:p>
      <w:pPr>
        <w:spacing w:after="0"/>
        <w:ind w:left="0"/>
        <w:jc w:val="both"/>
      </w:pPr>
      <w:r>
        <w:rPr>
          <w:rFonts w:ascii="Times New Roman"/>
          <w:b w:val="false"/>
          <w:i w:val="false"/>
          <w:color w:val="000000"/>
          <w:sz w:val="28"/>
        </w:rPr>
        <w:t>
      для рационального распределения усилий и принятия решений, с учетом предназначения оборудования (например, многоцелевое или специально предназначенное оборудование, серийное производство или непрерывный технологический процесс);</w:t>
      </w:r>
    </w:p>
    <w:bookmarkEnd w:id="3880"/>
    <w:bookmarkStart w:name="z3986" w:id="3881"/>
    <w:p>
      <w:pPr>
        <w:spacing w:after="0"/>
        <w:ind w:left="0"/>
        <w:jc w:val="both"/>
      </w:pPr>
      <w:r>
        <w:rPr>
          <w:rFonts w:ascii="Times New Roman"/>
          <w:b w:val="false"/>
          <w:i w:val="false"/>
          <w:color w:val="000000"/>
          <w:sz w:val="28"/>
        </w:rPr>
        <w:t>
      для определения пределов приемлемости для валидации очистки;</w:t>
      </w:r>
    </w:p>
    <w:bookmarkEnd w:id="3881"/>
    <w:bookmarkStart w:name="z3987" w:id="3882"/>
    <w:p>
      <w:pPr>
        <w:spacing w:after="0"/>
        <w:ind w:left="0"/>
        <w:jc w:val="both"/>
      </w:pPr>
      <w:r>
        <w:rPr>
          <w:rFonts w:ascii="Times New Roman"/>
          <w:b w:val="false"/>
          <w:i w:val="false"/>
          <w:color w:val="000000"/>
          <w:sz w:val="28"/>
        </w:rPr>
        <w:t>
      54) рамках проведения калибровка (профилактического обслуживания) - составление графиков калибровки и профилактического обслуживания;</w:t>
      </w:r>
    </w:p>
    <w:bookmarkEnd w:id="3882"/>
    <w:bookmarkStart w:name="z3988" w:id="3883"/>
    <w:p>
      <w:pPr>
        <w:spacing w:after="0"/>
        <w:ind w:left="0"/>
        <w:jc w:val="both"/>
      </w:pPr>
      <w:r>
        <w:rPr>
          <w:rFonts w:ascii="Times New Roman"/>
          <w:b w:val="false"/>
          <w:i w:val="false"/>
          <w:color w:val="000000"/>
          <w:sz w:val="28"/>
        </w:rPr>
        <w:t>
      55) рамках использования компьютерных систем и оборудования, контролируемого с помощью компьютеров:</w:t>
      </w:r>
    </w:p>
    <w:bookmarkEnd w:id="3883"/>
    <w:bookmarkStart w:name="z3989" w:id="3884"/>
    <w:p>
      <w:pPr>
        <w:spacing w:after="0"/>
        <w:ind w:left="0"/>
        <w:jc w:val="both"/>
      </w:pPr>
      <w:r>
        <w:rPr>
          <w:rFonts w:ascii="Times New Roman"/>
          <w:b w:val="false"/>
          <w:i w:val="false"/>
          <w:color w:val="000000"/>
          <w:sz w:val="28"/>
        </w:rPr>
        <w:t>
      56) для выбора конфигурации компьютеров и программного обеспечения (например, модульная, структурированная, устойчивая к сбоям система);</w:t>
      </w:r>
    </w:p>
    <w:bookmarkEnd w:id="3884"/>
    <w:bookmarkStart w:name="z3990" w:id="3885"/>
    <w:p>
      <w:pPr>
        <w:spacing w:after="0"/>
        <w:ind w:left="0"/>
        <w:jc w:val="both"/>
      </w:pPr>
      <w:r>
        <w:rPr>
          <w:rFonts w:ascii="Times New Roman"/>
          <w:b w:val="false"/>
          <w:i w:val="false"/>
          <w:color w:val="000000"/>
          <w:sz w:val="28"/>
        </w:rPr>
        <w:t>
      57) для определения масштаба валидации, в том числе:</w:t>
      </w:r>
    </w:p>
    <w:bookmarkEnd w:id="3885"/>
    <w:bookmarkStart w:name="z3991" w:id="3886"/>
    <w:p>
      <w:pPr>
        <w:spacing w:after="0"/>
        <w:ind w:left="0"/>
        <w:jc w:val="both"/>
      </w:pPr>
      <w:r>
        <w:rPr>
          <w:rFonts w:ascii="Times New Roman"/>
          <w:b w:val="false"/>
          <w:i w:val="false"/>
          <w:color w:val="000000"/>
          <w:sz w:val="28"/>
        </w:rPr>
        <w:t>
      58) определение критических функциональных параметров;</w:t>
      </w:r>
    </w:p>
    <w:bookmarkEnd w:id="3886"/>
    <w:bookmarkStart w:name="z3992" w:id="3887"/>
    <w:p>
      <w:pPr>
        <w:spacing w:after="0"/>
        <w:ind w:left="0"/>
        <w:jc w:val="both"/>
      </w:pPr>
      <w:r>
        <w:rPr>
          <w:rFonts w:ascii="Times New Roman"/>
          <w:b w:val="false"/>
          <w:i w:val="false"/>
          <w:color w:val="000000"/>
          <w:sz w:val="28"/>
        </w:rPr>
        <w:t>
      59) выбор требований и конструкции;</w:t>
      </w:r>
    </w:p>
    <w:bookmarkEnd w:id="3887"/>
    <w:bookmarkStart w:name="z3993" w:id="3888"/>
    <w:p>
      <w:pPr>
        <w:spacing w:after="0"/>
        <w:ind w:left="0"/>
        <w:jc w:val="both"/>
      </w:pPr>
      <w:r>
        <w:rPr>
          <w:rFonts w:ascii="Times New Roman"/>
          <w:b w:val="false"/>
          <w:i w:val="false"/>
          <w:color w:val="000000"/>
          <w:sz w:val="28"/>
        </w:rPr>
        <w:t>
      60) проверка кодов;</w:t>
      </w:r>
    </w:p>
    <w:bookmarkEnd w:id="3888"/>
    <w:bookmarkStart w:name="z3994" w:id="3889"/>
    <w:p>
      <w:pPr>
        <w:spacing w:after="0"/>
        <w:ind w:left="0"/>
        <w:jc w:val="both"/>
      </w:pPr>
      <w:r>
        <w:rPr>
          <w:rFonts w:ascii="Times New Roman"/>
          <w:b w:val="false"/>
          <w:i w:val="false"/>
          <w:color w:val="000000"/>
          <w:sz w:val="28"/>
        </w:rPr>
        <w:t>
      61) масштаб испытаний и методы испытаний;</w:t>
      </w:r>
    </w:p>
    <w:bookmarkEnd w:id="3889"/>
    <w:bookmarkStart w:name="z3995" w:id="3890"/>
    <w:p>
      <w:pPr>
        <w:spacing w:after="0"/>
        <w:ind w:left="0"/>
        <w:jc w:val="both"/>
      </w:pPr>
      <w:r>
        <w:rPr>
          <w:rFonts w:ascii="Times New Roman"/>
          <w:b w:val="false"/>
          <w:i w:val="false"/>
          <w:color w:val="000000"/>
          <w:sz w:val="28"/>
        </w:rPr>
        <w:t>
      62) правильность электронных записей и подписей.</w:t>
      </w:r>
    </w:p>
    <w:bookmarkEnd w:id="3890"/>
    <w:bookmarkStart w:name="z3996" w:id="3891"/>
    <w:p>
      <w:pPr>
        <w:spacing w:after="0"/>
        <w:ind w:left="0"/>
        <w:jc w:val="both"/>
      </w:pPr>
      <w:r>
        <w:rPr>
          <w:rFonts w:ascii="Times New Roman"/>
          <w:b w:val="false"/>
          <w:i w:val="false"/>
          <w:color w:val="000000"/>
          <w:sz w:val="28"/>
        </w:rPr>
        <w:t>
      Управление рисками для качества как часть управления исходным сырьем и материалами предполагает проведение следующих мероприятий:</w:t>
      </w:r>
    </w:p>
    <w:bookmarkEnd w:id="3891"/>
    <w:bookmarkStart w:name="z3997" w:id="3892"/>
    <w:p>
      <w:pPr>
        <w:spacing w:after="0"/>
        <w:ind w:left="0"/>
        <w:jc w:val="both"/>
      </w:pPr>
      <w:r>
        <w:rPr>
          <w:rFonts w:ascii="Times New Roman"/>
          <w:b w:val="false"/>
          <w:i w:val="false"/>
          <w:color w:val="000000"/>
          <w:sz w:val="28"/>
        </w:rPr>
        <w:t>
      63) определение и оценка поставщиков и производителей по контракту для обеспечения всесторонней оценки поставщиков и производителей по контракту (например, проведение их аудита, заключение соглашений с поставщиками относительно качества):</w:t>
      </w:r>
    </w:p>
    <w:bookmarkEnd w:id="3892"/>
    <w:bookmarkStart w:name="z3998" w:id="3893"/>
    <w:p>
      <w:pPr>
        <w:spacing w:after="0"/>
        <w:ind w:left="0"/>
        <w:jc w:val="both"/>
      </w:pPr>
      <w:r>
        <w:rPr>
          <w:rFonts w:ascii="Times New Roman"/>
          <w:b w:val="false"/>
          <w:i w:val="false"/>
          <w:color w:val="000000"/>
          <w:sz w:val="28"/>
        </w:rPr>
        <w:t>
      64) контроль исходного сырья для оценки различий и возможных рисков для качества, связанных с изменчивостью исходного сырья (например, срок хранения, схема синтеза);</w:t>
      </w:r>
    </w:p>
    <w:bookmarkEnd w:id="3893"/>
    <w:bookmarkStart w:name="z3999" w:id="3894"/>
    <w:p>
      <w:pPr>
        <w:spacing w:after="0"/>
        <w:ind w:left="0"/>
        <w:jc w:val="both"/>
      </w:pPr>
      <w:r>
        <w:rPr>
          <w:rFonts w:ascii="Times New Roman"/>
          <w:b w:val="false"/>
          <w:i w:val="false"/>
          <w:color w:val="000000"/>
          <w:sz w:val="28"/>
        </w:rPr>
        <w:t>
      65) в рамках использования исходного сырья и материалов:</w:t>
      </w:r>
    </w:p>
    <w:bookmarkEnd w:id="3894"/>
    <w:bookmarkStart w:name="z4000" w:id="3895"/>
    <w:p>
      <w:pPr>
        <w:spacing w:after="0"/>
        <w:ind w:left="0"/>
        <w:jc w:val="both"/>
      </w:pPr>
      <w:r>
        <w:rPr>
          <w:rFonts w:ascii="Times New Roman"/>
          <w:b w:val="false"/>
          <w:i w:val="false"/>
          <w:color w:val="000000"/>
          <w:sz w:val="28"/>
        </w:rPr>
        <w:t>
      66) для определения того, являются ли приемлемыми для использования исходное сырье и материалы, находящиеся в карантине (например, для дальнейшего технологического процесса);</w:t>
      </w:r>
    </w:p>
    <w:bookmarkEnd w:id="3895"/>
    <w:bookmarkStart w:name="z4001" w:id="3896"/>
    <w:p>
      <w:pPr>
        <w:spacing w:after="0"/>
        <w:ind w:left="0"/>
        <w:jc w:val="both"/>
      </w:pPr>
      <w:r>
        <w:rPr>
          <w:rFonts w:ascii="Times New Roman"/>
          <w:b w:val="false"/>
          <w:i w:val="false"/>
          <w:color w:val="000000"/>
          <w:sz w:val="28"/>
        </w:rPr>
        <w:t>
      67) для определения надлежащего осуществления повторной обработки, переработки, использования возвращенной продукции;</w:t>
      </w:r>
    </w:p>
    <w:bookmarkEnd w:id="3896"/>
    <w:bookmarkStart w:name="z4002" w:id="3897"/>
    <w:p>
      <w:pPr>
        <w:spacing w:after="0"/>
        <w:ind w:left="0"/>
        <w:jc w:val="both"/>
      </w:pPr>
      <w:r>
        <w:rPr>
          <w:rFonts w:ascii="Times New Roman"/>
          <w:b w:val="false"/>
          <w:i w:val="false"/>
          <w:color w:val="000000"/>
          <w:sz w:val="28"/>
        </w:rPr>
        <w:t>
      68) рамках обеспечения условий хранения и оптовой торговли, логистики:</w:t>
      </w:r>
    </w:p>
    <w:bookmarkEnd w:id="3897"/>
    <w:bookmarkStart w:name="z4003" w:id="3898"/>
    <w:p>
      <w:pPr>
        <w:spacing w:after="0"/>
        <w:ind w:left="0"/>
        <w:jc w:val="both"/>
      </w:pPr>
      <w:r>
        <w:rPr>
          <w:rFonts w:ascii="Times New Roman"/>
          <w:b w:val="false"/>
          <w:i w:val="false"/>
          <w:color w:val="000000"/>
          <w:sz w:val="28"/>
        </w:rPr>
        <w:t>
      для оценки полноты соглашений по обеспечению соответствующих условий хранения и транспортирования (например, температура, влажность, конструкция контейнера);</w:t>
      </w:r>
    </w:p>
    <w:bookmarkEnd w:id="3898"/>
    <w:bookmarkStart w:name="z4004" w:id="3899"/>
    <w:p>
      <w:pPr>
        <w:spacing w:after="0"/>
        <w:ind w:left="0"/>
        <w:jc w:val="both"/>
      </w:pPr>
      <w:r>
        <w:rPr>
          <w:rFonts w:ascii="Times New Roman"/>
          <w:b w:val="false"/>
          <w:i w:val="false"/>
          <w:color w:val="000000"/>
          <w:sz w:val="28"/>
        </w:rPr>
        <w:t>
      69) для определения влияния несоответствий в условиях хранения и транспортирования (например, "обеспечение холодовой цепи");</w:t>
      </w:r>
    </w:p>
    <w:bookmarkEnd w:id="3899"/>
    <w:bookmarkStart w:name="z4005" w:id="3900"/>
    <w:p>
      <w:pPr>
        <w:spacing w:after="0"/>
        <w:ind w:left="0"/>
        <w:jc w:val="both"/>
      </w:pPr>
      <w:r>
        <w:rPr>
          <w:rFonts w:ascii="Times New Roman"/>
          <w:b w:val="false"/>
          <w:i w:val="false"/>
          <w:color w:val="000000"/>
          <w:sz w:val="28"/>
        </w:rPr>
        <w:t>
      70) для функционирования инфраструктуры (например, возможность обеспечивать надлежащие условия отгрузки, временного хранения, обращение с опасными материалами и подконтрольными веществами, таможенная очистка);</w:t>
      </w:r>
    </w:p>
    <w:bookmarkEnd w:id="3900"/>
    <w:bookmarkStart w:name="z4006" w:id="3901"/>
    <w:p>
      <w:pPr>
        <w:spacing w:after="0"/>
        <w:ind w:left="0"/>
        <w:jc w:val="both"/>
      </w:pPr>
      <w:r>
        <w:rPr>
          <w:rFonts w:ascii="Times New Roman"/>
          <w:b w:val="false"/>
          <w:i w:val="false"/>
          <w:color w:val="000000"/>
          <w:sz w:val="28"/>
        </w:rPr>
        <w:t>
      71) для предоставления информации об обеспечении пригодности лекарственных препаратов (например, ранжирование рисков для цепи поставки).</w:t>
      </w:r>
    </w:p>
    <w:bookmarkEnd w:id="3901"/>
    <w:bookmarkStart w:name="z4007" w:id="3902"/>
    <w:p>
      <w:pPr>
        <w:spacing w:after="0"/>
        <w:ind w:left="0"/>
        <w:jc w:val="both"/>
      </w:pPr>
      <w:r>
        <w:rPr>
          <w:rFonts w:ascii="Times New Roman"/>
          <w:b w:val="false"/>
          <w:i w:val="false"/>
          <w:color w:val="000000"/>
          <w:sz w:val="28"/>
        </w:rPr>
        <w:t>
      Управление рисками для качества, как часть производства предполагает проведение следующих мероприятий:</w:t>
      </w:r>
    </w:p>
    <w:bookmarkEnd w:id="3902"/>
    <w:bookmarkStart w:name="z4008" w:id="3903"/>
    <w:p>
      <w:pPr>
        <w:spacing w:after="0"/>
        <w:ind w:left="0"/>
        <w:jc w:val="both"/>
      </w:pPr>
      <w:r>
        <w:rPr>
          <w:rFonts w:ascii="Times New Roman"/>
          <w:b w:val="false"/>
          <w:i w:val="false"/>
          <w:color w:val="000000"/>
          <w:sz w:val="28"/>
        </w:rPr>
        <w:t>
      валидация:</w:t>
      </w:r>
    </w:p>
    <w:bookmarkEnd w:id="3903"/>
    <w:bookmarkStart w:name="z4009" w:id="3904"/>
    <w:p>
      <w:pPr>
        <w:spacing w:after="0"/>
        <w:ind w:left="0"/>
        <w:jc w:val="both"/>
      </w:pPr>
      <w:r>
        <w:rPr>
          <w:rFonts w:ascii="Times New Roman"/>
          <w:b w:val="false"/>
          <w:i w:val="false"/>
          <w:color w:val="000000"/>
          <w:sz w:val="28"/>
        </w:rPr>
        <w:t>
      72) для определения области и масштаба осуществления деятельности по подтверждению, квалификации и валидации (например, аналитические методики, процессы, оборудование и процедуры очистки);</w:t>
      </w:r>
    </w:p>
    <w:bookmarkEnd w:id="3904"/>
    <w:bookmarkStart w:name="z4010" w:id="3905"/>
    <w:p>
      <w:pPr>
        <w:spacing w:after="0"/>
        <w:ind w:left="0"/>
        <w:jc w:val="both"/>
      </w:pPr>
      <w:r>
        <w:rPr>
          <w:rFonts w:ascii="Times New Roman"/>
          <w:b w:val="false"/>
          <w:i w:val="false"/>
          <w:color w:val="000000"/>
          <w:sz w:val="28"/>
        </w:rPr>
        <w:t>
      73) для определения масштаба осуществления последующих действий (например, отбор проб, мониторинг и повторная валидация);</w:t>
      </w:r>
    </w:p>
    <w:bookmarkEnd w:id="3905"/>
    <w:bookmarkStart w:name="z4011" w:id="3906"/>
    <w:p>
      <w:pPr>
        <w:spacing w:after="0"/>
        <w:ind w:left="0"/>
        <w:jc w:val="both"/>
      </w:pPr>
      <w:r>
        <w:rPr>
          <w:rFonts w:ascii="Times New Roman"/>
          <w:b w:val="false"/>
          <w:i w:val="false"/>
          <w:color w:val="000000"/>
          <w:sz w:val="28"/>
        </w:rPr>
        <w:t>
      74) для разграничения критических и некритических стадий процесса для помощи в планировании валидационных испытаний;</w:t>
      </w:r>
    </w:p>
    <w:bookmarkEnd w:id="3906"/>
    <w:bookmarkStart w:name="z4012" w:id="3907"/>
    <w:p>
      <w:pPr>
        <w:spacing w:after="0"/>
        <w:ind w:left="0"/>
        <w:jc w:val="both"/>
      </w:pPr>
      <w:r>
        <w:rPr>
          <w:rFonts w:ascii="Times New Roman"/>
          <w:b w:val="false"/>
          <w:i w:val="false"/>
          <w:color w:val="000000"/>
          <w:sz w:val="28"/>
        </w:rPr>
        <w:t>
      75) отбор проб (испытание в ходе процесса производства):</w:t>
      </w:r>
    </w:p>
    <w:bookmarkEnd w:id="3907"/>
    <w:bookmarkStart w:name="z4013" w:id="3908"/>
    <w:p>
      <w:pPr>
        <w:spacing w:after="0"/>
        <w:ind w:left="0"/>
        <w:jc w:val="both"/>
      </w:pPr>
      <w:r>
        <w:rPr>
          <w:rFonts w:ascii="Times New Roman"/>
          <w:b w:val="false"/>
          <w:i w:val="false"/>
          <w:color w:val="000000"/>
          <w:sz w:val="28"/>
        </w:rPr>
        <w:t>
      76) для оценки частоты и масштаба проведения контрольных испытаний в процессе производства (например, для обоснования уменьшения объема испытаний в условиях доказанного контроля);</w:t>
      </w:r>
    </w:p>
    <w:bookmarkEnd w:id="3908"/>
    <w:bookmarkStart w:name="z4014" w:id="3909"/>
    <w:p>
      <w:pPr>
        <w:spacing w:after="0"/>
        <w:ind w:left="0"/>
        <w:jc w:val="both"/>
      </w:pPr>
      <w:r>
        <w:rPr>
          <w:rFonts w:ascii="Times New Roman"/>
          <w:b w:val="false"/>
          <w:i w:val="false"/>
          <w:color w:val="000000"/>
          <w:sz w:val="28"/>
        </w:rPr>
        <w:t>
      77) для оценки и обоснования использования процессно-аналитической технологии (PAT) наряду с выпуском по параметрам и выпуском в реальном времени;</w:t>
      </w:r>
    </w:p>
    <w:bookmarkEnd w:id="3909"/>
    <w:bookmarkStart w:name="z4015" w:id="3910"/>
    <w:p>
      <w:pPr>
        <w:spacing w:after="0"/>
        <w:ind w:left="0"/>
        <w:jc w:val="both"/>
      </w:pPr>
      <w:r>
        <w:rPr>
          <w:rFonts w:ascii="Times New Roman"/>
          <w:b w:val="false"/>
          <w:i w:val="false"/>
          <w:color w:val="000000"/>
          <w:sz w:val="28"/>
        </w:rPr>
        <w:t>
      78) планирование производства - составление соответствующего плана производства (например, специально предназначенное производство, производство кампаниями (циклами производства) и очередность сопутствующих технологических процессов).</w:t>
      </w:r>
    </w:p>
    <w:bookmarkEnd w:id="3910"/>
    <w:bookmarkStart w:name="z4016" w:id="3911"/>
    <w:p>
      <w:pPr>
        <w:spacing w:after="0"/>
        <w:ind w:left="0"/>
        <w:jc w:val="both"/>
      </w:pPr>
      <w:r>
        <w:rPr>
          <w:rFonts w:ascii="Times New Roman"/>
          <w:b w:val="false"/>
          <w:i w:val="false"/>
          <w:color w:val="000000"/>
          <w:sz w:val="28"/>
        </w:rPr>
        <w:t>
      Управление рисками для качества как часть лабораторного контроля и исследований стабильности предполагает проведение следующих мероприятий:</w:t>
      </w:r>
    </w:p>
    <w:bookmarkEnd w:id="3911"/>
    <w:bookmarkStart w:name="z4017" w:id="3912"/>
    <w:p>
      <w:pPr>
        <w:spacing w:after="0"/>
        <w:ind w:left="0"/>
        <w:jc w:val="both"/>
      </w:pPr>
      <w:r>
        <w:rPr>
          <w:rFonts w:ascii="Times New Roman"/>
          <w:b w:val="false"/>
          <w:i w:val="false"/>
          <w:color w:val="000000"/>
          <w:sz w:val="28"/>
        </w:rPr>
        <w:t>
      79) рамках результатов, не соответствующих спецификация - установление возможных основных причин и определение корректирующих мероприятий в ходе расследования результатов, не соответствующих спецификациям;</w:t>
      </w:r>
    </w:p>
    <w:bookmarkEnd w:id="3912"/>
    <w:bookmarkStart w:name="z4018" w:id="3913"/>
    <w:p>
      <w:pPr>
        <w:spacing w:after="0"/>
        <w:ind w:left="0"/>
        <w:jc w:val="both"/>
      </w:pPr>
      <w:r>
        <w:rPr>
          <w:rFonts w:ascii="Times New Roman"/>
          <w:b w:val="false"/>
          <w:i w:val="false"/>
          <w:color w:val="000000"/>
          <w:sz w:val="28"/>
        </w:rPr>
        <w:t>
      80) рамках определения периода до проведения повторных испытаний (даты окончания срока годности) - оценка правильности хранения и проведение испытаний промежуточной продукции, вспомогательных веществ и исходного сырья.</w:t>
      </w:r>
    </w:p>
    <w:bookmarkEnd w:id="3913"/>
    <w:bookmarkStart w:name="z4019" w:id="3914"/>
    <w:p>
      <w:pPr>
        <w:spacing w:after="0"/>
        <w:ind w:left="0"/>
        <w:jc w:val="both"/>
      </w:pPr>
      <w:r>
        <w:rPr>
          <w:rFonts w:ascii="Times New Roman"/>
          <w:b w:val="false"/>
          <w:i w:val="false"/>
          <w:color w:val="000000"/>
          <w:sz w:val="28"/>
        </w:rPr>
        <w:t>
      Управление рисками для качества как часть упаковки и маркировки предполагает проведение следующих мероприятий:</w:t>
      </w:r>
    </w:p>
    <w:bookmarkEnd w:id="3914"/>
    <w:bookmarkStart w:name="z4020" w:id="3915"/>
    <w:p>
      <w:pPr>
        <w:spacing w:after="0"/>
        <w:ind w:left="0"/>
        <w:jc w:val="both"/>
      </w:pPr>
      <w:r>
        <w:rPr>
          <w:rFonts w:ascii="Times New Roman"/>
          <w:b w:val="false"/>
          <w:i w:val="false"/>
          <w:color w:val="000000"/>
          <w:sz w:val="28"/>
        </w:rPr>
        <w:t>
      81) проектирование вторичной упаковки, предназначенной для защиты первичной упаковки продукции (например, чтобы обеспечить подлинность продукции, разборчивую надпись на этикетке);</w:t>
      </w:r>
    </w:p>
    <w:bookmarkEnd w:id="3915"/>
    <w:bookmarkStart w:name="z4021" w:id="3916"/>
    <w:p>
      <w:pPr>
        <w:spacing w:after="0"/>
        <w:ind w:left="0"/>
        <w:jc w:val="both"/>
      </w:pPr>
      <w:r>
        <w:rPr>
          <w:rFonts w:ascii="Times New Roman"/>
          <w:b w:val="false"/>
          <w:i w:val="false"/>
          <w:color w:val="000000"/>
          <w:sz w:val="28"/>
        </w:rPr>
        <w:t>
      82) определение критических характеристик системы укупорки контейнера при выборе системы укупорки контейнера;</w:t>
      </w:r>
    </w:p>
    <w:bookmarkEnd w:id="3916"/>
    <w:bookmarkStart w:name="z4022" w:id="3917"/>
    <w:p>
      <w:pPr>
        <w:spacing w:after="0"/>
        <w:ind w:left="0"/>
        <w:jc w:val="both"/>
      </w:pPr>
      <w:r>
        <w:rPr>
          <w:rFonts w:ascii="Times New Roman"/>
          <w:b w:val="false"/>
          <w:i w:val="false"/>
          <w:color w:val="000000"/>
          <w:sz w:val="28"/>
        </w:rPr>
        <w:t>
      83) планирование процедур контроля этикеток, с учетом возможности перепутывания этикеток различной продукции, в том числе разных версий одной и той же этикетки.</w:t>
      </w:r>
    </w:p>
    <w:bookmarkEnd w:id="3917"/>
    <w:bookmarkStart w:name="z4023" w:id="3918"/>
    <w:p>
      <w:pPr>
        <w:spacing w:after="0"/>
        <w:ind w:left="0"/>
        <w:jc w:val="left"/>
      </w:pPr>
      <w:r>
        <w:rPr>
          <w:rFonts w:ascii="Times New Roman"/>
          <w:b/>
          <w:i w:val="false"/>
          <w:color w:val="000000"/>
        </w:rPr>
        <w:t xml:space="preserve"> Глава 13. Фармацевтическая система качества</w:t>
      </w:r>
    </w:p>
    <w:bookmarkEnd w:id="3918"/>
    <w:bookmarkStart w:name="z4024" w:id="3919"/>
    <w:p>
      <w:pPr>
        <w:spacing w:after="0"/>
        <w:ind w:left="0"/>
        <w:jc w:val="left"/>
      </w:pPr>
      <w:r>
        <w:rPr>
          <w:rFonts w:ascii="Times New Roman"/>
          <w:b/>
          <w:i w:val="false"/>
          <w:color w:val="000000"/>
        </w:rPr>
        <w:t xml:space="preserve"> Параграф 1. Предисловие</w:t>
      </w:r>
    </w:p>
    <w:bookmarkEnd w:id="3919"/>
    <w:bookmarkStart w:name="z4025" w:id="3920"/>
    <w:p>
      <w:pPr>
        <w:spacing w:after="0"/>
        <w:ind w:left="0"/>
        <w:jc w:val="both"/>
      </w:pPr>
      <w:r>
        <w:rPr>
          <w:rFonts w:ascii="Times New Roman"/>
          <w:b w:val="false"/>
          <w:i w:val="false"/>
          <w:color w:val="000000"/>
          <w:sz w:val="28"/>
        </w:rPr>
        <w:t>
      700. Производителям лекарственных средств следует разработать и внедрить эффективную фармацевтическую систему качества, чтобы обеспечить соответствие требованиям настоящего Стандарта и придерживаться положений, изложенных в главе 1 части I настоящего Стандарта.</w:t>
      </w:r>
    </w:p>
    <w:bookmarkEnd w:id="3920"/>
    <w:bookmarkStart w:name="z4026" w:id="3921"/>
    <w:p>
      <w:pPr>
        <w:spacing w:after="0"/>
        <w:ind w:left="0"/>
        <w:jc w:val="both"/>
      </w:pPr>
      <w:r>
        <w:rPr>
          <w:rFonts w:ascii="Times New Roman"/>
          <w:b w:val="false"/>
          <w:i w:val="false"/>
          <w:color w:val="000000"/>
          <w:sz w:val="28"/>
        </w:rPr>
        <w:t>
      Настоящая глава описывает подход к фармацевтической системе качества, которую можно применять на различных стадиях жизненного цикла продукции. Следовательно, указания данной главы выходят за рамки требований настоящего Стандарта (поскольку настоящий Стандарт, за исключением производства лекарственных средств для клинических исследований, не распространяются на часть жизненного цикла лекарственного средства, которая связана с его разработкой). Данный раздел дополняет требования настоящего Стандарта, позволяет внедрить на предприятии фармацевтическую систему качества. Использование положений настоящей главы будет способствовать инновациям, постоянному улучшению и усилению взаимосвязи между фармацевтической разработкой и производственной деятельностью.</w:t>
      </w:r>
    </w:p>
    <w:bookmarkEnd w:id="3921"/>
    <w:bookmarkStart w:name="z4027" w:id="3922"/>
    <w:p>
      <w:pPr>
        <w:spacing w:after="0"/>
        <w:ind w:left="0"/>
        <w:jc w:val="left"/>
      </w:pPr>
      <w:r>
        <w:rPr>
          <w:rFonts w:ascii="Times New Roman"/>
          <w:b/>
          <w:i w:val="false"/>
          <w:color w:val="000000"/>
        </w:rPr>
        <w:t xml:space="preserve"> Параграф 2. Введение</w:t>
      </w:r>
    </w:p>
    <w:bookmarkEnd w:id="3922"/>
    <w:bookmarkStart w:name="z4028" w:id="3923"/>
    <w:p>
      <w:pPr>
        <w:spacing w:after="0"/>
        <w:ind w:left="0"/>
        <w:jc w:val="both"/>
      </w:pPr>
      <w:r>
        <w:rPr>
          <w:rFonts w:ascii="Times New Roman"/>
          <w:b w:val="false"/>
          <w:i w:val="false"/>
          <w:color w:val="000000"/>
          <w:sz w:val="28"/>
        </w:rPr>
        <w:t>
      701. Настоящая глава гармонизирована с Руководством ICH Q10, которое описывает модель эффективной системы управления качеством для фармацевтической промышленности (далее - фармацевтическая система качества). В контексте настоящей главы термин "фармацевтическая система качества" относится к модели, описанной в документе ICH Q10.</w:t>
      </w:r>
    </w:p>
    <w:bookmarkEnd w:id="3923"/>
    <w:bookmarkStart w:name="z4029" w:id="3924"/>
    <w:p>
      <w:pPr>
        <w:spacing w:after="0"/>
        <w:ind w:left="0"/>
        <w:jc w:val="both"/>
      </w:pPr>
      <w:r>
        <w:rPr>
          <w:rFonts w:ascii="Times New Roman"/>
          <w:b w:val="false"/>
          <w:i w:val="false"/>
          <w:color w:val="000000"/>
          <w:sz w:val="28"/>
        </w:rPr>
        <w:t>
      В документе ICH Q10 описана единая всесторонняя модель эффективной фармацевтической системы качества, которая основывается на концепции качества Международной организации по стандартизации (ISO), включает соответствующие положения Стандарта надлежащего производства и дополняет документы ICH Q8 "Фармацевтическая разработка" и ICH Q9 "Управление рисками для качества". Настоящая глава является моделью для фармацевтической системы качества, которая применяется на различных этапах жизненного цикла продукции. Большинство положений настоящей главы, применяемых к производственным предприятиям, подробно излагается в других разделах настоящего Стандарта. Настоящая глава предназначена для установления каких-либо новых положений, которые выходят за рамки действующих нормативных требований. Положения, содержащиеся в настоящей главе, дополняют настоящий Стандарт и не являются обязательными.</w:t>
      </w:r>
    </w:p>
    <w:bookmarkEnd w:id="3924"/>
    <w:bookmarkStart w:name="z4030" w:id="3925"/>
    <w:p>
      <w:pPr>
        <w:spacing w:after="0"/>
        <w:ind w:left="0"/>
        <w:jc w:val="both"/>
      </w:pPr>
      <w:r>
        <w:rPr>
          <w:rFonts w:ascii="Times New Roman"/>
          <w:b w:val="false"/>
          <w:i w:val="false"/>
          <w:color w:val="000000"/>
          <w:sz w:val="28"/>
        </w:rPr>
        <w:t>
      702. Настоящая глава служит доказательством того, что производители уполномоченные органы поддерживают эффективную фармацевтическую систему качества с целью улучшения качества и доступности лекарственных препаратов во всем мире в интересах здравоохранения. Применение настоящей главы на протяжении жизненного цикла продукции будет способствовать инновациям и постоянному улучшению, а также упрочнению связи между фармацевтической разработкой и производственной деятельностью.</w:t>
      </w:r>
    </w:p>
    <w:bookmarkEnd w:id="3925"/>
    <w:bookmarkStart w:name="z4031" w:id="3926"/>
    <w:p>
      <w:pPr>
        <w:spacing w:after="0"/>
        <w:ind w:left="0"/>
        <w:jc w:val="left"/>
      </w:pPr>
      <w:r>
        <w:rPr>
          <w:rFonts w:ascii="Times New Roman"/>
          <w:b/>
          <w:i w:val="false"/>
          <w:color w:val="000000"/>
        </w:rPr>
        <w:t xml:space="preserve"> Параграф 3. Область применения</w:t>
      </w:r>
    </w:p>
    <w:bookmarkEnd w:id="3926"/>
    <w:bookmarkStart w:name="z4032" w:id="3927"/>
    <w:p>
      <w:pPr>
        <w:spacing w:after="0"/>
        <w:ind w:left="0"/>
        <w:jc w:val="both"/>
      </w:pPr>
      <w:r>
        <w:rPr>
          <w:rFonts w:ascii="Times New Roman"/>
          <w:b w:val="false"/>
          <w:i w:val="false"/>
          <w:color w:val="000000"/>
          <w:sz w:val="28"/>
        </w:rPr>
        <w:t>
      703. Настоящая глава распространяется на системы, обеспечивающие фармацевтическую разработку и производство активных фармацевтических субстанций (АФС), а также лекарственных препаратов, включая лекарственные биотехнологические и биологические лекарственные препараты, на протяжении всех этапов жизненного цикла продукции.</w:t>
      </w:r>
    </w:p>
    <w:bookmarkEnd w:id="3927"/>
    <w:bookmarkStart w:name="z4033" w:id="3928"/>
    <w:p>
      <w:pPr>
        <w:spacing w:after="0"/>
        <w:ind w:left="0"/>
        <w:jc w:val="both"/>
      </w:pPr>
      <w:r>
        <w:rPr>
          <w:rFonts w:ascii="Times New Roman"/>
          <w:b w:val="false"/>
          <w:i w:val="false"/>
          <w:color w:val="000000"/>
          <w:sz w:val="28"/>
        </w:rPr>
        <w:t>
      Структурные элементы настоящей главы применяются соответственно и пропорционально каждому этапу жизненного цикла продукции с учетом различий между этими этапами и различной цели каждого этапа (см. раздел 3 настоящей главы).</w:t>
      </w:r>
    </w:p>
    <w:bookmarkEnd w:id="3928"/>
    <w:bookmarkStart w:name="z4034" w:id="3929"/>
    <w:p>
      <w:pPr>
        <w:spacing w:after="0"/>
        <w:ind w:left="0"/>
        <w:jc w:val="both"/>
      </w:pPr>
      <w:r>
        <w:rPr>
          <w:rFonts w:ascii="Times New Roman"/>
          <w:b w:val="false"/>
          <w:i w:val="false"/>
          <w:color w:val="000000"/>
          <w:sz w:val="28"/>
        </w:rPr>
        <w:t>
      Для целей настоящего документа жизненный цикл продукции включает следующую производственную деятельность новых и уже существующих лекарственных препаратов:</w:t>
      </w:r>
    </w:p>
    <w:bookmarkEnd w:id="3929"/>
    <w:bookmarkStart w:name="z4035" w:id="3930"/>
    <w:p>
      <w:pPr>
        <w:spacing w:after="0"/>
        <w:ind w:left="0"/>
        <w:jc w:val="both"/>
      </w:pPr>
      <w:r>
        <w:rPr>
          <w:rFonts w:ascii="Times New Roman"/>
          <w:b w:val="false"/>
          <w:i w:val="false"/>
          <w:color w:val="000000"/>
          <w:sz w:val="28"/>
        </w:rPr>
        <w:t>
      1) на этапе фармацевтической разработки:</w:t>
      </w:r>
    </w:p>
    <w:bookmarkEnd w:id="3930"/>
    <w:bookmarkStart w:name="z4036" w:id="3931"/>
    <w:p>
      <w:pPr>
        <w:spacing w:after="0"/>
        <w:ind w:left="0"/>
        <w:jc w:val="both"/>
      </w:pPr>
      <w:r>
        <w:rPr>
          <w:rFonts w:ascii="Times New Roman"/>
          <w:b w:val="false"/>
          <w:i w:val="false"/>
          <w:color w:val="000000"/>
          <w:sz w:val="28"/>
        </w:rPr>
        <w:t>
      2) разработка активной фармацевтической субстанции;</w:t>
      </w:r>
    </w:p>
    <w:bookmarkEnd w:id="3931"/>
    <w:bookmarkStart w:name="z4037" w:id="3932"/>
    <w:p>
      <w:pPr>
        <w:spacing w:after="0"/>
        <w:ind w:left="0"/>
        <w:jc w:val="both"/>
      </w:pPr>
      <w:r>
        <w:rPr>
          <w:rFonts w:ascii="Times New Roman"/>
          <w:b w:val="false"/>
          <w:i w:val="false"/>
          <w:color w:val="000000"/>
          <w:sz w:val="28"/>
        </w:rPr>
        <w:t>
      3) разработка состава (включая систему "контейнер (средство укупорки"));</w:t>
      </w:r>
    </w:p>
    <w:bookmarkEnd w:id="3932"/>
    <w:bookmarkStart w:name="z4038" w:id="3933"/>
    <w:p>
      <w:pPr>
        <w:spacing w:after="0"/>
        <w:ind w:left="0"/>
        <w:jc w:val="both"/>
      </w:pPr>
      <w:r>
        <w:rPr>
          <w:rFonts w:ascii="Times New Roman"/>
          <w:b w:val="false"/>
          <w:i w:val="false"/>
          <w:color w:val="000000"/>
          <w:sz w:val="28"/>
        </w:rPr>
        <w:t>
      4) производство лекарственных препаратов для клинических исследований;</w:t>
      </w:r>
    </w:p>
    <w:bookmarkEnd w:id="3933"/>
    <w:bookmarkStart w:name="z4039" w:id="3934"/>
    <w:p>
      <w:pPr>
        <w:spacing w:after="0"/>
        <w:ind w:left="0"/>
        <w:jc w:val="both"/>
      </w:pPr>
      <w:r>
        <w:rPr>
          <w:rFonts w:ascii="Times New Roman"/>
          <w:b w:val="false"/>
          <w:i w:val="false"/>
          <w:color w:val="000000"/>
          <w:sz w:val="28"/>
        </w:rPr>
        <w:t>
      5) разработка системы доставки (при необходимости);</w:t>
      </w:r>
    </w:p>
    <w:bookmarkEnd w:id="3934"/>
    <w:bookmarkStart w:name="z4040" w:id="3935"/>
    <w:p>
      <w:pPr>
        <w:spacing w:after="0"/>
        <w:ind w:left="0"/>
        <w:jc w:val="both"/>
      </w:pPr>
      <w:r>
        <w:rPr>
          <w:rFonts w:ascii="Times New Roman"/>
          <w:b w:val="false"/>
          <w:i w:val="false"/>
          <w:color w:val="000000"/>
          <w:sz w:val="28"/>
        </w:rPr>
        <w:t>
      6) разработка технологического процесса и масштабирование;</w:t>
      </w:r>
    </w:p>
    <w:bookmarkEnd w:id="3935"/>
    <w:bookmarkStart w:name="z4041" w:id="3936"/>
    <w:p>
      <w:pPr>
        <w:spacing w:after="0"/>
        <w:ind w:left="0"/>
        <w:jc w:val="both"/>
      </w:pPr>
      <w:r>
        <w:rPr>
          <w:rFonts w:ascii="Times New Roman"/>
          <w:b w:val="false"/>
          <w:i w:val="false"/>
          <w:color w:val="000000"/>
          <w:sz w:val="28"/>
        </w:rPr>
        <w:t>
      7) разработка методик анализа;</w:t>
      </w:r>
    </w:p>
    <w:bookmarkEnd w:id="3936"/>
    <w:bookmarkStart w:name="z4042" w:id="3937"/>
    <w:p>
      <w:pPr>
        <w:spacing w:after="0"/>
        <w:ind w:left="0"/>
        <w:jc w:val="both"/>
      </w:pPr>
      <w:r>
        <w:rPr>
          <w:rFonts w:ascii="Times New Roman"/>
          <w:b w:val="false"/>
          <w:i w:val="false"/>
          <w:color w:val="000000"/>
          <w:sz w:val="28"/>
        </w:rPr>
        <w:t>
      8) на этапе переноса технологии:</w:t>
      </w:r>
    </w:p>
    <w:bookmarkEnd w:id="3937"/>
    <w:bookmarkStart w:name="z4043" w:id="3938"/>
    <w:p>
      <w:pPr>
        <w:spacing w:after="0"/>
        <w:ind w:left="0"/>
        <w:jc w:val="both"/>
      </w:pPr>
      <w:r>
        <w:rPr>
          <w:rFonts w:ascii="Times New Roman"/>
          <w:b w:val="false"/>
          <w:i w:val="false"/>
          <w:color w:val="000000"/>
          <w:sz w:val="28"/>
        </w:rPr>
        <w:t>
      9) перенос новой продукции из разработки в производство;</w:t>
      </w:r>
    </w:p>
    <w:bookmarkEnd w:id="3938"/>
    <w:bookmarkStart w:name="z4044" w:id="3939"/>
    <w:p>
      <w:pPr>
        <w:spacing w:after="0"/>
        <w:ind w:left="0"/>
        <w:jc w:val="both"/>
      </w:pPr>
      <w:r>
        <w:rPr>
          <w:rFonts w:ascii="Times New Roman"/>
          <w:b w:val="false"/>
          <w:i w:val="false"/>
          <w:color w:val="000000"/>
          <w:sz w:val="28"/>
        </w:rPr>
        <w:t>
      10) перенос технологии производства зарегистрированной продукции внутри или между производственными или контролирующими подразделениями;</w:t>
      </w:r>
    </w:p>
    <w:bookmarkEnd w:id="3939"/>
    <w:bookmarkStart w:name="z4045" w:id="3940"/>
    <w:p>
      <w:pPr>
        <w:spacing w:after="0"/>
        <w:ind w:left="0"/>
        <w:jc w:val="both"/>
      </w:pPr>
      <w:r>
        <w:rPr>
          <w:rFonts w:ascii="Times New Roman"/>
          <w:b w:val="false"/>
          <w:i w:val="false"/>
          <w:color w:val="000000"/>
          <w:sz w:val="28"/>
        </w:rPr>
        <w:t>
      11) на этапе промышленного производства:</w:t>
      </w:r>
    </w:p>
    <w:bookmarkEnd w:id="3940"/>
    <w:bookmarkStart w:name="z4046" w:id="3941"/>
    <w:p>
      <w:pPr>
        <w:spacing w:after="0"/>
        <w:ind w:left="0"/>
        <w:jc w:val="both"/>
      </w:pPr>
      <w:r>
        <w:rPr>
          <w:rFonts w:ascii="Times New Roman"/>
          <w:b w:val="false"/>
          <w:i w:val="false"/>
          <w:color w:val="000000"/>
          <w:sz w:val="28"/>
        </w:rPr>
        <w:t>
      12) приобретение и контроль исходного сырья и материалов; предоставление помещений для производства, систем обеспечения и оборудования;</w:t>
      </w:r>
    </w:p>
    <w:bookmarkEnd w:id="3941"/>
    <w:bookmarkStart w:name="z4047" w:id="3942"/>
    <w:p>
      <w:pPr>
        <w:spacing w:after="0"/>
        <w:ind w:left="0"/>
        <w:jc w:val="both"/>
      </w:pPr>
      <w:r>
        <w:rPr>
          <w:rFonts w:ascii="Times New Roman"/>
          <w:b w:val="false"/>
          <w:i w:val="false"/>
          <w:color w:val="000000"/>
          <w:sz w:val="28"/>
        </w:rPr>
        <w:t>
      13) технологический процесс (включая упаковку и маркировку);</w:t>
      </w:r>
    </w:p>
    <w:bookmarkEnd w:id="3942"/>
    <w:bookmarkStart w:name="z4048" w:id="3943"/>
    <w:p>
      <w:pPr>
        <w:spacing w:after="0"/>
        <w:ind w:left="0"/>
        <w:jc w:val="both"/>
      </w:pPr>
      <w:r>
        <w:rPr>
          <w:rFonts w:ascii="Times New Roman"/>
          <w:b w:val="false"/>
          <w:i w:val="false"/>
          <w:color w:val="000000"/>
          <w:sz w:val="28"/>
        </w:rPr>
        <w:t>
      14) контроль качества и обеспечение качества;</w:t>
      </w:r>
    </w:p>
    <w:bookmarkEnd w:id="3943"/>
    <w:bookmarkStart w:name="z4049" w:id="3944"/>
    <w:p>
      <w:pPr>
        <w:spacing w:after="0"/>
        <w:ind w:left="0"/>
        <w:jc w:val="both"/>
      </w:pPr>
      <w:r>
        <w:rPr>
          <w:rFonts w:ascii="Times New Roman"/>
          <w:b w:val="false"/>
          <w:i w:val="false"/>
          <w:color w:val="000000"/>
          <w:sz w:val="28"/>
        </w:rPr>
        <w:t>
      15) выдача разрешения на выпуск продукции;</w:t>
      </w:r>
    </w:p>
    <w:bookmarkEnd w:id="3944"/>
    <w:bookmarkStart w:name="z4050" w:id="3945"/>
    <w:p>
      <w:pPr>
        <w:spacing w:after="0"/>
        <w:ind w:left="0"/>
        <w:jc w:val="both"/>
      </w:pPr>
      <w:r>
        <w:rPr>
          <w:rFonts w:ascii="Times New Roman"/>
          <w:b w:val="false"/>
          <w:i w:val="false"/>
          <w:color w:val="000000"/>
          <w:sz w:val="28"/>
        </w:rPr>
        <w:t>
      16) хранение;</w:t>
      </w:r>
    </w:p>
    <w:bookmarkEnd w:id="3945"/>
    <w:bookmarkStart w:name="z4051" w:id="3946"/>
    <w:p>
      <w:pPr>
        <w:spacing w:after="0"/>
        <w:ind w:left="0"/>
        <w:jc w:val="both"/>
      </w:pPr>
      <w:r>
        <w:rPr>
          <w:rFonts w:ascii="Times New Roman"/>
          <w:b w:val="false"/>
          <w:i w:val="false"/>
          <w:color w:val="000000"/>
          <w:sz w:val="28"/>
        </w:rPr>
        <w:t>
      17) реализация (за исключением оптовой торговли);</w:t>
      </w:r>
    </w:p>
    <w:bookmarkEnd w:id="3946"/>
    <w:bookmarkStart w:name="z4052" w:id="3947"/>
    <w:p>
      <w:pPr>
        <w:spacing w:after="0"/>
        <w:ind w:left="0"/>
        <w:jc w:val="both"/>
      </w:pPr>
      <w:r>
        <w:rPr>
          <w:rFonts w:ascii="Times New Roman"/>
          <w:b w:val="false"/>
          <w:i w:val="false"/>
          <w:color w:val="000000"/>
          <w:sz w:val="28"/>
        </w:rPr>
        <w:t>
      18) на этапе прекращения выпуска продукции: хранение документации; хранение образцов;</w:t>
      </w:r>
    </w:p>
    <w:bookmarkEnd w:id="3947"/>
    <w:bookmarkStart w:name="z4053" w:id="3948"/>
    <w:p>
      <w:pPr>
        <w:spacing w:after="0"/>
        <w:ind w:left="0"/>
        <w:jc w:val="both"/>
      </w:pPr>
      <w:r>
        <w:rPr>
          <w:rFonts w:ascii="Times New Roman"/>
          <w:b w:val="false"/>
          <w:i w:val="false"/>
          <w:color w:val="000000"/>
          <w:sz w:val="28"/>
        </w:rPr>
        <w:t>
      19) продолжающаяся оценка продукции и составление отчетов.</w:t>
      </w:r>
    </w:p>
    <w:bookmarkEnd w:id="3948"/>
    <w:bookmarkStart w:name="z4054" w:id="3949"/>
    <w:p>
      <w:pPr>
        <w:spacing w:after="0"/>
        <w:ind w:left="0"/>
        <w:jc w:val="left"/>
      </w:pPr>
      <w:r>
        <w:rPr>
          <w:rFonts w:ascii="Times New Roman"/>
          <w:b/>
          <w:i w:val="false"/>
          <w:color w:val="000000"/>
        </w:rPr>
        <w:t xml:space="preserve"> Параграф 4. Взаимосвязь настоящей главы с требованиями части I настоящего Стандарта, стандартами ISO и документом ICH Q7</w:t>
      </w:r>
    </w:p>
    <w:bookmarkEnd w:id="3949"/>
    <w:bookmarkStart w:name="z4055" w:id="3950"/>
    <w:p>
      <w:pPr>
        <w:spacing w:after="0"/>
        <w:ind w:left="0"/>
        <w:jc w:val="both"/>
      </w:pPr>
      <w:r>
        <w:rPr>
          <w:rFonts w:ascii="Times New Roman"/>
          <w:b w:val="false"/>
          <w:i w:val="false"/>
          <w:color w:val="000000"/>
          <w:sz w:val="28"/>
        </w:rPr>
        <w:t>
      704. Требования настоящего Стандарта, Руководство ІСН Q7 "Правила надлежащего производства активных фармацевтических субстанций" и Руководства системой управления качества ISO являются основой настоящей главы. Для достижения изложенных ниже целей настоящая глава расширяет часть I настоящего Стандарта описанием характерных элементов системы качества и ответственности руководства. Настоящий раздел обеспечивает модель, сочетающую фармацевтическую систему качества на всех этапах жизненного цикла продукции с требованиями настоящего Стандарта для их совместного применения.</w:t>
      </w:r>
    </w:p>
    <w:bookmarkEnd w:id="3950"/>
    <w:bookmarkStart w:name="z4056" w:id="3951"/>
    <w:p>
      <w:pPr>
        <w:spacing w:after="0"/>
        <w:ind w:left="0"/>
        <w:jc w:val="both"/>
      </w:pPr>
      <w:r>
        <w:rPr>
          <w:rFonts w:ascii="Times New Roman"/>
          <w:b w:val="false"/>
          <w:i w:val="false"/>
          <w:color w:val="000000"/>
          <w:sz w:val="28"/>
        </w:rPr>
        <w:t>
      Требования настоящего Стандарта не направлены непосредственно на все этапы жизненного цикла продукции (например, на разработку). Элементы фармацевтической системы качества и отвечает руководства, описанные в настоящей главе, предназначены для содействия применению научных подходов и подходов, основанных на оценке рисков, на каждом этапе жизненного цикла продукции, способствуя тем самым постоянному улучшению продукции на протяжении всего жизненного цикла.</w:t>
      </w:r>
    </w:p>
    <w:bookmarkEnd w:id="3951"/>
    <w:bookmarkStart w:name="z4057" w:id="3952"/>
    <w:p>
      <w:pPr>
        <w:spacing w:after="0"/>
        <w:ind w:left="0"/>
        <w:jc w:val="left"/>
      </w:pPr>
      <w:r>
        <w:rPr>
          <w:rFonts w:ascii="Times New Roman"/>
          <w:b/>
          <w:i w:val="false"/>
          <w:color w:val="000000"/>
        </w:rPr>
        <w:t xml:space="preserve"> Параграф 5. Взаимосвязь настоящего документа с принципами государственного контроля</w:t>
      </w:r>
    </w:p>
    <w:bookmarkEnd w:id="3952"/>
    <w:bookmarkStart w:name="z4058" w:id="3953"/>
    <w:p>
      <w:pPr>
        <w:spacing w:after="0"/>
        <w:ind w:left="0"/>
        <w:jc w:val="both"/>
      </w:pPr>
      <w:r>
        <w:rPr>
          <w:rFonts w:ascii="Times New Roman"/>
          <w:b w:val="false"/>
          <w:i w:val="false"/>
          <w:color w:val="000000"/>
          <w:sz w:val="28"/>
        </w:rPr>
        <w:t xml:space="preserve">
      705. Принципы государственного контроля в отношении определенной продукции или предприятия-производителя соответствуют уровню продукции, пониманию процесса, результатам управления рисками для качества и эффективности фармацевтической системы качества. Эффективность фармацевтической системы качества после ее внедрения подтверждается в обычном режиме при проведении инспекций предприятия уполномоченными органами. Потенциальные возможности улучшения научных и основанных на анализе рисков надзорных подходов изложены в дополнении № 1 к настоящего Стандарта. </w:t>
      </w:r>
    </w:p>
    <w:bookmarkEnd w:id="3953"/>
    <w:bookmarkStart w:name="z4059" w:id="3954"/>
    <w:p>
      <w:pPr>
        <w:spacing w:after="0"/>
        <w:ind w:left="0"/>
        <w:jc w:val="left"/>
      </w:pPr>
      <w:r>
        <w:rPr>
          <w:rFonts w:ascii="Times New Roman"/>
          <w:b/>
          <w:i w:val="false"/>
          <w:color w:val="000000"/>
        </w:rPr>
        <w:t xml:space="preserve"> Параграф 6. Цели настоящего документа</w:t>
      </w:r>
    </w:p>
    <w:bookmarkEnd w:id="3954"/>
    <w:bookmarkStart w:name="z4060" w:id="3955"/>
    <w:p>
      <w:pPr>
        <w:spacing w:after="0"/>
        <w:ind w:left="0"/>
        <w:jc w:val="both"/>
      </w:pPr>
      <w:r>
        <w:rPr>
          <w:rFonts w:ascii="Times New Roman"/>
          <w:b w:val="false"/>
          <w:i w:val="false"/>
          <w:color w:val="000000"/>
          <w:sz w:val="28"/>
        </w:rPr>
        <w:t>
      706. Внедрение модели фармацевтической системы качества приведет к достижению 3 основных целей, которые дополняют или совершенствуют требования настоящего Стандарта:</w:t>
      </w:r>
    </w:p>
    <w:bookmarkEnd w:id="3955"/>
    <w:bookmarkStart w:name="z4061" w:id="3956"/>
    <w:p>
      <w:pPr>
        <w:spacing w:after="0"/>
        <w:ind w:left="0"/>
        <w:jc w:val="both"/>
      </w:pPr>
      <w:r>
        <w:rPr>
          <w:rFonts w:ascii="Times New Roman"/>
          <w:b w:val="false"/>
          <w:i w:val="false"/>
          <w:color w:val="000000"/>
          <w:sz w:val="28"/>
        </w:rPr>
        <w:t>
      достичь реализации продукции (создать, внедрить и поддерживать систему, которая обеспечивает поставку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и внешних потребителей);</w:t>
      </w:r>
    </w:p>
    <w:bookmarkEnd w:id="3956"/>
    <w:bookmarkStart w:name="z4062" w:id="3957"/>
    <w:p>
      <w:pPr>
        <w:spacing w:after="0"/>
        <w:ind w:left="0"/>
        <w:jc w:val="both"/>
      </w:pPr>
      <w:r>
        <w:rPr>
          <w:rFonts w:ascii="Times New Roman"/>
          <w:b w:val="false"/>
          <w:i w:val="false"/>
          <w:color w:val="000000"/>
          <w:sz w:val="28"/>
        </w:rPr>
        <w:t>
      установить и поддерживать контролируемое состояние (разработать и использовать эффективные системы мониторинга и контроля эффективности процесса и качества продукции, обеспечивая таким образом гарантию пригодности и возможностей процессов. При организации систем мониторинга и контроля может быть полезным управление рисками для качества);</w:t>
      </w:r>
    </w:p>
    <w:bookmarkEnd w:id="3957"/>
    <w:bookmarkStart w:name="z4063" w:id="3958"/>
    <w:p>
      <w:pPr>
        <w:spacing w:after="0"/>
        <w:ind w:left="0"/>
        <w:jc w:val="both"/>
      </w:pPr>
      <w:r>
        <w:rPr>
          <w:rFonts w:ascii="Times New Roman"/>
          <w:b w:val="false"/>
          <w:i w:val="false"/>
          <w:color w:val="000000"/>
          <w:sz w:val="28"/>
        </w:rPr>
        <w:t>
      способствовать постоянному улучшению (выявлять и внедрять соответствующие методы улучшения качества продукции и процессов, снижения их нестабильности принимать инновационные решения и улучшать фармацевтическую систему качества, обеспечивая таким образом постоянное удовлетворение потребностей в отношении качества. При выявлении приоритетных областей, требующих постоянного улучшения, может быть полезным управление рисками для качества).</w:t>
      </w:r>
    </w:p>
    <w:bookmarkEnd w:id="3958"/>
    <w:bookmarkStart w:name="z4064" w:id="3959"/>
    <w:p>
      <w:pPr>
        <w:spacing w:after="0"/>
        <w:ind w:left="0"/>
        <w:jc w:val="left"/>
      </w:pPr>
      <w:r>
        <w:rPr>
          <w:rFonts w:ascii="Times New Roman"/>
          <w:b/>
          <w:i w:val="false"/>
          <w:color w:val="000000"/>
        </w:rPr>
        <w:t xml:space="preserve"> Параграф 7. Средства улучшения: управление знаниями и управление рисками для качества</w:t>
      </w:r>
    </w:p>
    <w:bookmarkEnd w:id="3959"/>
    <w:bookmarkStart w:name="z4065" w:id="3960"/>
    <w:p>
      <w:pPr>
        <w:spacing w:after="0"/>
        <w:ind w:left="0"/>
        <w:jc w:val="both"/>
      </w:pPr>
      <w:r>
        <w:rPr>
          <w:rFonts w:ascii="Times New Roman"/>
          <w:b w:val="false"/>
          <w:i w:val="false"/>
          <w:color w:val="000000"/>
          <w:sz w:val="28"/>
        </w:rPr>
        <w:t>
      707. Управление знаниями и управление рисками для качества являются средствами, которые дают возможность предприятиям эффективно и успешно применить настоящую главу. Эти средства будут способствовать достижению целей, описанных в пункте 706 настоящей главы, и обеспечат основания для принятия решений, основанных на научных знаниях и знаниях о рисках в отношении качества продукции.</w:t>
      </w:r>
    </w:p>
    <w:bookmarkEnd w:id="3960"/>
    <w:bookmarkStart w:name="z4066" w:id="3961"/>
    <w:p>
      <w:pPr>
        <w:spacing w:after="0"/>
        <w:ind w:left="0"/>
        <w:jc w:val="left"/>
      </w:pPr>
      <w:r>
        <w:rPr>
          <w:rFonts w:ascii="Times New Roman"/>
          <w:b/>
          <w:i w:val="false"/>
          <w:color w:val="000000"/>
        </w:rPr>
        <w:t xml:space="preserve"> Параграф 8. Управление знаниями</w:t>
      </w:r>
    </w:p>
    <w:bookmarkEnd w:id="3961"/>
    <w:bookmarkStart w:name="z4067" w:id="3962"/>
    <w:p>
      <w:pPr>
        <w:spacing w:after="0"/>
        <w:ind w:left="0"/>
        <w:jc w:val="both"/>
      </w:pPr>
      <w:r>
        <w:rPr>
          <w:rFonts w:ascii="Times New Roman"/>
          <w:b w:val="false"/>
          <w:i w:val="false"/>
          <w:color w:val="000000"/>
          <w:sz w:val="28"/>
        </w:rPr>
        <w:t>
      708. Знаниями о продукции и процессах управляют при разработке, на протяжении периода нахождения продукции на рынке и до прекращения ее производства и медицинского применения. Например, деятельность при разработке с использованием научных подходов обеспечивает знание продукции и понимание процессов. Управление знаниями является систематическим подходом, который заключается в приобретении, анализе, накоплении и распространении информации о продукции, технологических процессах и компонентах. Источники информации включают в себя, в том числе, первично знания (общеизвестные или документально оформленные внутри предприятия), исследования в области фармацевтических разработок, деятельность по переносу технологий, исследования по валидации процессов на протяжении жизненного цикла продукции, опыт производства, инновации, постоянное улучшение и деятельность, направленную на управление изменениями.</w:t>
      </w:r>
    </w:p>
    <w:bookmarkEnd w:id="3962"/>
    <w:bookmarkStart w:name="z4068" w:id="3963"/>
    <w:p>
      <w:pPr>
        <w:spacing w:after="0"/>
        <w:ind w:left="0"/>
        <w:jc w:val="left"/>
      </w:pPr>
      <w:r>
        <w:rPr>
          <w:rFonts w:ascii="Times New Roman"/>
          <w:b/>
          <w:i w:val="false"/>
          <w:color w:val="000000"/>
        </w:rPr>
        <w:t xml:space="preserve"> Параграф 9. Управление рисками для качества</w:t>
      </w:r>
    </w:p>
    <w:bookmarkEnd w:id="3963"/>
    <w:bookmarkStart w:name="z4069" w:id="3964"/>
    <w:p>
      <w:pPr>
        <w:spacing w:after="0"/>
        <w:ind w:left="0"/>
        <w:jc w:val="both"/>
      </w:pPr>
      <w:r>
        <w:rPr>
          <w:rFonts w:ascii="Times New Roman"/>
          <w:b w:val="false"/>
          <w:i w:val="false"/>
          <w:color w:val="000000"/>
          <w:sz w:val="28"/>
        </w:rPr>
        <w:t>
      709. Управление рисками для качества является неотъемлемой частью фармацевтической системы качества. Оно обеспечивает профилактический подход к выявлению, научной оценке и контролю потенциальных рисков для качества. Это способствует постоянному улучшению эффективности процесса и качества продукции на всех этапах жизненного цикла. Положения главы II настоящей части Стандарта представляют принципы и примеры инструментов по управлению рисками для качества, которые могут применяться к различным аспектам фармацевтического качества.</w:t>
      </w:r>
    </w:p>
    <w:bookmarkEnd w:id="3964"/>
    <w:bookmarkStart w:name="z4070" w:id="3965"/>
    <w:p>
      <w:pPr>
        <w:spacing w:after="0"/>
        <w:ind w:left="0"/>
        <w:jc w:val="left"/>
      </w:pPr>
      <w:r>
        <w:rPr>
          <w:rFonts w:ascii="Times New Roman"/>
          <w:b/>
          <w:i w:val="false"/>
          <w:color w:val="000000"/>
        </w:rPr>
        <w:t xml:space="preserve"> Параграф 10. Структура и содержание фармацевтической системы качества</w:t>
      </w:r>
    </w:p>
    <w:bookmarkEnd w:id="3965"/>
    <w:bookmarkStart w:name="z4071" w:id="3966"/>
    <w:p>
      <w:pPr>
        <w:spacing w:after="0"/>
        <w:ind w:left="0"/>
        <w:jc w:val="both"/>
      </w:pPr>
      <w:r>
        <w:rPr>
          <w:rFonts w:ascii="Times New Roman"/>
          <w:b w:val="false"/>
          <w:i w:val="false"/>
          <w:color w:val="000000"/>
          <w:sz w:val="28"/>
        </w:rPr>
        <w:t>
      710. Структура, организация и документальное оформление фармацевтической системы качества понятные и четко структурированные для облегчения общего понимания и последовательного применения.</w:t>
      </w:r>
    </w:p>
    <w:bookmarkEnd w:id="3966"/>
    <w:bookmarkStart w:name="z4072" w:id="3967"/>
    <w:p>
      <w:pPr>
        <w:spacing w:after="0"/>
        <w:ind w:left="0"/>
        <w:jc w:val="both"/>
      </w:pPr>
      <w:r>
        <w:rPr>
          <w:rFonts w:ascii="Times New Roman"/>
          <w:b w:val="false"/>
          <w:i w:val="false"/>
          <w:color w:val="000000"/>
          <w:sz w:val="28"/>
        </w:rPr>
        <w:t>
      При разработке новой фармацевтической системы качества или при модификации существующей системы учитываются объем и сложность деятельности предприятия. В структуру фармацевтической системы качества включает соответствующие принципы управления рисками. Хотя некоторые аспекты фармацевтической системы качества могут применяться к деятельности всего предприятия, а иные - только к определенным подразделениям, эффективность внедрения фармацевтической системы качества обычно демонстрируется на уровне подразделения.</w:t>
      </w:r>
    </w:p>
    <w:bookmarkEnd w:id="3967"/>
    <w:bookmarkStart w:name="z4073" w:id="3968"/>
    <w:p>
      <w:pPr>
        <w:spacing w:after="0"/>
        <w:ind w:left="0"/>
        <w:jc w:val="both"/>
      </w:pPr>
      <w:r>
        <w:rPr>
          <w:rFonts w:ascii="Times New Roman"/>
          <w:b w:val="false"/>
          <w:i w:val="false"/>
          <w:color w:val="000000"/>
          <w:sz w:val="28"/>
        </w:rPr>
        <w:t>
      Фармацевтическая система качества включает соответствующие процессы, ресурсы и отвечающий для обеспечения качества работ по контракту и закупаемого сырья и материалов, как описано в пункте 719 настоящей главы.</w:t>
      </w:r>
    </w:p>
    <w:bookmarkEnd w:id="3968"/>
    <w:bookmarkStart w:name="z4074" w:id="3969"/>
    <w:p>
      <w:pPr>
        <w:spacing w:after="0"/>
        <w:ind w:left="0"/>
        <w:jc w:val="both"/>
      </w:pPr>
      <w:r>
        <w:rPr>
          <w:rFonts w:ascii="Times New Roman"/>
          <w:b w:val="false"/>
          <w:i w:val="false"/>
          <w:color w:val="000000"/>
          <w:sz w:val="28"/>
        </w:rPr>
        <w:t>
      Фармацевтическая система качества включает следующие элементы: мониторинг эффективности процесса и качества продукции, корректирующие и предупреждающие действия, управление изменениями и проверки со стороны руководства, как описано в разделе 3 настоящей главы.</w:t>
      </w:r>
    </w:p>
    <w:bookmarkEnd w:id="3969"/>
    <w:bookmarkStart w:name="z4075" w:id="3970"/>
    <w:p>
      <w:pPr>
        <w:spacing w:after="0"/>
        <w:ind w:left="0"/>
        <w:jc w:val="both"/>
      </w:pPr>
      <w:r>
        <w:rPr>
          <w:rFonts w:ascii="Times New Roman"/>
          <w:b w:val="false"/>
          <w:i w:val="false"/>
          <w:color w:val="000000"/>
          <w:sz w:val="28"/>
        </w:rPr>
        <w:t>
      Основные показатели результативности выявляются и используются для проверки эффективности процессов в рамках фармацевтической системы качества, как описано в разделе 4 настоящей главы.</w:t>
      </w:r>
    </w:p>
    <w:bookmarkEnd w:id="3970"/>
    <w:bookmarkStart w:name="z4076" w:id="3971"/>
    <w:p>
      <w:pPr>
        <w:spacing w:after="0"/>
        <w:ind w:left="0"/>
        <w:jc w:val="left"/>
      </w:pPr>
      <w:r>
        <w:rPr>
          <w:rFonts w:ascii="Times New Roman"/>
          <w:b/>
          <w:i w:val="false"/>
          <w:color w:val="000000"/>
        </w:rPr>
        <w:t xml:space="preserve"> Параграф 11. Руководство по качеству</w:t>
      </w:r>
    </w:p>
    <w:bookmarkEnd w:id="3971"/>
    <w:bookmarkStart w:name="z4077" w:id="3972"/>
    <w:p>
      <w:pPr>
        <w:spacing w:after="0"/>
        <w:ind w:left="0"/>
        <w:jc w:val="both"/>
      </w:pPr>
      <w:r>
        <w:rPr>
          <w:rFonts w:ascii="Times New Roman"/>
          <w:b w:val="false"/>
          <w:i w:val="false"/>
          <w:color w:val="000000"/>
          <w:sz w:val="28"/>
        </w:rPr>
        <w:t>
      711. Разработано руководство по качеству или равноценный документ, включающий в себя описание фармацевтической системы качества, в том числе:</w:t>
      </w:r>
    </w:p>
    <w:bookmarkEnd w:id="3972"/>
    <w:bookmarkStart w:name="z4078" w:id="3973"/>
    <w:p>
      <w:pPr>
        <w:spacing w:after="0"/>
        <w:ind w:left="0"/>
        <w:jc w:val="both"/>
      </w:pPr>
      <w:r>
        <w:rPr>
          <w:rFonts w:ascii="Times New Roman"/>
          <w:b w:val="false"/>
          <w:i w:val="false"/>
          <w:color w:val="000000"/>
          <w:sz w:val="28"/>
        </w:rPr>
        <w:t>
      политику в области качества;</w:t>
      </w:r>
    </w:p>
    <w:bookmarkEnd w:id="3973"/>
    <w:bookmarkStart w:name="z4079" w:id="3974"/>
    <w:p>
      <w:pPr>
        <w:spacing w:after="0"/>
        <w:ind w:left="0"/>
        <w:jc w:val="both"/>
      </w:pPr>
      <w:r>
        <w:rPr>
          <w:rFonts w:ascii="Times New Roman"/>
          <w:b w:val="false"/>
          <w:i w:val="false"/>
          <w:color w:val="000000"/>
          <w:sz w:val="28"/>
        </w:rPr>
        <w:t>
      в описание сферы применения фармацевтической системы качества; определение процессов в рамках фармацевтической системы качества, а также их последовательности, взаимосвязи и взаимозависимости. Карты процессов и графики потоков могут быть полезными инструментами для облегчения описания их в графическом виде;</w:t>
      </w:r>
    </w:p>
    <w:bookmarkEnd w:id="3974"/>
    <w:bookmarkStart w:name="z4080" w:id="3975"/>
    <w:p>
      <w:pPr>
        <w:spacing w:after="0"/>
        <w:ind w:left="0"/>
        <w:jc w:val="both"/>
      </w:pPr>
      <w:r>
        <w:rPr>
          <w:rFonts w:ascii="Times New Roman"/>
          <w:b w:val="false"/>
          <w:i w:val="false"/>
          <w:color w:val="000000"/>
          <w:sz w:val="28"/>
        </w:rPr>
        <w:t>
      описание ответственности руководства в рамках фармацевтической системы качества.</w:t>
      </w:r>
    </w:p>
    <w:bookmarkEnd w:id="3975"/>
    <w:bookmarkStart w:name="z4081" w:id="3976"/>
    <w:p>
      <w:pPr>
        <w:spacing w:after="0"/>
        <w:ind w:left="0"/>
        <w:jc w:val="left"/>
      </w:pPr>
      <w:r>
        <w:rPr>
          <w:rFonts w:ascii="Times New Roman"/>
          <w:b/>
          <w:i w:val="false"/>
          <w:color w:val="000000"/>
        </w:rPr>
        <w:t xml:space="preserve"> Параграф 12. Руководства</w:t>
      </w:r>
    </w:p>
    <w:bookmarkEnd w:id="3976"/>
    <w:bookmarkStart w:name="z4082" w:id="3977"/>
    <w:p>
      <w:pPr>
        <w:spacing w:after="0"/>
        <w:ind w:left="0"/>
        <w:jc w:val="both"/>
      </w:pPr>
      <w:r>
        <w:rPr>
          <w:rFonts w:ascii="Times New Roman"/>
          <w:b w:val="false"/>
          <w:i w:val="false"/>
          <w:color w:val="000000"/>
          <w:sz w:val="28"/>
        </w:rPr>
        <w:t>
      712. Руководство отвечает за предприятия установление и обеспечение выполнения обязательств в отношении качества продукции и эффективности фармацевтической системы качества на уровне предприятия.</w:t>
      </w:r>
    </w:p>
    <w:bookmarkEnd w:id="3977"/>
    <w:bookmarkStart w:name="z4083" w:id="3978"/>
    <w:p>
      <w:pPr>
        <w:spacing w:after="0"/>
        <w:ind w:left="0"/>
        <w:jc w:val="left"/>
      </w:pPr>
      <w:r>
        <w:rPr>
          <w:rFonts w:ascii="Times New Roman"/>
          <w:b/>
          <w:i w:val="false"/>
          <w:color w:val="000000"/>
        </w:rPr>
        <w:t xml:space="preserve"> Параграф 13. Руководство</w:t>
      </w:r>
    </w:p>
    <w:bookmarkEnd w:id="3978"/>
    <w:bookmarkStart w:name="z4084" w:id="3979"/>
    <w:p>
      <w:pPr>
        <w:spacing w:after="0"/>
        <w:ind w:left="0"/>
        <w:jc w:val="both"/>
      </w:pPr>
      <w:r>
        <w:rPr>
          <w:rFonts w:ascii="Times New Roman"/>
          <w:b w:val="false"/>
          <w:i w:val="false"/>
          <w:color w:val="000000"/>
          <w:sz w:val="28"/>
        </w:rPr>
        <w:t>
      713. При достижении целей в сфере качества высшее руководство отвечает за основную обеспечение внедрения эффективной фармацевтической системы качества, определение обязанностей, ответственности и полномочий, доведение их до сведения персонала, а также исполнение их всеми подразделениями предприятия.</w:t>
      </w:r>
    </w:p>
    <w:bookmarkEnd w:id="3979"/>
    <w:bookmarkStart w:name="z4085" w:id="3980"/>
    <w:p>
      <w:pPr>
        <w:spacing w:after="0"/>
        <w:ind w:left="0"/>
        <w:jc w:val="both"/>
      </w:pPr>
      <w:r>
        <w:rPr>
          <w:rFonts w:ascii="Times New Roman"/>
          <w:b w:val="false"/>
          <w:i w:val="false"/>
          <w:color w:val="000000"/>
          <w:sz w:val="28"/>
        </w:rPr>
        <w:t>
      Руководство:</w:t>
      </w:r>
    </w:p>
    <w:bookmarkEnd w:id="3980"/>
    <w:bookmarkStart w:name="z4086" w:id="3981"/>
    <w:p>
      <w:pPr>
        <w:spacing w:after="0"/>
        <w:ind w:left="0"/>
        <w:jc w:val="both"/>
      </w:pPr>
      <w:r>
        <w:rPr>
          <w:rFonts w:ascii="Times New Roman"/>
          <w:b w:val="false"/>
          <w:i w:val="false"/>
          <w:color w:val="000000"/>
          <w:sz w:val="28"/>
        </w:rPr>
        <w:t>
      1) участвует в разработке, внедрении, мониторинге и поддержании фармацевтической системы качества;</w:t>
      </w:r>
    </w:p>
    <w:bookmarkEnd w:id="3981"/>
    <w:bookmarkStart w:name="z4087" w:id="3982"/>
    <w:p>
      <w:pPr>
        <w:spacing w:after="0"/>
        <w:ind w:left="0"/>
        <w:jc w:val="both"/>
      </w:pPr>
      <w:r>
        <w:rPr>
          <w:rFonts w:ascii="Times New Roman"/>
          <w:b w:val="false"/>
          <w:i w:val="false"/>
          <w:color w:val="000000"/>
          <w:sz w:val="28"/>
        </w:rPr>
        <w:t>
      2) демонстрирует поддержку фармацевтической системы качества и гарантировать ее внедрение на всех уровнях предприятия;</w:t>
      </w:r>
    </w:p>
    <w:bookmarkEnd w:id="3982"/>
    <w:bookmarkStart w:name="z4088" w:id="3983"/>
    <w:p>
      <w:pPr>
        <w:spacing w:after="0"/>
        <w:ind w:left="0"/>
        <w:jc w:val="both"/>
      </w:pPr>
      <w:r>
        <w:rPr>
          <w:rFonts w:ascii="Times New Roman"/>
          <w:b w:val="false"/>
          <w:i w:val="false"/>
          <w:color w:val="000000"/>
          <w:sz w:val="28"/>
        </w:rPr>
        <w:t>
      3) обеспечивает наличие своевременных и эффективных средств связи и процедур распространения информации для доведения сведений проблемах качества до руководства соответствующего уровня;</w:t>
      </w:r>
    </w:p>
    <w:bookmarkEnd w:id="3983"/>
    <w:bookmarkStart w:name="z4089" w:id="3984"/>
    <w:p>
      <w:pPr>
        <w:spacing w:after="0"/>
        <w:ind w:left="0"/>
        <w:jc w:val="both"/>
      </w:pPr>
      <w:r>
        <w:rPr>
          <w:rFonts w:ascii="Times New Roman"/>
          <w:b w:val="false"/>
          <w:i w:val="false"/>
          <w:color w:val="000000"/>
          <w:sz w:val="28"/>
        </w:rPr>
        <w:t>
      4) определяет персональные и коллективные обязанности и полномочия, а также взаимосвязи всех структурных подразделений, имеющих отношение к фармацевтической системе качества. Гарантирует, что эти взаимосвязи установлены и поняты на всех уровнях организации. Требуется наличие независимого отдела (подразделения), ответственного за качество, имеющего полномочия на осуществление определенных обязанностей, связанных с фармацевтической системой качества;</w:t>
      </w:r>
    </w:p>
    <w:bookmarkEnd w:id="3984"/>
    <w:bookmarkStart w:name="z4090" w:id="3985"/>
    <w:p>
      <w:pPr>
        <w:spacing w:after="0"/>
        <w:ind w:left="0"/>
        <w:jc w:val="both"/>
      </w:pPr>
      <w:r>
        <w:rPr>
          <w:rFonts w:ascii="Times New Roman"/>
          <w:b w:val="false"/>
          <w:i w:val="false"/>
          <w:color w:val="000000"/>
          <w:sz w:val="28"/>
        </w:rPr>
        <w:t>
      5) проводит проверки в отношении эффективности процесса и качества продукции, а также фармацевтической системы качества;</w:t>
      </w:r>
    </w:p>
    <w:bookmarkEnd w:id="3985"/>
    <w:bookmarkStart w:name="z4091" w:id="3986"/>
    <w:p>
      <w:pPr>
        <w:spacing w:after="0"/>
        <w:ind w:left="0"/>
        <w:jc w:val="both"/>
      </w:pPr>
      <w:r>
        <w:rPr>
          <w:rFonts w:ascii="Times New Roman"/>
          <w:b w:val="false"/>
          <w:i w:val="false"/>
          <w:color w:val="000000"/>
          <w:sz w:val="28"/>
        </w:rPr>
        <w:t>
      поддерживает постоянное улучшение;</w:t>
      </w:r>
    </w:p>
    <w:bookmarkEnd w:id="3986"/>
    <w:bookmarkStart w:name="z4092" w:id="3987"/>
    <w:p>
      <w:pPr>
        <w:spacing w:after="0"/>
        <w:ind w:left="0"/>
        <w:jc w:val="both"/>
      </w:pPr>
      <w:r>
        <w:rPr>
          <w:rFonts w:ascii="Times New Roman"/>
          <w:b w:val="false"/>
          <w:i w:val="false"/>
          <w:color w:val="000000"/>
          <w:sz w:val="28"/>
        </w:rPr>
        <w:t>
      выделяет соответствующие ресурсы.</w:t>
      </w:r>
    </w:p>
    <w:bookmarkEnd w:id="3987"/>
    <w:bookmarkStart w:name="z4093" w:id="3988"/>
    <w:p>
      <w:pPr>
        <w:spacing w:after="0"/>
        <w:ind w:left="0"/>
        <w:jc w:val="left"/>
      </w:pPr>
      <w:r>
        <w:rPr>
          <w:rFonts w:ascii="Times New Roman"/>
          <w:b/>
          <w:i w:val="false"/>
          <w:color w:val="000000"/>
        </w:rPr>
        <w:t xml:space="preserve"> Параграф 14. Политика в области качества</w:t>
      </w:r>
    </w:p>
    <w:bookmarkEnd w:id="3988"/>
    <w:bookmarkStart w:name="z4094" w:id="3989"/>
    <w:p>
      <w:pPr>
        <w:spacing w:after="0"/>
        <w:ind w:left="0"/>
        <w:jc w:val="both"/>
      </w:pPr>
      <w:r>
        <w:rPr>
          <w:rFonts w:ascii="Times New Roman"/>
          <w:b w:val="false"/>
          <w:i w:val="false"/>
          <w:color w:val="000000"/>
          <w:sz w:val="28"/>
        </w:rPr>
        <w:t>
      714. Руководство устанавливает политику в области качества, которая описывает общие цели и направления деятельности предприятия в отношении качества.</w:t>
      </w:r>
    </w:p>
    <w:bookmarkEnd w:id="3989"/>
    <w:bookmarkStart w:name="z4095" w:id="3990"/>
    <w:p>
      <w:pPr>
        <w:spacing w:after="0"/>
        <w:ind w:left="0"/>
        <w:jc w:val="both"/>
      </w:pPr>
      <w:r>
        <w:rPr>
          <w:rFonts w:ascii="Times New Roman"/>
          <w:b w:val="false"/>
          <w:i w:val="false"/>
          <w:color w:val="000000"/>
          <w:sz w:val="28"/>
        </w:rPr>
        <w:t>
      Политика в области качества включает в себя цели выполнения установленных требований, а также способствовать постоянному улучшению фармацевтической системы качества.</w:t>
      </w:r>
    </w:p>
    <w:bookmarkEnd w:id="3990"/>
    <w:bookmarkStart w:name="z4096" w:id="3991"/>
    <w:p>
      <w:pPr>
        <w:spacing w:after="0"/>
        <w:ind w:left="0"/>
        <w:jc w:val="both"/>
      </w:pPr>
      <w:r>
        <w:rPr>
          <w:rFonts w:ascii="Times New Roman"/>
          <w:b w:val="false"/>
          <w:i w:val="false"/>
          <w:color w:val="000000"/>
          <w:sz w:val="28"/>
        </w:rPr>
        <w:t>
      Политика в области качества доводится до сведения и разъясняться персоналу на всех уровнях предприятия.</w:t>
      </w:r>
    </w:p>
    <w:bookmarkEnd w:id="3991"/>
    <w:bookmarkStart w:name="z4097" w:id="3992"/>
    <w:p>
      <w:pPr>
        <w:spacing w:after="0"/>
        <w:ind w:left="0"/>
        <w:jc w:val="both"/>
      </w:pPr>
      <w:r>
        <w:rPr>
          <w:rFonts w:ascii="Times New Roman"/>
          <w:b w:val="false"/>
          <w:i w:val="false"/>
          <w:color w:val="000000"/>
          <w:sz w:val="28"/>
        </w:rPr>
        <w:t>
      Для обеспечения постоянной эффективности политика в области качества периодически пересматривается.</w:t>
      </w:r>
    </w:p>
    <w:bookmarkEnd w:id="3992"/>
    <w:bookmarkStart w:name="z4098" w:id="3993"/>
    <w:p>
      <w:pPr>
        <w:spacing w:after="0"/>
        <w:ind w:left="0"/>
        <w:jc w:val="left"/>
      </w:pPr>
      <w:r>
        <w:rPr>
          <w:rFonts w:ascii="Times New Roman"/>
          <w:b/>
          <w:i w:val="false"/>
          <w:color w:val="000000"/>
        </w:rPr>
        <w:t xml:space="preserve"> Параграф 15. Планирование качества</w:t>
      </w:r>
    </w:p>
    <w:bookmarkEnd w:id="3993"/>
    <w:bookmarkStart w:name="z4099" w:id="3994"/>
    <w:p>
      <w:pPr>
        <w:spacing w:after="0"/>
        <w:ind w:left="0"/>
        <w:jc w:val="both"/>
      </w:pPr>
      <w:r>
        <w:rPr>
          <w:rFonts w:ascii="Times New Roman"/>
          <w:b w:val="false"/>
          <w:i w:val="false"/>
          <w:color w:val="000000"/>
          <w:sz w:val="28"/>
        </w:rPr>
        <w:t>
      715. Высшее руководство обеспечивает определение и доведение до сведения персонала целей качества, необходимых для внедрения политики в области качества.</w:t>
      </w:r>
    </w:p>
    <w:bookmarkEnd w:id="3994"/>
    <w:bookmarkStart w:name="z4100" w:id="3995"/>
    <w:p>
      <w:pPr>
        <w:spacing w:after="0"/>
        <w:ind w:left="0"/>
        <w:jc w:val="both"/>
      </w:pPr>
      <w:r>
        <w:rPr>
          <w:rFonts w:ascii="Times New Roman"/>
          <w:b w:val="false"/>
          <w:i w:val="false"/>
          <w:color w:val="000000"/>
          <w:sz w:val="28"/>
        </w:rPr>
        <w:t>
      Цели качества поддерживается на всех уровнях предприятия.</w:t>
      </w:r>
    </w:p>
    <w:bookmarkEnd w:id="3995"/>
    <w:bookmarkStart w:name="z4101" w:id="3996"/>
    <w:p>
      <w:pPr>
        <w:spacing w:after="0"/>
        <w:ind w:left="0"/>
        <w:jc w:val="both"/>
      </w:pPr>
      <w:r>
        <w:rPr>
          <w:rFonts w:ascii="Times New Roman"/>
          <w:b w:val="false"/>
          <w:i w:val="false"/>
          <w:color w:val="000000"/>
          <w:sz w:val="28"/>
        </w:rPr>
        <w:t>
      Цели качества соответствуют стратегическим планам предприятия и согласовываться с политикой в области качества.</w:t>
      </w:r>
    </w:p>
    <w:bookmarkEnd w:id="3996"/>
    <w:bookmarkStart w:name="z4102" w:id="3997"/>
    <w:p>
      <w:pPr>
        <w:spacing w:after="0"/>
        <w:ind w:left="0"/>
        <w:jc w:val="both"/>
      </w:pPr>
      <w:r>
        <w:rPr>
          <w:rFonts w:ascii="Times New Roman"/>
          <w:b w:val="false"/>
          <w:i w:val="false"/>
          <w:color w:val="000000"/>
          <w:sz w:val="28"/>
        </w:rPr>
        <w:t>
      Руководство предоставляет соответствующие ресурсы и возможность обучения для достижения целей качества.</w:t>
      </w:r>
    </w:p>
    <w:bookmarkEnd w:id="3997"/>
    <w:bookmarkStart w:name="z4103" w:id="3998"/>
    <w:p>
      <w:pPr>
        <w:spacing w:after="0"/>
        <w:ind w:left="0"/>
        <w:jc w:val="both"/>
      </w:pPr>
      <w:r>
        <w:rPr>
          <w:rFonts w:ascii="Times New Roman"/>
          <w:b w:val="false"/>
          <w:i w:val="false"/>
          <w:color w:val="000000"/>
          <w:sz w:val="28"/>
        </w:rPr>
        <w:t>
      Устанавливает, контролирует, постоянно доводит до сведения и выполнять показатели эффективности, которые служат мерой достижения целей качества, в соответствии с пунктом 735 настоящей главы.</w:t>
      </w:r>
    </w:p>
    <w:bookmarkEnd w:id="3998"/>
    <w:bookmarkStart w:name="z4104" w:id="3999"/>
    <w:p>
      <w:pPr>
        <w:spacing w:after="0"/>
        <w:ind w:left="0"/>
        <w:jc w:val="both"/>
      </w:pPr>
      <w:r>
        <w:rPr>
          <w:rFonts w:ascii="Times New Roman"/>
          <w:b w:val="false"/>
          <w:i w:val="false"/>
          <w:color w:val="000000"/>
          <w:sz w:val="28"/>
        </w:rPr>
        <w:t>
      716. Управление ресурсами</w:t>
      </w:r>
    </w:p>
    <w:bookmarkEnd w:id="3999"/>
    <w:bookmarkStart w:name="z4105" w:id="4000"/>
    <w:p>
      <w:pPr>
        <w:spacing w:after="0"/>
        <w:ind w:left="0"/>
        <w:jc w:val="both"/>
      </w:pPr>
      <w:r>
        <w:rPr>
          <w:rFonts w:ascii="Times New Roman"/>
          <w:b w:val="false"/>
          <w:i w:val="false"/>
          <w:color w:val="000000"/>
          <w:sz w:val="28"/>
        </w:rPr>
        <w:t>
      Руководство определяет и предоставляет достаточные ресурсы (человеческие, финансовые, материальные, помещения и оборудование) для внедрения и поддержания фармацевтической системы качества и постоянного улучшения ее эффективности.</w:t>
      </w:r>
    </w:p>
    <w:bookmarkEnd w:id="4000"/>
    <w:bookmarkStart w:name="z4106" w:id="4001"/>
    <w:p>
      <w:pPr>
        <w:spacing w:after="0"/>
        <w:ind w:left="0"/>
        <w:jc w:val="both"/>
      </w:pPr>
      <w:r>
        <w:rPr>
          <w:rFonts w:ascii="Times New Roman"/>
          <w:b w:val="false"/>
          <w:i w:val="false"/>
          <w:color w:val="000000"/>
          <w:sz w:val="28"/>
        </w:rPr>
        <w:t>
      Руководство обеспечивает надлежащее использование ресурсов соответственно продукции, процессу или производственной площадке.</w:t>
      </w:r>
    </w:p>
    <w:bookmarkEnd w:id="4001"/>
    <w:bookmarkStart w:name="z4107" w:id="4002"/>
    <w:p>
      <w:pPr>
        <w:spacing w:after="0"/>
        <w:ind w:left="0"/>
        <w:jc w:val="both"/>
      </w:pPr>
      <w:r>
        <w:rPr>
          <w:rFonts w:ascii="Times New Roman"/>
          <w:b w:val="false"/>
          <w:i w:val="false"/>
          <w:color w:val="000000"/>
          <w:sz w:val="28"/>
        </w:rPr>
        <w:t>
      717. Внутренний обмен информацией</w:t>
      </w:r>
    </w:p>
    <w:bookmarkEnd w:id="4002"/>
    <w:bookmarkStart w:name="z4108" w:id="4003"/>
    <w:p>
      <w:pPr>
        <w:spacing w:after="0"/>
        <w:ind w:left="0"/>
        <w:jc w:val="both"/>
      </w:pPr>
      <w:r>
        <w:rPr>
          <w:rFonts w:ascii="Times New Roman"/>
          <w:b w:val="false"/>
          <w:i w:val="false"/>
          <w:color w:val="000000"/>
          <w:sz w:val="28"/>
        </w:rPr>
        <w:t>
      Руководство обеспечивает установление и внедрение внутри предприятия механизмов соответствующего обмена информацией.</w:t>
      </w:r>
    </w:p>
    <w:bookmarkEnd w:id="4003"/>
    <w:bookmarkStart w:name="z4109" w:id="4004"/>
    <w:p>
      <w:pPr>
        <w:spacing w:after="0"/>
        <w:ind w:left="0"/>
        <w:jc w:val="both"/>
      </w:pPr>
      <w:r>
        <w:rPr>
          <w:rFonts w:ascii="Times New Roman"/>
          <w:b w:val="false"/>
          <w:i w:val="false"/>
          <w:color w:val="000000"/>
          <w:sz w:val="28"/>
        </w:rPr>
        <w:t>
      Процессы обмена информацией обеспечивает передачу потока соответствующей информации между всеми уровнями предприятия.</w:t>
      </w:r>
    </w:p>
    <w:bookmarkEnd w:id="4004"/>
    <w:bookmarkStart w:name="z4110" w:id="4005"/>
    <w:p>
      <w:pPr>
        <w:spacing w:after="0"/>
        <w:ind w:left="0"/>
        <w:jc w:val="both"/>
      </w:pPr>
      <w:r>
        <w:rPr>
          <w:rFonts w:ascii="Times New Roman"/>
          <w:b w:val="false"/>
          <w:i w:val="false"/>
          <w:color w:val="000000"/>
          <w:sz w:val="28"/>
        </w:rPr>
        <w:t>
      Процессы обмена информацией обеспечивает своевременную передачу информации об определенных проблемах с качеством продукции и с фармацевтической системой качества.</w:t>
      </w:r>
    </w:p>
    <w:bookmarkEnd w:id="4005"/>
    <w:bookmarkStart w:name="z4111" w:id="4006"/>
    <w:p>
      <w:pPr>
        <w:spacing w:after="0"/>
        <w:ind w:left="0"/>
        <w:jc w:val="both"/>
      </w:pPr>
      <w:r>
        <w:rPr>
          <w:rFonts w:ascii="Times New Roman"/>
          <w:b w:val="false"/>
          <w:i w:val="false"/>
          <w:color w:val="000000"/>
          <w:sz w:val="28"/>
        </w:rPr>
        <w:t>
      718. Проверки, проводимые руководством</w:t>
      </w:r>
    </w:p>
    <w:bookmarkEnd w:id="4006"/>
    <w:bookmarkStart w:name="z4112" w:id="4007"/>
    <w:p>
      <w:pPr>
        <w:spacing w:after="0"/>
        <w:ind w:left="0"/>
        <w:jc w:val="both"/>
      </w:pPr>
      <w:r>
        <w:rPr>
          <w:rFonts w:ascii="Times New Roman"/>
          <w:b w:val="false"/>
          <w:i w:val="false"/>
          <w:color w:val="000000"/>
          <w:sz w:val="28"/>
        </w:rPr>
        <w:t>
      Высшее руководство отвечает за посредством проведения проверок управление фармацевтической системой качества для обеспечения ее эффективности и постоянного соответствия установленными требованиями.</w:t>
      </w:r>
    </w:p>
    <w:bookmarkEnd w:id="4007"/>
    <w:bookmarkStart w:name="z4113" w:id="4008"/>
    <w:p>
      <w:pPr>
        <w:spacing w:after="0"/>
        <w:ind w:left="0"/>
        <w:jc w:val="both"/>
      </w:pPr>
      <w:r>
        <w:rPr>
          <w:rFonts w:ascii="Times New Roman"/>
          <w:b w:val="false"/>
          <w:i w:val="false"/>
          <w:color w:val="000000"/>
          <w:sz w:val="28"/>
        </w:rPr>
        <w:t>
      Руководство оценивает результаты периодических проверок эффективности процесса и качества продукции, а также фармацевтической системы качества, в соответствии с разделами 3 и 4 настоящей главы.</w:t>
      </w:r>
    </w:p>
    <w:bookmarkEnd w:id="4008"/>
    <w:bookmarkStart w:name="z4114" w:id="4009"/>
    <w:p>
      <w:pPr>
        <w:spacing w:after="0"/>
        <w:ind w:left="0"/>
        <w:jc w:val="both"/>
      </w:pPr>
      <w:r>
        <w:rPr>
          <w:rFonts w:ascii="Times New Roman"/>
          <w:b w:val="false"/>
          <w:i w:val="false"/>
          <w:color w:val="000000"/>
          <w:sz w:val="28"/>
        </w:rPr>
        <w:t>
      719. Управление работами по контракту и закупаемыми материалами</w:t>
      </w:r>
    </w:p>
    <w:bookmarkEnd w:id="4009"/>
    <w:bookmarkStart w:name="z4115" w:id="4010"/>
    <w:p>
      <w:pPr>
        <w:spacing w:after="0"/>
        <w:ind w:left="0"/>
        <w:jc w:val="both"/>
      </w:pPr>
      <w:r>
        <w:rPr>
          <w:rFonts w:ascii="Times New Roman"/>
          <w:b w:val="false"/>
          <w:i w:val="false"/>
          <w:color w:val="000000"/>
          <w:sz w:val="28"/>
        </w:rPr>
        <w:t>
      Фармацевтическая система качества, включая описанную в настоящем разделе отвечает руководства, распространяется на контроль и проверку работ по контракту и качество закупаемого исходного сырья и материалов. Производитель лекарственных средств ответчает, в конечном счете, за гарантию осуществления процессов, необходимых для обеспечения контроля работ по контракту контроля качества закупаемых исходного сырья и материалов. Эти процессы объединены с управлением рисками для качества и включают в себя:</w:t>
      </w:r>
    </w:p>
    <w:bookmarkEnd w:id="4010"/>
    <w:bookmarkStart w:name="z4116" w:id="4011"/>
    <w:p>
      <w:pPr>
        <w:spacing w:after="0"/>
        <w:ind w:left="0"/>
        <w:jc w:val="both"/>
      </w:pPr>
      <w:r>
        <w:rPr>
          <w:rFonts w:ascii="Times New Roman"/>
          <w:b w:val="false"/>
          <w:i w:val="false"/>
          <w:color w:val="000000"/>
          <w:sz w:val="28"/>
        </w:rPr>
        <w:t>
      а) осуществление оценки (например, путем проведения аудитов, контроля исходного сырья и материалов, проведения квалификации) исполнителей работ по контракту и поставщиков сырья. Такая оценка осуществляется до проведения работ по контракту или до выбора поставщиков исходного сырья и материалов на предмет их пригодности соответствия требованиям к выполнению таких работ или поставки исходного сырья и материалов с использованием установленной цепи поставки;</w:t>
      </w:r>
    </w:p>
    <w:bookmarkEnd w:id="4011"/>
    <w:bookmarkStart w:name="z4117" w:id="4012"/>
    <w:p>
      <w:pPr>
        <w:spacing w:after="0"/>
        <w:ind w:left="0"/>
        <w:jc w:val="both"/>
      </w:pPr>
      <w:r>
        <w:rPr>
          <w:rFonts w:ascii="Times New Roman"/>
          <w:b w:val="false"/>
          <w:i w:val="false"/>
          <w:color w:val="000000"/>
          <w:sz w:val="28"/>
        </w:rPr>
        <w:t>
      1) определение сфер ответственности и процессов передачи информации в отношении работ, связанных с качеством, в которые вовлечены заинтересованные стороны. В отношении работ по контракту это включено в письменное соглашение между заказчиком исполнителем;</w:t>
      </w:r>
    </w:p>
    <w:bookmarkEnd w:id="4012"/>
    <w:bookmarkStart w:name="z4118" w:id="4013"/>
    <w:p>
      <w:pPr>
        <w:spacing w:after="0"/>
        <w:ind w:left="0"/>
        <w:jc w:val="both"/>
      </w:pPr>
      <w:r>
        <w:rPr>
          <w:rFonts w:ascii="Times New Roman"/>
          <w:b w:val="false"/>
          <w:i w:val="false"/>
          <w:color w:val="000000"/>
          <w:sz w:val="28"/>
        </w:rPr>
        <w:t>
      2) мониторинг и проверка деятельности исполнителя или качества исходного сырья и материалов от поставщика, а также определение и внедрение необходимых улучшений;</w:t>
      </w:r>
    </w:p>
    <w:bookmarkEnd w:id="4013"/>
    <w:bookmarkStart w:name="z4119" w:id="4014"/>
    <w:p>
      <w:pPr>
        <w:spacing w:after="0"/>
        <w:ind w:left="0"/>
        <w:jc w:val="both"/>
      </w:pPr>
      <w:r>
        <w:rPr>
          <w:rFonts w:ascii="Times New Roman"/>
          <w:b w:val="false"/>
          <w:i w:val="false"/>
          <w:color w:val="000000"/>
          <w:sz w:val="28"/>
        </w:rPr>
        <w:t>
      3) мониторинг исходного сырья и материалов для обеспечения гарантии того, что они получены из утвержденных источников с использованием согласованной цепи поставки.</w:t>
      </w:r>
    </w:p>
    <w:bookmarkEnd w:id="4014"/>
    <w:bookmarkStart w:name="z4120" w:id="4015"/>
    <w:p>
      <w:pPr>
        <w:spacing w:after="0"/>
        <w:ind w:left="0"/>
        <w:jc w:val="both"/>
      </w:pPr>
      <w:r>
        <w:rPr>
          <w:rFonts w:ascii="Times New Roman"/>
          <w:b w:val="false"/>
          <w:i w:val="false"/>
          <w:color w:val="000000"/>
          <w:sz w:val="28"/>
        </w:rPr>
        <w:t>
      720. Управление изменениями в праве собственности на продукцию</w:t>
      </w:r>
    </w:p>
    <w:bookmarkEnd w:id="4015"/>
    <w:bookmarkStart w:name="z4121" w:id="4016"/>
    <w:p>
      <w:pPr>
        <w:spacing w:after="0"/>
        <w:ind w:left="0"/>
        <w:jc w:val="both"/>
      </w:pPr>
      <w:r>
        <w:rPr>
          <w:rFonts w:ascii="Times New Roman"/>
          <w:b w:val="false"/>
          <w:i w:val="false"/>
          <w:color w:val="000000"/>
          <w:sz w:val="28"/>
        </w:rPr>
        <w:t>
      В случае если происходит изменение в праве собственности на продукцию (например, в результате покупки), руководство принимает во внимание сложность этого процесса и гарантировать следующее:</w:t>
      </w:r>
    </w:p>
    <w:bookmarkEnd w:id="4016"/>
    <w:bookmarkStart w:name="z4122" w:id="4017"/>
    <w:p>
      <w:pPr>
        <w:spacing w:after="0"/>
        <w:ind w:left="0"/>
        <w:jc w:val="both"/>
      </w:pPr>
      <w:r>
        <w:rPr>
          <w:rFonts w:ascii="Times New Roman"/>
          <w:b w:val="false"/>
          <w:i w:val="false"/>
          <w:color w:val="000000"/>
          <w:sz w:val="28"/>
        </w:rPr>
        <w:t>
      1) для каждой задействованной в процессе стороны определена текущая ответственность;</w:t>
      </w:r>
    </w:p>
    <w:bookmarkEnd w:id="4017"/>
    <w:bookmarkStart w:name="z4123" w:id="4018"/>
    <w:p>
      <w:pPr>
        <w:spacing w:after="0"/>
        <w:ind w:left="0"/>
        <w:jc w:val="both"/>
      </w:pPr>
      <w:r>
        <w:rPr>
          <w:rFonts w:ascii="Times New Roman"/>
          <w:b w:val="false"/>
          <w:i w:val="false"/>
          <w:color w:val="000000"/>
          <w:sz w:val="28"/>
        </w:rPr>
        <w:t>
      2) передана вся необходимая информация.</w:t>
      </w:r>
    </w:p>
    <w:bookmarkEnd w:id="4018"/>
    <w:bookmarkStart w:name="z4124" w:id="4019"/>
    <w:p>
      <w:pPr>
        <w:spacing w:after="0"/>
        <w:ind w:left="0"/>
        <w:jc w:val="left"/>
      </w:pPr>
      <w:r>
        <w:rPr>
          <w:rFonts w:ascii="Times New Roman"/>
          <w:b/>
          <w:i w:val="false"/>
          <w:color w:val="000000"/>
        </w:rPr>
        <w:t xml:space="preserve"> Параграф 16. Постоянное улучшение эффективности процесса и качества продукции</w:t>
      </w:r>
    </w:p>
    <w:bookmarkEnd w:id="4019"/>
    <w:bookmarkStart w:name="z4125" w:id="4020"/>
    <w:p>
      <w:pPr>
        <w:spacing w:after="0"/>
        <w:ind w:left="0"/>
        <w:jc w:val="both"/>
      </w:pPr>
      <w:r>
        <w:rPr>
          <w:rFonts w:ascii="Times New Roman"/>
          <w:b w:val="false"/>
          <w:i w:val="false"/>
          <w:color w:val="000000"/>
          <w:sz w:val="28"/>
        </w:rPr>
        <w:t>
      721. В этом разделе описаны цели фармацевтической системы качества на различных этапах жизненного цикла продукции, а также 4 характерных элемента фармацевтической системы качества, которые расширяют требования настоящего Стандарта для достижения целей данного документа, определенных в пункте 706 настоящей главы. Положения настоящего раздела не изменяют требования настоящего Стандарта.</w:t>
      </w:r>
    </w:p>
    <w:bookmarkEnd w:id="4020"/>
    <w:bookmarkStart w:name="z4126" w:id="4021"/>
    <w:p>
      <w:pPr>
        <w:spacing w:after="0"/>
        <w:ind w:left="0"/>
        <w:jc w:val="both"/>
      </w:pPr>
      <w:r>
        <w:rPr>
          <w:rFonts w:ascii="Times New Roman"/>
          <w:b w:val="false"/>
          <w:i w:val="false"/>
          <w:color w:val="000000"/>
          <w:sz w:val="28"/>
        </w:rPr>
        <w:t>
      722. Цели на этапах жизненного цикла продукции</w:t>
      </w:r>
    </w:p>
    <w:bookmarkEnd w:id="4021"/>
    <w:bookmarkStart w:name="z4127" w:id="4022"/>
    <w:p>
      <w:pPr>
        <w:spacing w:after="0"/>
        <w:ind w:left="0"/>
        <w:jc w:val="both"/>
      </w:pPr>
      <w:r>
        <w:rPr>
          <w:rFonts w:ascii="Times New Roman"/>
          <w:b w:val="false"/>
          <w:i w:val="false"/>
          <w:color w:val="000000"/>
          <w:sz w:val="28"/>
        </w:rPr>
        <w:t>
      Ниже описаны цели для каждого этапа жизненного цикла продукции.</w:t>
      </w:r>
    </w:p>
    <w:bookmarkEnd w:id="4022"/>
    <w:bookmarkStart w:name="z4128" w:id="4023"/>
    <w:p>
      <w:pPr>
        <w:spacing w:after="0"/>
        <w:ind w:left="0"/>
        <w:jc w:val="both"/>
      </w:pPr>
      <w:r>
        <w:rPr>
          <w:rFonts w:ascii="Times New Roman"/>
          <w:b w:val="false"/>
          <w:i w:val="false"/>
          <w:color w:val="000000"/>
          <w:sz w:val="28"/>
        </w:rPr>
        <w:t>
      Фармацевтическая разработка</w:t>
      </w:r>
    </w:p>
    <w:bookmarkEnd w:id="4023"/>
    <w:bookmarkStart w:name="z4129" w:id="4024"/>
    <w:p>
      <w:pPr>
        <w:spacing w:after="0"/>
        <w:ind w:left="0"/>
        <w:jc w:val="both"/>
      </w:pPr>
      <w:r>
        <w:rPr>
          <w:rFonts w:ascii="Times New Roman"/>
          <w:b w:val="false"/>
          <w:i w:val="false"/>
          <w:color w:val="000000"/>
          <w:sz w:val="28"/>
        </w:rPr>
        <w:t>
      Целью деятельности по фармацевтической разработке является разработка продукции и процесса ее производства для постоянного обеспечения ожидаемых характеристик и удовлетворения потребностей пациентов, медицинских работников, требований уполномоченных органов и внутренних потребителей. Подходы к фармацевтической разработке описаны в соответствующих нормативных правовых актах. Результаты исследовательских работ и клинических исследований, которые не входят в сферу применения настоящего документа, являются исходными данными для фармацевтической разработки.</w:t>
      </w:r>
    </w:p>
    <w:bookmarkEnd w:id="4024"/>
    <w:bookmarkStart w:name="z4130" w:id="4025"/>
    <w:p>
      <w:pPr>
        <w:spacing w:after="0"/>
        <w:ind w:left="0"/>
        <w:jc w:val="both"/>
      </w:pPr>
      <w:r>
        <w:rPr>
          <w:rFonts w:ascii="Times New Roman"/>
          <w:b w:val="false"/>
          <w:i w:val="false"/>
          <w:color w:val="000000"/>
          <w:sz w:val="28"/>
        </w:rPr>
        <w:t>
      723. Перенос технологии</w:t>
      </w:r>
    </w:p>
    <w:bookmarkEnd w:id="4025"/>
    <w:bookmarkStart w:name="z4131" w:id="4026"/>
    <w:p>
      <w:pPr>
        <w:spacing w:after="0"/>
        <w:ind w:left="0"/>
        <w:jc w:val="both"/>
      </w:pPr>
      <w:r>
        <w:rPr>
          <w:rFonts w:ascii="Times New Roman"/>
          <w:b w:val="false"/>
          <w:i w:val="false"/>
          <w:color w:val="000000"/>
          <w:sz w:val="28"/>
        </w:rPr>
        <w:t>
      Целью деятельности, связанной с переносом технологии, является передача знаний о продукции и процессе от разработчиков к производителям, а также внутри или между производственными площадками для производства продукции, соответствующей своему предназначению. Эти знания составляют основу процесса производства, стратегии контроля, подхода к процессу валидации и непрерывного улучшения.</w:t>
      </w:r>
    </w:p>
    <w:bookmarkEnd w:id="4026"/>
    <w:bookmarkStart w:name="z4132" w:id="4027"/>
    <w:p>
      <w:pPr>
        <w:spacing w:after="0"/>
        <w:ind w:left="0"/>
        <w:jc w:val="both"/>
      </w:pPr>
      <w:r>
        <w:rPr>
          <w:rFonts w:ascii="Times New Roman"/>
          <w:b w:val="false"/>
          <w:i w:val="false"/>
          <w:color w:val="000000"/>
          <w:sz w:val="28"/>
        </w:rPr>
        <w:t>
      724. Промышленное производство</w:t>
      </w:r>
    </w:p>
    <w:bookmarkEnd w:id="4027"/>
    <w:bookmarkStart w:name="z4133" w:id="4028"/>
    <w:p>
      <w:pPr>
        <w:spacing w:after="0"/>
        <w:ind w:left="0"/>
        <w:jc w:val="both"/>
      </w:pPr>
      <w:r>
        <w:rPr>
          <w:rFonts w:ascii="Times New Roman"/>
          <w:b w:val="false"/>
          <w:i w:val="false"/>
          <w:color w:val="000000"/>
          <w:sz w:val="28"/>
        </w:rPr>
        <w:t>
      Целями промышленного производства являются производство продукции, соответствующей своему предназначению, установление и поддержание контролируемого состояния и способствование постоянному улучшению. Фармацевтическая система качества обеспечивает постоянное поддержание желаемого качества продукции, достижение необходимой эффективности процесса, соответствие различных средств контроля, определение и оценку возможностей улучшения, а также постоянное увеличение объема знаний.</w:t>
      </w:r>
    </w:p>
    <w:bookmarkEnd w:id="4028"/>
    <w:bookmarkStart w:name="z4134" w:id="4029"/>
    <w:p>
      <w:pPr>
        <w:spacing w:after="0"/>
        <w:ind w:left="0"/>
        <w:jc w:val="both"/>
      </w:pPr>
      <w:r>
        <w:rPr>
          <w:rFonts w:ascii="Times New Roman"/>
          <w:b w:val="false"/>
          <w:i w:val="false"/>
          <w:color w:val="000000"/>
          <w:sz w:val="28"/>
        </w:rPr>
        <w:t>
      725. Прекращение производства продукции</w:t>
      </w:r>
    </w:p>
    <w:bookmarkEnd w:id="4029"/>
    <w:bookmarkStart w:name="z4135" w:id="4030"/>
    <w:p>
      <w:pPr>
        <w:spacing w:after="0"/>
        <w:ind w:left="0"/>
        <w:jc w:val="both"/>
      </w:pPr>
      <w:r>
        <w:rPr>
          <w:rFonts w:ascii="Times New Roman"/>
          <w:b w:val="false"/>
          <w:i w:val="false"/>
          <w:color w:val="000000"/>
          <w:sz w:val="28"/>
        </w:rPr>
        <w:t>
      Целью проведения мероприятий по прекращению производства продукции является эффективное управление конечным этапом жизненного цикла продукции. Для управления мероприятиями по прекращению производства продукции используется предварительно установленные подходы: хранение документации и образцов, постоянная оценка продукции (например, работа с претензиями и испытания стабильности), составление отчетов в соответствии с установленными требованиями.</w:t>
      </w:r>
    </w:p>
    <w:bookmarkEnd w:id="4030"/>
    <w:bookmarkStart w:name="z4136" w:id="4031"/>
    <w:p>
      <w:pPr>
        <w:spacing w:after="0"/>
        <w:ind w:left="0"/>
        <w:jc w:val="both"/>
      </w:pPr>
      <w:r>
        <w:rPr>
          <w:rFonts w:ascii="Times New Roman"/>
          <w:b w:val="false"/>
          <w:i w:val="false"/>
          <w:color w:val="000000"/>
          <w:sz w:val="28"/>
        </w:rPr>
        <w:t>
      726. Элементы фармацевтической системы качества</w:t>
      </w:r>
    </w:p>
    <w:bookmarkEnd w:id="4031"/>
    <w:bookmarkStart w:name="z4137" w:id="4032"/>
    <w:p>
      <w:pPr>
        <w:spacing w:after="0"/>
        <w:ind w:left="0"/>
        <w:jc w:val="both"/>
      </w:pPr>
      <w:r>
        <w:rPr>
          <w:rFonts w:ascii="Times New Roman"/>
          <w:b w:val="false"/>
          <w:i w:val="false"/>
          <w:color w:val="000000"/>
          <w:sz w:val="28"/>
        </w:rPr>
        <w:t>
      Элементы, описанные ниже, частично входят в другие разделы настоящего Стандарта и приложения к настоящего Стандарта. Такая модель предназначена для усовершенствования этих элементов с целью содействия применению подхода к качеству, основанного на жизненном цикле продукции. Это следующие четыре элемента:</w:t>
      </w:r>
    </w:p>
    <w:bookmarkEnd w:id="4032"/>
    <w:bookmarkStart w:name="z4138" w:id="4033"/>
    <w:p>
      <w:pPr>
        <w:spacing w:after="0"/>
        <w:ind w:left="0"/>
        <w:jc w:val="both"/>
      </w:pPr>
      <w:r>
        <w:rPr>
          <w:rFonts w:ascii="Times New Roman"/>
          <w:b w:val="false"/>
          <w:i w:val="false"/>
          <w:color w:val="000000"/>
          <w:sz w:val="28"/>
        </w:rPr>
        <w:t>
      система мониторинга эффективности процесса и качества продукции;</w:t>
      </w:r>
    </w:p>
    <w:bookmarkEnd w:id="4033"/>
    <w:bookmarkStart w:name="z4139" w:id="4034"/>
    <w:p>
      <w:pPr>
        <w:spacing w:after="0"/>
        <w:ind w:left="0"/>
        <w:jc w:val="both"/>
      </w:pPr>
      <w:r>
        <w:rPr>
          <w:rFonts w:ascii="Times New Roman"/>
          <w:b w:val="false"/>
          <w:i w:val="false"/>
          <w:color w:val="000000"/>
          <w:sz w:val="28"/>
        </w:rPr>
        <w:t>
      система корректирующих и предупреждающих действий (CAPA);</w:t>
      </w:r>
    </w:p>
    <w:bookmarkEnd w:id="4034"/>
    <w:bookmarkStart w:name="z4140" w:id="4035"/>
    <w:p>
      <w:pPr>
        <w:spacing w:after="0"/>
        <w:ind w:left="0"/>
        <w:jc w:val="both"/>
      </w:pPr>
      <w:r>
        <w:rPr>
          <w:rFonts w:ascii="Times New Roman"/>
          <w:b w:val="false"/>
          <w:i w:val="false"/>
          <w:color w:val="000000"/>
          <w:sz w:val="28"/>
        </w:rPr>
        <w:t>
      система управления изменениями;</w:t>
      </w:r>
    </w:p>
    <w:bookmarkEnd w:id="4035"/>
    <w:bookmarkStart w:name="z4141" w:id="4036"/>
    <w:p>
      <w:pPr>
        <w:spacing w:after="0"/>
        <w:ind w:left="0"/>
        <w:jc w:val="both"/>
      </w:pPr>
      <w:r>
        <w:rPr>
          <w:rFonts w:ascii="Times New Roman"/>
          <w:b w:val="false"/>
          <w:i w:val="false"/>
          <w:color w:val="000000"/>
          <w:sz w:val="28"/>
        </w:rPr>
        <w:t>
      проверка со стороны руководства эффективности процесса и качества продукции.</w:t>
      </w:r>
    </w:p>
    <w:bookmarkEnd w:id="4036"/>
    <w:bookmarkStart w:name="z4142" w:id="4037"/>
    <w:p>
      <w:pPr>
        <w:spacing w:after="0"/>
        <w:ind w:left="0"/>
        <w:jc w:val="both"/>
      </w:pPr>
      <w:r>
        <w:rPr>
          <w:rFonts w:ascii="Times New Roman"/>
          <w:b w:val="false"/>
          <w:i w:val="false"/>
          <w:color w:val="000000"/>
          <w:sz w:val="28"/>
        </w:rPr>
        <w:t>
      Эти элементы применяется соответственно и пропорционально каждому из этапов жизненного цикла продукции с учетом различий между ними и различной цели каждого этапа. На каждом этапе жизненного цикла продукции предприятия оценивает перспективы для внедрения инновационных подходов по улучшению качества продукции.</w:t>
      </w:r>
    </w:p>
    <w:bookmarkEnd w:id="4037"/>
    <w:bookmarkStart w:name="z4143" w:id="4038"/>
    <w:p>
      <w:pPr>
        <w:spacing w:after="0"/>
        <w:ind w:left="0"/>
        <w:jc w:val="both"/>
      </w:pPr>
      <w:r>
        <w:rPr>
          <w:rFonts w:ascii="Times New Roman"/>
          <w:b w:val="false"/>
          <w:i w:val="false"/>
          <w:color w:val="000000"/>
          <w:sz w:val="28"/>
        </w:rPr>
        <w:t>
      Описание каждого элемента завершается таблицей с примерами применения каждого элемента к конкретному этапу жизненного цикла продукции.</w:t>
      </w:r>
    </w:p>
    <w:bookmarkEnd w:id="4038"/>
    <w:bookmarkStart w:name="z4144" w:id="4039"/>
    <w:p>
      <w:pPr>
        <w:spacing w:after="0"/>
        <w:ind w:left="0"/>
        <w:jc w:val="left"/>
      </w:pPr>
      <w:r>
        <w:rPr>
          <w:rFonts w:ascii="Times New Roman"/>
          <w:b/>
          <w:i w:val="false"/>
          <w:color w:val="000000"/>
        </w:rPr>
        <w:t xml:space="preserve"> Параграф 17. Система мониторинга эффективности процесса и качества продукции</w:t>
      </w:r>
    </w:p>
    <w:bookmarkEnd w:id="4039"/>
    <w:bookmarkStart w:name="z4145" w:id="4040"/>
    <w:p>
      <w:pPr>
        <w:spacing w:after="0"/>
        <w:ind w:left="0"/>
        <w:jc w:val="both"/>
      </w:pPr>
      <w:r>
        <w:rPr>
          <w:rFonts w:ascii="Times New Roman"/>
          <w:b w:val="false"/>
          <w:i w:val="false"/>
          <w:color w:val="000000"/>
          <w:sz w:val="28"/>
        </w:rPr>
        <w:t>
      727. Производители лекарственных средств планирует и применяет систему мониторинга эффективности процесса и качества продукции, а также обеспечивает поддержание контролируемого состояния. Эффективность системы мониторинга предусматривает обеспечение постоянной производительности процессов и средств контроля для производства продукции желаемого качества и выявления сфер для постоянного улучшения.</w:t>
      </w:r>
    </w:p>
    <w:bookmarkEnd w:id="4040"/>
    <w:bookmarkStart w:name="z4146" w:id="4041"/>
    <w:p>
      <w:pPr>
        <w:spacing w:after="0"/>
        <w:ind w:left="0"/>
        <w:jc w:val="both"/>
      </w:pPr>
      <w:r>
        <w:rPr>
          <w:rFonts w:ascii="Times New Roman"/>
          <w:b w:val="false"/>
          <w:i w:val="false"/>
          <w:color w:val="000000"/>
          <w:sz w:val="28"/>
        </w:rPr>
        <w:t>
      Система мониторинга эффективности процесса и качества продукции:</w:t>
      </w:r>
    </w:p>
    <w:bookmarkEnd w:id="4041"/>
    <w:bookmarkStart w:name="z4147" w:id="4042"/>
    <w:p>
      <w:pPr>
        <w:spacing w:after="0"/>
        <w:ind w:left="0"/>
        <w:jc w:val="both"/>
      </w:pPr>
      <w:r>
        <w:rPr>
          <w:rFonts w:ascii="Times New Roman"/>
          <w:b w:val="false"/>
          <w:i w:val="false"/>
          <w:color w:val="000000"/>
          <w:sz w:val="28"/>
        </w:rPr>
        <w:t>
      1) использует управление рисками для качества для установления стратегии контроля. Такая стратегия включает параметры и характеристики, относящиеся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 Стратегия контроля способствует своевременной обратной (прямой) связи и соответствующим корректирующим и предупреждающим действиям;</w:t>
      </w:r>
    </w:p>
    <w:bookmarkEnd w:id="4042"/>
    <w:bookmarkStart w:name="z4148" w:id="4043"/>
    <w:p>
      <w:pPr>
        <w:spacing w:after="0"/>
        <w:ind w:left="0"/>
        <w:jc w:val="both"/>
      </w:pPr>
      <w:r>
        <w:rPr>
          <w:rFonts w:ascii="Times New Roman"/>
          <w:b w:val="false"/>
          <w:i w:val="false"/>
          <w:color w:val="000000"/>
          <w:sz w:val="28"/>
        </w:rPr>
        <w:t>
      2) обеспечивать инструменты для измерения и анализа параметров свойств, определенных в стратегии контроля (например, управление данными и статистические инструменты);</w:t>
      </w:r>
    </w:p>
    <w:bookmarkEnd w:id="4043"/>
    <w:bookmarkStart w:name="z4149" w:id="4044"/>
    <w:p>
      <w:pPr>
        <w:spacing w:after="0"/>
        <w:ind w:left="0"/>
        <w:jc w:val="both"/>
      </w:pPr>
      <w:r>
        <w:rPr>
          <w:rFonts w:ascii="Times New Roman"/>
          <w:b w:val="false"/>
          <w:i w:val="false"/>
          <w:color w:val="000000"/>
          <w:sz w:val="28"/>
        </w:rPr>
        <w:t>
      3) анализировать параметры и характеристики, определенные в стратегии контроля, для подтверждения постоянной работы в контролируемом состоянии;</w:t>
      </w:r>
    </w:p>
    <w:bookmarkEnd w:id="4044"/>
    <w:bookmarkStart w:name="z4150" w:id="4045"/>
    <w:p>
      <w:pPr>
        <w:spacing w:after="0"/>
        <w:ind w:left="0"/>
        <w:jc w:val="both"/>
      </w:pPr>
      <w:r>
        <w:rPr>
          <w:rFonts w:ascii="Times New Roman"/>
          <w:b w:val="false"/>
          <w:i w:val="false"/>
          <w:color w:val="000000"/>
          <w:sz w:val="28"/>
        </w:rPr>
        <w:t>
      4) определить источники отклонений, которые влияют на эффективность процесса и качество продукции, с целью возможного постоянного улучшения, направленного на снижение или контроль изменчивости;</w:t>
      </w:r>
    </w:p>
    <w:bookmarkEnd w:id="4045"/>
    <w:bookmarkStart w:name="z4151" w:id="4046"/>
    <w:p>
      <w:pPr>
        <w:spacing w:after="0"/>
        <w:ind w:left="0"/>
        <w:jc w:val="both"/>
      </w:pPr>
      <w:r>
        <w:rPr>
          <w:rFonts w:ascii="Times New Roman"/>
          <w:b w:val="false"/>
          <w:i w:val="false"/>
          <w:color w:val="000000"/>
          <w:sz w:val="28"/>
        </w:rPr>
        <w:t>
      5) содержать информацию о качестве продукции, поступившую в виде обратной связи как от внутренних, так и от внешних источников, например, претензии, отказы от продукции, несоответствия, отзывы продукции, отклонения, аудиторские проверки и инспекции уполномоченных органов и их заключения;</w:t>
      </w:r>
    </w:p>
    <w:bookmarkEnd w:id="4046"/>
    <w:bookmarkStart w:name="z4152" w:id="4047"/>
    <w:p>
      <w:pPr>
        <w:spacing w:after="0"/>
        <w:ind w:left="0"/>
        <w:jc w:val="both"/>
      </w:pPr>
      <w:r>
        <w:rPr>
          <w:rFonts w:ascii="Times New Roman"/>
          <w:b w:val="false"/>
          <w:i w:val="false"/>
          <w:color w:val="000000"/>
          <w:sz w:val="28"/>
        </w:rPr>
        <w:t>
      6) обеспечивать знаниями для улучшения понимания процесса, расширять пространство проектных параметров (если они установлены) давать возможность применения инновационных подходов к валидации процесса.</w:t>
      </w:r>
    </w:p>
    <w:bookmarkEnd w:id="4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154" w:id="4048"/>
    <w:p>
      <w:pPr>
        <w:spacing w:after="0"/>
        <w:ind w:left="0"/>
        <w:jc w:val="both"/>
      </w:pPr>
      <w:r>
        <w:rPr>
          <w:rFonts w:ascii="Times New Roman"/>
          <w:b w:val="false"/>
          <w:i w:val="false"/>
          <w:color w:val="000000"/>
          <w:sz w:val="28"/>
        </w:rPr>
        <w:t>
      Применение системы мониторинга эффективности процесса и качества продукции на протяжении жизненного цикла продукции</w:t>
      </w:r>
    </w:p>
    <w:bookmarkEnd w:id="4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о процессе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прекращении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продукции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проведении работ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(например,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обеспечить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оценку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 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стабильности)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 и успешное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продолжаются 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внедренне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завершения всех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препарата, можно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переноса технологий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состоянии и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этапе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полезными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выявления сфер,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дальнейшей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необходимо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продолжать проводить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лекарственных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находящихся в обороте</w:t>
            </w:r>
          </w:p>
        </w:tc>
      </w:tr>
    </w:tbl>
    <w:bookmarkStart w:name="z4155" w:id="4049"/>
    <w:p>
      <w:pPr>
        <w:spacing w:after="0"/>
        <w:ind w:left="0"/>
        <w:jc w:val="left"/>
      </w:pPr>
      <w:r>
        <w:rPr>
          <w:rFonts w:ascii="Times New Roman"/>
          <w:b/>
          <w:i w:val="false"/>
          <w:color w:val="000000"/>
        </w:rPr>
        <w:t xml:space="preserve"> Параграф 18. Система корректирующих и предупреждающих действий</w:t>
      </w:r>
    </w:p>
    <w:bookmarkEnd w:id="4049"/>
    <w:bookmarkStart w:name="z4156" w:id="4050"/>
    <w:p>
      <w:pPr>
        <w:spacing w:after="0"/>
        <w:ind w:left="0"/>
        <w:jc w:val="both"/>
      </w:pPr>
      <w:r>
        <w:rPr>
          <w:rFonts w:ascii="Times New Roman"/>
          <w:b w:val="false"/>
          <w:i w:val="false"/>
          <w:color w:val="000000"/>
          <w:sz w:val="28"/>
        </w:rPr>
        <w:t>
      728. Производитель лекарственных средств имеет систему корректирующих и предупреждающих действий, которые являются результатом расследования претензий, отказов от продукции, несоответствий, отзывов, отклонений, аудиторских заключений и инспекций уполномоченных органов, а также тенденций, выявленных при проведении мониторинга эффективности процесса и качества продукции. С целью выявления основной причины в процессе расследования используется структурированный подход. Уровень усилий, формализации и документального оформления расследования соразмерен уровню рисков согласно главе</w:t>
      </w:r>
      <w:r>
        <w:rPr>
          <w:rFonts w:ascii="Times New Roman"/>
          <w:b w:val="false"/>
          <w:i w:val="false"/>
          <w:color w:val="000000"/>
          <w:sz w:val="28"/>
        </w:rPr>
        <w:t xml:space="preserve"> настоящей части Стандарта. Результатом методологии корректирующих и предупреждающих действий улучшение продукции и процесса, а также улучшение понимания продукции и процесса.</w:t>
      </w:r>
    </w:p>
    <w:bookmarkEnd w:id="4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159" w:id="4051"/>
    <w:p>
      <w:pPr>
        <w:spacing w:after="0"/>
        <w:ind w:left="0"/>
        <w:jc w:val="both"/>
      </w:pPr>
      <w:r>
        <w:rPr>
          <w:rFonts w:ascii="Times New Roman"/>
          <w:b w:val="false"/>
          <w:i w:val="false"/>
          <w:color w:val="000000"/>
          <w:sz w:val="28"/>
        </w:rPr>
        <w:t>
      Применение системы корректирующих и предупреждающих действий на протяжении жизненного цикла продукции</w:t>
      </w:r>
    </w:p>
    <w:bookmarkEnd w:id="4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 может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CAPA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использоваться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продолжает применяться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CAPA,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прекращения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CAPA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обратной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полезной,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 прямой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Учитывается влияние 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постоянного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продукцию, которая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остается в обороте,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также на другую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внедрены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продукцию, на которую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итеративную схему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могло быть оказано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r>
    </w:tbl>
    <w:bookmarkStart w:name="z4160" w:id="4052"/>
    <w:p>
      <w:pPr>
        <w:spacing w:after="0"/>
        <w:ind w:left="0"/>
        <w:jc w:val="left"/>
      </w:pPr>
      <w:r>
        <w:rPr>
          <w:rFonts w:ascii="Times New Roman"/>
          <w:b/>
          <w:i w:val="false"/>
          <w:color w:val="000000"/>
        </w:rPr>
        <w:t xml:space="preserve"> Параграф 19. Система управления изменениями</w:t>
      </w:r>
    </w:p>
    <w:bookmarkEnd w:id="4052"/>
    <w:bookmarkStart w:name="z4161" w:id="4053"/>
    <w:p>
      <w:pPr>
        <w:spacing w:after="0"/>
        <w:ind w:left="0"/>
        <w:jc w:val="both"/>
      </w:pPr>
      <w:r>
        <w:rPr>
          <w:rFonts w:ascii="Times New Roman"/>
          <w:b w:val="false"/>
          <w:i w:val="false"/>
          <w:color w:val="000000"/>
          <w:sz w:val="28"/>
        </w:rPr>
        <w:t>
      729. Инновации, постоянное улучшение, результаты мониторинга эффективности процесса и качества продукции и система CAPA (корректирующие и предупреждающие действия, corrective action and preventive action, CAPA корректирующие и действия) приводят к изменениям. Для правильной оценки, утверждения и внедрения этих изменений предприятие имеет эффективную систему управления изменениями.</w:t>
      </w:r>
    </w:p>
    <w:bookmarkEnd w:id="4053"/>
    <w:bookmarkStart w:name="z4162" w:id="4054"/>
    <w:p>
      <w:pPr>
        <w:spacing w:after="0"/>
        <w:ind w:left="0"/>
        <w:jc w:val="both"/>
      </w:pPr>
      <w:r>
        <w:rPr>
          <w:rFonts w:ascii="Times New Roman"/>
          <w:b w:val="false"/>
          <w:i w:val="false"/>
          <w:color w:val="000000"/>
          <w:sz w:val="28"/>
        </w:rPr>
        <w:t>
      730. В общем случае существуют различия в соблюдении формальной стороны процессов управления изменениями до первоначальной подачи документов в уполномоченный орган и после такой подачи, если изменения к поданным документам могут требоваться в соответствии с установленными нормами.</w:t>
      </w:r>
    </w:p>
    <w:bookmarkEnd w:id="4054"/>
    <w:bookmarkStart w:name="z4163" w:id="4055"/>
    <w:p>
      <w:pPr>
        <w:spacing w:after="0"/>
        <w:ind w:left="0"/>
        <w:jc w:val="both"/>
      </w:pPr>
      <w:r>
        <w:rPr>
          <w:rFonts w:ascii="Times New Roman"/>
          <w:b w:val="false"/>
          <w:i w:val="false"/>
          <w:color w:val="000000"/>
          <w:sz w:val="28"/>
        </w:rPr>
        <w:t>
      731. Система управления изменениями обеспечивает осуществление постоянного, своевременного и эффективного улучшения. Она обеспечивает высокую степень уверенности в том, что изменение не приведет к непредсказуемым последствиям.</w:t>
      </w:r>
    </w:p>
    <w:bookmarkEnd w:id="4055"/>
    <w:bookmarkStart w:name="z4164" w:id="4056"/>
    <w:p>
      <w:pPr>
        <w:spacing w:after="0"/>
        <w:ind w:left="0"/>
        <w:jc w:val="both"/>
      </w:pPr>
      <w:r>
        <w:rPr>
          <w:rFonts w:ascii="Times New Roman"/>
          <w:b w:val="false"/>
          <w:i w:val="false"/>
          <w:color w:val="000000"/>
          <w:sz w:val="28"/>
        </w:rPr>
        <w:t>
      732. Система управления изменениями в зависимости от этапов жизненного цикла продукции включает в себя следующее:</w:t>
      </w:r>
    </w:p>
    <w:bookmarkEnd w:id="4056"/>
    <w:bookmarkStart w:name="z4165" w:id="4057"/>
    <w:p>
      <w:pPr>
        <w:spacing w:after="0"/>
        <w:ind w:left="0"/>
        <w:jc w:val="both"/>
      </w:pPr>
      <w:r>
        <w:rPr>
          <w:rFonts w:ascii="Times New Roman"/>
          <w:b w:val="false"/>
          <w:i w:val="false"/>
          <w:color w:val="000000"/>
          <w:sz w:val="28"/>
        </w:rPr>
        <w:t>
      1) управление рисками для качества, которое используется для оценки предлагаемых изменений. Предпринимаемые действия и соблюдение формальностей при оценке соответствует уровню рисков;</w:t>
      </w:r>
    </w:p>
    <w:bookmarkEnd w:id="4057"/>
    <w:bookmarkStart w:name="z4166" w:id="4058"/>
    <w:p>
      <w:pPr>
        <w:spacing w:after="0"/>
        <w:ind w:left="0"/>
        <w:jc w:val="both"/>
      </w:pPr>
      <w:r>
        <w:rPr>
          <w:rFonts w:ascii="Times New Roman"/>
          <w:b w:val="false"/>
          <w:i w:val="false"/>
          <w:color w:val="000000"/>
          <w:sz w:val="28"/>
        </w:rPr>
        <w:t>
      2) оценка предлагаемых изменений в отношении регистрационного досье, включая пространство проектных параметров (если они установлены) и (или) текущее понимание продукции и процессов. Оценка проводится для определения того, требуется ли внесение изменений в регистрационное досье в соответствии с установленными нормами. Работа внутри проектных параметров не считается изменением с точки зрения нормативных требований. Однако, с точки зрения фармацевтической системы качества, все изменения оценивается с помощью системы управления изменениями на предприятии;</w:t>
      </w:r>
    </w:p>
    <w:bookmarkEnd w:id="4058"/>
    <w:bookmarkStart w:name="z4167" w:id="4059"/>
    <w:p>
      <w:pPr>
        <w:spacing w:after="0"/>
        <w:ind w:left="0"/>
        <w:jc w:val="both"/>
      </w:pPr>
      <w:r>
        <w:rPr>
          <w:rFonts w:ascii="Times New Roman"/>
          <w:b w:val="false"/>
          <w:i w:val="false"/>
          <w:color w:val="000000"/>
          <w:sz w:val="28"/>
        </w:rPr>
        <w:t>
      оценка предложенных изменений группой экспертов, которые имеют необходимый опыт и знания в соответствующей области (например, в сфере фармацевтической разработки, производства, качества, медицины, взаимодействия с уполномоченными органами). Гарантируется, что изменения обоснованы с технической точки зрения. Для предлагаемого изменения следует установить будущие критерии оценки;</w:t>
      </w:r>
    </w:p>
    <w:bookmarkEnd w:id="4059"/>
    <w:bookmarkStart w:name="z4168" w:id="4060"/>
    <w:p>
      <w:pPr>
        <w:spacing w:after="0"/>
        <w:ind w:left="0"/>
        <w:jc w:val="both"/>
      </w:pPr>
      <w:r>
        <w:rPr>
          <w:rFonts w:ascii="Times New Roman"/>
          <w:b w:val="false"/>
          <w:i w:val="false"/>
          <w:color w:val="000000"/>
          <w:sz w:val="28"/>
        </w:rPr>
        <w:t>
      оценка проведенных изменений после их внедрения для подтверждения того, что цель изменений была достигнута и что это не отразилось негативно на качестве продукции.</w:t>
      </w:r>
    </w:p>
    <w:bookmarkEnd w:id="4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170" w:id="4061"/>
    <w:p>
      <w:pPr>
        <w:spacing w:after="0"/>
        <w:ind w:left="0"/>
        <w:jc w:val="both"/>
      </w:pPr>
      <w:r>
        <w:rPr>
          <w:rFonts w:ascii="Times New Roman"/>
          <w:b w:val="false"/>
          <w:i w:val="false"/>
          <w:color w:val="000000"/>
          <w:sz w:val="28"/>
        </w:rPr>
        <w:t>
      Применение системы управления изменениями на протяжении жизненного цикла продукции</w:t>
      </w:r>
    </w:p>
    <w:bookmarkEnd w:id="4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является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промышленном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неотъемлемой частью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осуществляемый отделом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проходят через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основанные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научных знаниях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знаниях по анализу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1" w:id="4062"/>
    <w:p>
      <w:pPr>
        <w:spacing w:after="0"/>
        <w:ind w:left="0"/>
        <w:jc w:val="left"/>
      </w:pPr>
      <w:r>
        <w:rPr>
          <w:rFonts w:ascii="Times New Roman"/>
          <w:b/>
          <w:i w:val="false"/>
          <w:color w:val="000000"/>
        </w:rPr>
        <w:t xml:space="preserve"> Параграф 20. Проверка руководством эффективности процесса и качества продукции</w:t>
      </w:r>
    </w:p>
    <w:bookmarkEnd w:id="4062"/>
    <w:bookmarkStart w:name="z4172" w:id="4063"/>
    <w:p>
      <w:pPr>
        <w:spacing w:after="0"/>
        <w:ind w:left="0"/>
        <w:jc w:val="both"/>
      </w:pPr>
      <w:r>
        <w:rPr>
          <w:rFonts w:ascii="Times New Roman"/>
          <w:b w:val="false"/>
          <w:i w:val="false"/>
          <w:color w:val="000000"/>
          <w:sz w:val="28"/>
        </w:rPr>
        <w:t>
      733. Проверка, проводимая руководством, гарантирует управление эффективностью процесса и качеством продукции на протяжении жизненного цикла продукции. В зависимости от размера и сложности структуры предприятия, проверка со стороны руководства состоют из серии проверок на различных уровнях управления. Она включает своевременный и эффективный обмен информацией, а также механизмы доведения до сведения высшего руководства информации о соответствующих проблемах, связанных с качеством, для их оценки.</w:t>
      </w:r>
    </w:p>
    <w:bookmarkEnd w:id="4063"/>
    <w:bookmarkStart w:name="z4173" w:id="4064"/>
    <w:p>
      <w:pPr>
        <w:spacing w:after="0"/>
        <w:ind w:left="0"/>
        <w:jc w:val="both"/>
      </w:pPr>
      <w:r>
        <w:rPr>
          <w:rFonts w:ascii="Times New Roman"/>
          <w:b w:val="false"/>
          <w:i w:val="false"/>
          <w:color w:val="000000"/>
          <w:sz w:val="28"/>
        </w:rPr>
        <w:t>
      734. Система проверок, проводимых руководством, включает в себя:</w:t>
      </w:r>
    </w:p>
    <w:bookmarkEnd w:id="4064"/>
    <w:bookmarkStart w:name="z4174" w:id="4065"/>
    <w:p>
      <w:pPr>
        <w:spacing w:after="0"/>
        <w:ind w:left="0"/>
        <w:jc w:val="both"/>
      </w:pPr>
      <w:r>
        <w:rPr>
          <w:rFonts w:ascii="Times New Roman"/>
          <w:b w:val="false"/>
          <w:i w:val="false"/>
          <w:color w:val="000000"/>
          <w:sz w:val="28"/>
        </w:rPr>
        <w:t>
      1) результаты инспекций уполномоченных органов и их заключения, аудиторские и другие оценки, обязательства перед уполномоченными органами;</w:t>
      </w:r>
    </w:p>
    <w:bookmarkEnd w:id="4065"/>
    <w:bookmarkStart w:name="z4175" w:id="4066"/>
    <w:p>
      <w:pPr>
        <w:spacing w:after="0"/>
        <w:ind w:left="0"/>
        <w:jc w:val="both"/>
      </w:pPr>
      <w:r>
        <w:rPr>
          <w:rFonts w:ascii="Times New Roman"/>
          <w:b w:val="false"/>
          <w:i w:val="false"/>
          <w:color w:val="000000"/>
          <w:sz w:val="28"/>
        </w:rPr>
        <w:t>
      2) периодические обзоры качества продукции, в том числе:</w:t>
      </w:r>
    </w:p>
    <w:bookmarkEnd w:id="4066"/>
    <w:bookmarkStart w:name="z4176" w:id="4067"/>
    <w:p>
      <w:pPr>
        <w:spacing w:after="0"/>
        <w:ind w:left="0"/>
        <w:jc w:val="both"/>
      </w:pPr>
      <w:r>
        <w:rPr>
          <w:rFonts w:ascii="Times New Roman"/>
          <w:b w:val="false"/>
          <w:i w:val="false"/>
          <w:color w:val="000000"/>
          <w:sz w:val="28"/>
        </w:rPr>
        <w:t>
      3) оценку степени удовлетворенности потребителей посредством расследования претензий и анализа отзывов продукции;</w:t>
      </w:r>
    </w:p>
    <w:bookmarkEnd w:id="4067"/>
    <w:bookmarkStart w:name="z4177" w:id="4068"/>
    <w:p>
      <w:pPr>
        <w:spacing w:after="0"/>
        <w:ind w:left="0"/>
        <w:jc w:val="both"/>
      </w:pPr>
      <w:r>
        <w:rPr>
          <w:rFonts w:ascii="Times New Roman"/>
          <w:b w:val="false"/>
          <w:i w:val="false"/>
          <w:color w:val="000000"/>
          <w:sz w:val="28"/>
        </w:rPr>
        <w:t>
      4) заключения по результатам мониторинга эффективности процесса и качества продукции;</w:t>
      </w:r>
    </w:p>
    <w:bookmarkEnd w:id="4068"/>
    <w:bookmarkStart w:name="z4178" w:id="4069"/>
    <w:p>
      <w:pPr>
        <w:spacing w:after="0"/>
        <w:ind w:left="0"/>
        <w:jc w:val="both"/>
      </w:pPr>
      <w:r>
        <w:rPr>
          <w:rFonts w:ascii="Times New Roman"/>
          <w:b w:val="false"/>
          <w:i w:val="false"/>
          <w:color w:val="000000"/>
          <w:sz w:val="28"/>
        </w:rPr>
        <w:t>
      5) эффективность изменений процесса и продукции (включая изменения, которые являются результатом корректирующих и предупреждающих действий);</w:t>
      </w:r>
    </w:p>
    <w:bookmarkEnd w:id="4069"/>
    <w:bookmarkStart w:name="z4179" w:id="4070"/>
    <w:p>
      <w:pPr>
        <w:spacing w:after="0"/>
        <w:ind w:left="0"/>
        <w:jc w:val="both"/>
      </w:pPr>
      <w:r>
        <w:rPr>
          <w:rFonts w:ascii="Times New Roman"/>
          <w:b w:val="false"/>
          <w:i w:val="false"/>
          <w:color w:val="000000"/>
          <w:sz w:val="28"/>
        </w:rPr>
        <w:t>
      6) любые последующие мероприятия после проверок, проводимых руководством. Система проверок, проводимых руководством, определяет соответствующие мероприятия, например:</w:t>
      </w:r>
    </w:p>
    <w:bookmarkEnd w:id="4070"/>
    <w:bookmarkStart w:name="z4180" w:id="4071"/>
    <w:p>
      <w:pPr>
        <w:spacing w:after="0"/>
        <w:ind w:left="0"/>
        <w:jc w:val="both"/>
      </w:pPr>
      <w:r>
        <w:rPr>
          <w:rFonts w:ascii="Times New Roman"/>
          <w:b w:val="false"/>
          <w:i w:val="false"/>
          <w:color w:val="000000"/>
          <w:sz w:val="28"/>
        </w:rPr>
        <w:t>
      7) улучшение процесса производства и продукции;</w:t>
      </w:r>
    </w:p>
    <w:bookmarkEnd w:id="4071"/>
    <w:bookmarkStart w:name="z4181" w:id="4072"/>
    <w:p>
      <w:pPr>
        <w:spacing w:after="0"/>
        <w:ind w:left="0"/>
        <w:jc w:val="both"/>
      </w:pPr>
      <w:r>
        <w:rPr>
          <w:rFonts w:ascii="Times New Roman"/>
          <w:b w:val="false"/>
          <w:i w:val="false"/>
          <w:color w:val="000000"/>
          <w:sz w:val="28"/>
        </w:rPr>
        <w:t>
      8) обеспечение ресурсами, организация обучения и (или) перераспределение ресурсов;</w:t>
      </w:r>
    </w:p>
    <w:bookmarkEnd w:id="4072"/>
    <w:bookmarkStart w:name="z4182" w:id="4073"/>
    <w:p>
      <w:pPr>
        <w:spacing w:after="0"/>
        <w:ind w:left="0"/>
        <w:jc w:val="both"/>
      </w:pPr>
      <w:r>
        <w:rPr>
          <w:rFonts w:ascii="Times New Roman"/>
          <w:b w:val="false"/>
          <w:i w:val="false"/>
          <w:color w:val="000000"/>
          <w:sz w:val="28"/>
        </w:rPr>
        <w:t>
      9) приобретение и распространение знаний.</w:t>
      </w:r>
    </w:p>
    <w:bookmarkEnd w:id="4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184" w:id="4074"/>
    <w:p>
      <w:pPr>
        <w:spacing w:after="0"/>
        <w:ind w:left="0"/>
        <w:jc w:val="both"/>
      </w:pPr>
      <w:r>
        <w:rPr>
          <w:rFonts w:ascii="Times New Roman"/>
          <w:b w:val="false"/>
          <w:i w:val="false"/>
          <w:color w:val="000000"/>
          <w:sz w:val="28"/>
        </w:rPr>
        <w:t>
      Проведение руководством проверок эффективности процесса и качества продукции на протяжении жизненного цикла продукции</w:t>
      </w:r>
    </w:p>
    <w:bookmarkEnd w:id="4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основанные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основанные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включает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руководством, могут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себя, стабильност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применяться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системой, как это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изложено выше,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претензий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отношении 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5" w:id="4075"/>
    <w:p>
      <w:pPr>
        <w:spacing w:after="0"/>
        <w:ind w:left="0"/>
        <w:jc w:val="both"/>
      </w:pPr>
      <w:r>
        <w:rPr>
          <w:rFonts w:ascii="Times New Roman"/>
          <w:b w:val="false"/>
          <w:i w:val="false"/>
          <w:color w:val="000000"/>
          <w:sz w:val="28"/>
        </w:rPr>
        <w:t>
      Постоянное улучшение фармацевтической системы качества этом разделе описаны мероприятия, которые проводятся для управления и постоянного улучшения фармацевтической системы качества.</w:t>
      </w:r>
    </w:p>
    <w:bookmarkEnd w:id="4075"/>
    <w:bookmarkStart w:name="z4186" w:id="4076"/>
    <w:p>
      <w:pPr>
        <w:spacing w:after="0"/>
        <w:ind w:left="0"/>
        <w:jc w:val="left"/>
      </w:pPr>
      <w:r>
        <w:rPr>
          <w:rFonts w:ascii="Times New Roman"/>
          <w:b/>
          <w:i w:val="false"/>
          <w:color w:val="000000"/>
        </w:rPr>
        <w:t xml:space="preserve"> Параграф 21. Проверка руководством фармацевтической системы качества</w:t>
      </w:r>
    </w:p>
    <w:bookmarkEnd w:id="4076"/>
    <w:bookmarkStart w:name="z4187" w:id="4077"/>
    <w:p>
      <w:pPr>
        <w:spacing w:after="0"/>
        <w:ind w:left="0"/>
        <w:jc w:val="both"/>
      </w:pPr>
      <w:r>
        <w:rPr>
          <w:rFonts w:ascii="Times New Roman"/>
          <w:b w:val="false"/>
          <w:i w:val="false"/>
          <w:color w:val="000000"/>
          <w:sz w:val="28"/>
        </w:rPr>
        <w:t>
      735. Руководство использует формализованные процессы для проведения периодических проверок фармацевтической системы качества. Такие проверки включают в себя:</w:t>
      </w:r>
    </w:p>
    <w:bookmarkEnd w:id="4077"/>
    <w:bookmarkStart w:name="z4188" w:id="4078"/>
    <w:p>
      <w:pPr>
        <w:spacing w:after="0"/>
        <w:ind w:left="0"/>
        <w:jc w:val="both"/>
      </w:pPr>
      <w:r>
        <w:rPr>
          <w:rFonts w:ascii="Times New Roman"/>
          <w:b w:val="false"/>
          <w:i w:val="false"/>
          <w:color w:val="000000"/>
          <w:sz w:val="28"/>
        </w:rPr>
        <w:t>
      1) Систему мер для достижения целей, связанных с фармацевтической системой качества;</w:t>
      </w:r>
    </w:p>
    <w:bookmarkEnd w:id="4078"/>
    <w:bookmarkStart w:name="z4189" w:id="4079"/>
    <w:p>
      <w:pPr>
        <w:spacing w:after="0"/>
        <w:ind w:left="0"/>
        <w:jc w:val="both"/>
      </w:pPr>
      <w:r>
        <w:rPr>
          <w:rFonts w:ascii="Times New Roman"/>
          <w:b w:val="false"/>
          <w:i w:val="false"/>
          <w:color w:val="000000"/>
          <w:sz w:val="28"/>
        </w:rPr>
        <w:t>
      2) Оценку показателей эффективности, которые могут использоваться для проверки эффективности следующих процессов в рамках фармацевтической системы качества:</w:t>
      </w:r>
    </w:p>
    <w:bookmarkEnd w:id="4079"/>
    <w:bookmarkStart w:name="z4190" w:id="4080"/>
    <w:p>
      <w:pPr>
        <w:spacing w:after="0"/>
        <w:ind w:left="0"/>
        <w:jc w:val="both"/>
      </w:pPr>
      <w:r>
        <w:rPr>
          <w:rFonts w:ascii="Times New Roman"/>
          <w:b w:val="false"/>
          <w:i w:val="false"/>
          <w:color w:val="000000"/>
          <w:sz w:val="28"/>
        </w:rPr>
        <w:t>
      3) претензии, отклонения, САРА и процессы управления изменениями;</w:t>
      </w:r>
    </w:p>
    <w:bookmarkEnd w:id="4080"/>
    <w:bookmarkStart w:name="z4191" w:id="4081"/>
    <w:p>
      <w:pPr>
        <w:spacing w:after="0"/>
        <w:ind w:left="0"/>
        <w:jc w:val="both"/>
      </w:pPr>
      <w:r>
        <w:rPr>
          <w:rFonts w:ascii="Times New Roman"/>
          <w:b w:val="false"/>
          <w:i w:val="false"/>
          <w:color w:val="000000"/>
          <w:sz w:val="28"/>
        </w:rPr>
        <w:t>
      4) обратная связь в отношении работ по контракту;</w:t>
      </w:r>
    </w:p>
    <w:bookmarkEnd w:id="4081"/>
    <w:bookmarkStart w:name="z4192" w:id="4082"/>
    <w:p>
      <w:pPr>
        <w:spacing w:after="0"/>
        <w:ind w:left="0"/>
        <w:jc w:val="both"/>
      </w:pPr>
      <w:r>
        <w:rPr>
          <w:rFonts w:ascii="Times New Roman"/>
          <w:b w:val="false"/>
          <w:i w:val="false"/>
          <w:color w:val="000000"/>
          <w:sz w:val="28"/>
        </w:rPr>
        <w:t>
      5) процессы самооценки, включая оценку рисков, анализ тенденций и аудиты;</w:t>
      </w:r>
    </w:p>
    <w:bookmarkEnd w:id="4082"/>
    <w:bookmarkStart w:name="z4193" w:id="4083"/>
    <w:p>
      <w:pPr>
        <w:spacing w:after="0"/>
        <w:ind w:left="0"/>
        <w:jc w:val="both"/>
      </w:pPr>
      <w:r>
        <w:rPr>
          <w:rFonts w:ascii="Times New Roman"/>
          <w:b w:val="false"/>
          <w:i w:val="false"/>
          <w:color w:val="000000"/>
          <w:sz w:val="28"/>
        </w:rPr>
        <w:t>
      6) внешние оценки, в том числе инспекции уполномоченных органов и их заключения, а также аудиты потребителей.</w:t>
      </w:r>
    </w:p>
    <w:bookmarkEnd w:id="4083"/>
    <w:bookmarkStart w:name="z4194" w:id="4084"/>
    <w:p>
      <w:pPr>
        <w:spacing w:after="0"/>
        <w:ind w:left="0"/>
        <w:jc w:val="both"/>
      </w:pPr>
      <w:r>
        <w:rPr>
          <w:rFonts w:ascii="Times New Roman"/>
          <w:b w:val="false"/>
          <w:i w:val="false"/>
          <w:color w:val="000000"/>
          <w:sz w:val="28"/>
        </w:rPr>
        <w:t>
      736. Мониторинг внутренних и внешних факторов, которые влияют на фармацевтическую систему качества</w:t>
      </w:r>
    </w:p>
    <w:bookmarkEnd w:id="4084"/>
    <w:bookmarkStart w:name="z4195" w:id="4085"/>
    <w:p>
      <w:pPr>
        <w:spacing w:after="0"/>
        <w:ind w:left="0"/>
        <w:jc w:val="both"/>
      </w:pPr>
      <w:r>
        <w:rPr>
          <w:rFonts w:ascii="Times New Roman"/>
          <w:b w:val="false"/>
          <w:i w:val="false"/>
          <w:color w:val="000000"/>
          <w:sz w:val="28"/>
        </w:rPr>
        <w:t>
      Факторы, проверяемые руководством, могут включать в себя:</w:t>
      </w:r>
    </w:p>
    <w:bookmarkEnd w:id="4085"/>
    <w:bookmarkStart w:name="z4196" w:id="4086"/>
    <w:p>
      <w:pPr>
        <w:spacing w:after="0"/>
        <w:ind w:left="0"/>
        <w:jc w:val="both"/>
      </w:pPr>
      <w:r>
        <w:rPr>
          <w:rFonts w:ascii="Times New Roman"/>
          <w:b w:val="false"/>
          <w:i w:val="false"/>
          <w:color w:val="000000"/>
          <w:sz w:val="28"/>
        </w:rPr>
        <w:t>
      1) новые нормативные требования, руководства и публикации относительно качества, которые могут влиять на фармацевтическую систему качества;</w:t>
      </w:r>
    </w:p>
    <w:bookmarkEnd w:id="4086"/>
    <w:bookmarkStart w:name="z4197" w:id="4087"/>
    <w:p>
      <w:pPr>
        <w:spacing w:after="0"/>
        <w:ind w:left="0"/>
        <w:jc w:val="both"/>
      </w:pPr>
      <w:r>
        <w:rPr>
          <w:rFonts w:ascii="Times New Roman"/>
          <w:b w:val="false"/>
          <w:i w:val="false"/>
          <w:color w:val="000000"/>
          <w:sz w:val="28"/>
        </w:rPr>
        <w:t>
      2) инновации, способные улучшить фармацевтическую систему качества;</w:t>
      </w:r>
    </w:p>
    <w:bookmarkEnd w:id="4087"/>
    <w:bookmarkStart w:name="z4198" w:id="4088"/>
    <w:p>
      <w:pPr>
        <w:spacing w:after="0"/>
        <w:ind w:left="0"/>
        <w:jc w:val="both"/>
      </w:pPr>
      <w:r>
        <w:rPr>
          <w:rFonts w:ascii="Times New Roman"/>
          <w:b w:val="false"/>
          <w:i w:val="false"/>
          <w:color w:val="000000"/>
          <w:sz w:val="28"/>
        </w:rPr>
        <w:t>
      3) изменения условий и целей деятельности;</w:t>
      </w:r>
    </w:p>
    <w:bookmarkEnd w:id="4088"/>
    <w:bookmarkStart w:name="z4199" w:id="4089"/>
    <w:p>
      <w:pPr>
        <w:spacing w:after="0"/>
        <w:ind w:left="0"/>
        <w:jc w:val="both"/>
      </w:pPr>
      <w:r>
        <w:rPr>
          <w:rFonts w:ascii="Times New Roman"/>
          <w:b w:val="false"/>
          <w:i w:val="false"/>
          <w:color w:val="000000"/>
          <w:sz w:val="28"/>
        </w:rPr>
        <w:t>
      4) изменения в праве собственности на продукцию.</w:t>
      </w:r>
    </w:p>
    <w:bookmarkEnd w:id="4089"/>
    <w:bookmarkStart w:name="z4200" w:id="4090"/>
    <w:p>
      <w:pPr>
        <w:spacing w:after="0"/>
        <w:ind w:left="0"/>
        <w:jc w:val="both"/>
      </w:pPr>
      <w:r>
        <w:rPr>
          <w:rFonts w:ascii="Times New Roman"/>
          <w:b w:val="false"/>
          <w:i w:val="false"/>
          <w:color w:val="000000"/>
          <w:sz w:val="28"/>
        </w:rPr>
        <w:t>
      Результаты проверки, проводимой руководством, и мониторинга</w:t>
      </w:r>
    </w:p>
    <w:bookmarkEnd w:id="4090"/>
    <w:bookmarkStart w:name="z4201" w:id="4091"/>
    <w:p>
      <w:pPr>
        <w:spacing w:after="0"/>
        <w:ind w:left="0"/>
        <w:jc w:val="both"/>
      </w:pPr>
      <w:r>
        <w:rPr>
          <w:rFonts w:ascii="Times New Roman"/>
          <w:b w:val="false"/>
          <w:i w:val="false"/>
          <w:color w:val="000000"/>
          <w:sz w:val="28"/>
        </w:rPr>
        <w:t>
      Итоги проверки руководством фармацевтической системы качества и мониторинга внутренних и внешних факторов могут включать в себя:</w:t>
      </w:r>
    </w:p>
    <w:bookmarkEnd w:id="4091"/>
    <w:bookmarkStart w:name="z4202" w:id="4092"/>
    <w:p>
      <w:pPr>
        <w:spacing w:after="0"/>
        <w:ind w:left="0"/>
        <w:jc w:val="both"/>
      </w:pPr>
      <w:r>
        <w:rPr>
          <w:rFonts w:ascii="Times New Roman"/>
          <w:b w:val="false"/>
          <w:i w:val="false"/>
          <w:color w:val="000000"/>
          <w:sz w:val="28"/>
        </w:rPr>
        <w:t>
      1) улучшение фармацевтической системы качества и связанных процессов;</w:t>
      </w:r>
    </w:p>
    <w:bookmarkEnd w:id="4092"/>
    <w:bookmarkStart w:name="z4203" w:id="4093"/>
    <w:p>
      <w:pPr>
        <w:spacing w:after="0"/>
        <w:ind w:left="0"/>
        <w:jc w:val="both"/>
      </w:pPr>
      <w:r>
        <w:rPr>
          <w:rFonts w:ascii="Times New Roman"/>
          <w:b w:val="false"/>
          <w:i w:val="false"/>
          <w:color w:val="000000"/>
          <w:sz w:val="28"/>
        </w:rPr>
        <w:t>
      2) распределение или перераспределение ресурсов и (или) обучение персонала;</w:t>
      </w:r>
    </w:p>
    <w:bookmarkEnd w:id="4093"/>
    <w:bookmarkStart w:name="z4204" w:id="4094"/>
    <w:p>
      <w:pPr>
        <w:spacing w:after="0"/>
        <w:ind w:left="0"/>
        <w:jc w:val="both"/>
      </w:pPr>
      <w:r>
        <w:rPr>
          <w:rFonts w:ascii="Times New Roman"/>
          <w:b w:val="false"/>
          <w:i w:val="false"/>
          <w:color w:val="000000"/>
          <w:sz w:val="28"/>
        </w:rPr>
        <w:t>
      3) пересмотр политики в области качества и целей качества;</w:t>
      </w:r>
    </w:p>
    <w:bookmarkEnd w:id="4094"/>
    <w:bookmarkStart w:name="z4205" w:id="4095"/>
    <w:p>
      <w:pPr>
        <w:spacing w:after="0"/>
        <w:ind w:left="0"/>
        <w:jc w:val="both"/>
      </w:pPr>
      <w:r>
        <w:rPr>
          <w:rFonts w:ascii="Times New Roman"/>
          <w:b w:val="false"/>
          <w:i w:val="false"/>
          <w:color w:val="000000"/>
          <w:sz w:val="28"/>
        </w:rPr>
        <w:t>
      4) документальное оформление результатов проверки, проведенной руководством, и предпринятых действий, а также своевременный и эффективный обмен информацией о них, включая информирование высшего руководства о соответствующих результатах.</w:t>
      </w:r>
    </w:p>
    <w:bookmarkEnd w:id="4095"/>
    <w:bookmarkStart w:name="z4206" w:id="4096"/>
    <w:p>
      <w:pPr>
        <w:spacing w:after="0"/>
        <w:ind w:left="0"/>
        <w:jc w:val="left"/>
      </w:pPr>
      <w:r>
        <w:rPr>
          <w:rFonts w:ascii="Times New Roman"/>
          <w:b/>
          <w:i w:val="false"/>
          <w:color w:val="000000"/>
        </w:rPr>
        <w:t xml:space="preserve"> Параграф 22. Термины и определения</w:t>
      </w:r>
    </w:p>
    <w:bookmarkEnd w:id="4096"/>
    <w:bookmarkStart w:name="z4207" w:id="4097"/>
    <w:p>
      <w:pPr>
        <w:spacing w:after="0"/>
        <w:ind w:left="0"/>
        <w:jc w:val="both"/>
      </w:pPr>
      <w:r>
        <w:rPr>
          <w:rFonts w:ascii="Times New Roman"/>
          <w:b w:val="false"/>
          <w:i w:val="false"/>
          <w:color w:val="000000"/>
          <w:sz w:val="28"/>
        </w:rPr>
        <w:t>
      737. Термины ICH и ISO используются в настоящем документе там, где них возникает необходимость. В случае, если в контексте настоящей главы слова "требование", "требования" или "необходимо" появляются определении ISO, то они необязательно отражают нормативные требования. Если не было возможности применить определения ICH или ISO, разработаны формулировки для использования их именно в настоящей главе.</w:t>
      </w:r>
    </w:p>
    <w:bookmarkEnd w:id="4097"/>
    <w:bookmarkStart w:name="z4208" w:id="4098"/>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4098"/>
    <w:bookmarkStart w:name="z4209" w:id="4099"/>
    <w:p>
      <w:pPr>
        <w:spacing w:after="0"/>
        <w:ind w:left="0"/>
        <w:jc w:val="both"/>
      </w:pPr>
      <w:r>
        <w:rPr>
          <w:rFonts w:ascii="Times New Roman"/>
          <w:b w:val="false"/>
          <w:i w:val="false"/>
          <w:color w:val="000000"/>
          <w:sz w:val="28"/>
        </w:rPr>
        <w:t>
      1) "возможность процесса" (capability of a process) - способность процесса создавать продукцию, которая будет соответствовать требованиям к этой продукции. Концепция возможности процесса также определяются при помощи статистических терминов;</w:t>
      </w:r>
    </w:p>
    <w:bookmarkEnd w:id="4099"/>
    <w:bookmarkStart w:name="z4210" w:id="4100"/>
    <w:p>
      <w:pPr>
        <w:spacing w:after="0"/>
        <w:ind w:left="0"/>
        <w:jc w:val="both"/>
      </w:pPr>
      <w:r>
        <w:rPr>
          <w:rFonts w:ascii="Times New Roman"/>
          <w:b w:val="false"/>
          <w:i w:val="false"/>
          <w:color w:val="000000"/>
          <w:sz w:val="28"/>
        </w:rPr>
        <w:t>
      2) "высшее руководство" (senior management) - лицо (лица), которое руководит и осуществляет на высшем уровне контроль за деятельностью предприятия или за его отдельной площадкой, а также имеет полномочия и несет ответственность, чтобы задействовать ресурсы предприятия или его отдельной площадки;</w:t>
      </w:r>
    </w:p>
    <w:bookmarkEnd w:id="4100"/>
    <w:bookmarkStart w:name="z4211" w:id="4101"/>
    <w:p>
      <w:pPr>
        <w:spacing w:after="0"/>
        <w:ind w:left="0"/>
        <w:jc w:val="both"/>
      </w:pPr>
      <w:r>
        <w:rPr>
          <w:rFonts w:ascii="Times New Roman"/>
          <w:b w:val="false"/>
          <w:i w:val="false"/>
          <w:color w:val="000000"/>
          <w:sz w:val="28"/>
        </w:rPr>
        <w:t>
      3) "деятельность, передаваемая для выполнения другой организации (аутсорсинг)" (out sourced activities) - деятельность, осуществляемая подрядчиком по письменному договору с заказчиком;</w:t>
      </w:r>
    </w:p>
    <w:bookmarkEnd w:id="4101"/>
    <w:bookmarkStart w:name="z4212" w:id="4102"/>
    <w:p>
      <w:pPr>
        <w:spacing w:after="0"/>
        <w:ind w:left="0"/>
        <w:jc w:val="both"/>
      </w:pPr>
      <w:r>
        <w:rPr>
          <w:rFonts w:ascii="Times New Roman"/>
          <w:b w:val="false"/>
          <w:i w:val="false"/>
          <w:color w:val="000000"/>
          <w:sz w:val="28"/>
        </w:rPr>
        <w:t>
      4) "инновация" (innovation) - внедрение новых технологий или методологий;</w:t>
      </w:r>
    </w:p>
    <w:bookmarkEnd w:id="4102"/>
    <w:bookmarkStart w:name="z4213" w:id="4103"/>
    <w:p>
      <w:pPr>
        <w:spacing w:after="0"/>
        <w:ind w:left="0"/>
        <w:jc w:val="both"/>
      </w:pPr>
      <w:r>
        <w:rPr>
          <w:rFonts w:ascii="Times New Roman"/>
          <w:b w:val="false"/>
          <w:i w:val="false"/>
          <w:color w:val="000000"/>
          <w:sz w:val="28"/>
        </w:rPr>
        <w:t>
      5) "качество" (quality) - степень, в которой совокупность неотъемлемых свойств продукции, системы или процесса соответствует требованиям;</w:t>
      </w:r>
    </w:p>
    <w:bookmarkEnd w:id="4103"/>
    <w:bookmarkStart w:name="z4214" w:id="4104"/>
    <w:p>
      <w:pPr>
        <w:spacing w:after="0"/>
        <w:ind w:left="0"/>
        <w:jc w:val="both"/>
      </w:pPr>
      <w:r>
        <w:rPr>
          <w:rFonts w:ascii="Times New Roman"/>
          <w:b w:val="false"/>
          <w:i w:val="false"/>
          <w:color w:val="000000"/>
          <w:sz w:val="28"/>
        </w:rPr>
        <w:t>
      6) "контролируемое состояние" (state of control) - условие, при котором комплекс контрольных мероприятий обеспечивает стабильную эффективность процесса и качество продукции;</w:t>
      </w:r>
    </w:p>
    <w:bookmarkEnd w:id="4104"/>
    <w:bookmarkStart w:name="z4215" w:id="4105"/>
    <w:p>
      <w:pPr>
        <w:spacing w:after="0"/>
        <w:ind w:left="0"/>
        <w:jc w:val="both"/>
      </w:pPr>
      <w:r>
        <w:rPr>
          <w:rFonts w:ascii="Times New Roman"/>
          <w:b w:val="false"/>
          <w:i w:val="false"/>
          <w:color w:val="000000"/>
          <w:sz w:val="28"/>
        </w:rPr>
        <w:t>
      7) "корректирующие действие" (corrective action) - действие, направленное на устранение причины выявленного несоответствия или другой нежелательной ситуации. Корректирующее действие осуществляется для предотвращения повторения события;</w:t>
      </w:r>
    </w:p>
    <w:bookmarkEnd w:id="4105"/>
    <w:bookmarkStart w:name="z4216" w:id="4106"/>
    <w:p>
      <w:pPr>
        <w:spacing w:after="0"/>
        <w:ind w:left="0"/>
        <w:jc w:val="both"/>
      </w:pPr>
      <w:r>
        <w:rPr>
          <w:rFonts w:ascii="Times New Roman"/>
          <w:b w:val="false"/>
          <w:i w:val="false"/>
          <w:color w:val="000000"/>
          <w:sz w:val="28"/>
        </w:rPr>
        <w:t>
      8) "обратная связь" (feed-back) - модификация или контроль процесса либо системы исходя из их реально полученных результатов или эффективности. Обратную связь можно технически использовать в стратегии контроля процесса и концептуально - в управлении качеством;</w:t>
      </w:r>
    </w:p>
    <w:bookmarkEnd w:id="4106"/>
    <w:bookmarkStart w:name="z4217" w:id="4107"/>
    <w:p>
      <w:pPr>
        <w:spacing w:after="0"/>
        <w:ind w:left="0"/>
        <w:jc w:val="both"/>
      </w:pPr>
      <w:r>
        <w:rPr>
          <w:rFonts w:ascii="Times New Roman"/>
          <w:b w:val="false"/>
          <w:i w:val="false"/>
          <w:color w:val="000000"/>
          <w:sz w:val="28"/>
        </w:rPr>
        <w:t>
      9) "планирование качества" (quality planning) - часть управления качеством, направленная на установление целей качества и определение необходимых операционных процессов и соответствующих ресурсов для достижения этих целей;</w:t>
      </w:r>
    </w:p>
    <w:bookmarkEnd w:id="4107"/>
    <w:bookmarkStart w:name="z4218" w:id="4108"/>
    <w:p>
      <w:pPr>
        <w:spacing w:after="0"/>
        <w:ind w:left="0"/>
        <w:jc w:val="both"/>
      </w:pPr>
      <w:r>
        <w:rPr>
          <w:rFonts w:ascii="Times New Roman"/>
          <w:b w:val="false"/>
          <w:i w:val="false"/>
          <w:color w:val="000000"/>
          <w:sz w:val="28"/>
        </w:rPr>
        <w:t>
      10) "показатели эффективности" (performance indicators) - измеряемые значения, используемые для количественного выражения целей качества, отражающих эффективность организации, процесса и системы. В некоторых регионах используется термин "метрика эффективности";</w:t>
      </w:r>
    </w:p>
    <w:bookmarkEnd w:id="4108"/>
    <w:bookmarkStart w:name="z4219" w:id="4109"/>
    <w:p>
      <w:pPr>
        <w:spacing w:after="0"/>
        <w:ind w:left="0"/>
        <w:jc w:val="both"/>
      </w:pPr>
      <w:r>
        <w:rPr>
          <w:rFonts w:ascii="Times New Roman"/>
          <w:b w:val="false"/>
          <w:i w:val="false"/>
          <w:color w:val="000000"/>
          <w:sz w:val="28"/>
        </w:rPr>
        <w:t>
      11) "политика в области качества" (quality policy) - общие цели и направление деятельности организации относительно качества, которые официально формулируются высшим руководством;</w:t>
      </w:r>
    </w:p>
    <w:bookmarkEnd w:id="4109"/>
    <w:bookmarkStart w:name="z4220" w:id="4110"/>
    <w:p>
      <w:pPr>
        <w:spacing w:after="0"/>
        <w:ind w:left="0"/>
        <w:jc w:val="both"/>
      </w:pPr>
      <w:r>
        <w:rPr>
          <w:rFonts w:ascii="Times New Roman"/>
          <w:b w:val="false"/>
          <w:i w:val="false"/>
          <w:color w:val="000000"/>
          <w:sz w:val="28"/>
        </w:rPr>
        <w:t>
      12) "постоянное улучшение" (continual improvement) - постоянная деятельность, направленная на увеличение способности соответствовать требованиям;</w:t>
      </w:r>
    </w:p>
    <w:bookmarkEnd w:id="4110"/>
    <w:bookmarkStart w:name="z4221" w:id="4111"/>
    <w:p>
      <w:pPr>
        <w:spacing w:after="0"/>
        <w:ind w:left="0"/>
        <w:jc w:val="both"/>
      </w:pPr>
      <w:r>
        <w:rPr>
          <w:rFonts w:ascii="Times New Roman"/>
          <w:b w:val="false"/>
          <w:i w:val="false"/>
          <w:color w:val="000000"/>
          <w:sz w:val="28"/>
        </w:rPr>
        <w:t>
      13) "предупреждающее действие" (preventive action) - действие, направленное на устранение причин потенциальных несоответствий или других нежелательных ситуаций. Предупреждающее действие осуществляется для предотвращения события;</w:t>
      </w:r>
    </w:p>
    <w:bookmarkEnd w:id="4111"/>
    <w:bookmarkStart w:name="z4222" w:id="4112"/>
    <w:p>
      <w:pPr>
        <w:spacing w:after="0"/>
        <w:ind w:left="0"/>
        <w:jc w:val="both"/>
      </w:pPr>
      <w:r>
        <w:rPr>
          <w:rFonts w:ascii="Times New Roman"/>
          <w:b w:val="false"/>
          <w:i w:val="false"/>
          <w:color w:val="000000"/>
          <w:sz w:val="28"/>
        </w:rPr>
        <w:t>
      14) "пространство проектных параметров" (design space) - многомерная комбинация и взаимодействие различных исходных переменных (например, свойств материалов), а также параметров процесса, при которых доказано обеспечение качества;</w:t>
      </w:r>
    </w:p>
    <w:bookmarkEnd w:id="4112"/>
    <w:bookmarkStart w:name="z4223" w:id="4113"/>
    <w:p>
      <w:pPr>
        <w:spacing w:after="0"/>
        <w:ind w:left="0"/>
        <w:jc w:val="both"/>
      </w:pPr>
      <w:r>
        <w:rPr>
          <w:rFonts w:ascii="Times New Roman"/>
          <w:b w:val="false"/>
          <w:i w:val="false"/>
          <w:color w:val="000000"/>
          <w:sz w:val="28"/>
        </w:rPr>
        <w:t>
      15) "прямая связь" (feed-forward) - модификация или контроль процесса исходя из их прогнозируемых результатов или эффективности. Прямую связь можно технически использовать в стратегии контроля процесса и концептуально - в управлении качеством;</w:t>
      </w:r>
    </w:p>
    <w:bookmarkEnd w:id="4113"/>
    <w:bookmarkStart w:name="z4224" w:id="4114"/>
    <w:p>
      <w:pPr>
        <w:spacing w:after="0"/>
        <w:ind w:left="0"/>
        <w:jc w:val="both"/>
      </w:pPr>
      <w:r>
        <w:rPr>
          <w:rFonts w:ascii="Times New Roman"/>
          <w:b w:val="false"/>
          <w:i w:val="false"/>
          <w:color w:val="000000"/>
          <w:sz w:val="28"/>
        </w:rPr>
        <w:t>
      16) "реализация продукции" (product realisation) - достижение производства продукции с показателями качества, соответствующими потребностям пациентов, медицинских работников, уполномоченных органов (включая соответствие установленным требованиям), а также внутренних потребителей;</w:t>
      </w:r>
    </w:p>
    <w:bookmarkEnd w:id="4114"/>
    <w:bookmarkStart w:name="z4225" w:id="4115"/>
    <w:p>
      <w:pPr>
        <w:spacing w:after="0"/>
        <w:ind w:left="0"/>
        <w:jc w:val="both"/>
      </w:pPr>
      <w:r>
        <w:rPr>
          <w:rFonts w:ascii="Times New Roman"/>
          <w:b w:val="false"/>
          <w:i w:val="false"/>
          <w:color w:val="000000"/>
          <w:sz w:val="28"/>
        </w:rPr>
        <w:t>
      17) "руководство по качеству" (quality manual) - документ, содержащий систему управления качеством, применяемую в организации;</w:t>
      </w:r>
    </w:p>
    <w:bookmarkEnd w:id="4115"/>
    <w:bookmarkStart w:name="z4226" w:id="4116"/>
    <w:p>
      <w:pPr>
        <w:spacing w:after="0"/>
        <w:ind w:left="0"/>
        <w:jc w:val="both"/>
      </w:pPr>
      <w:r>
        <w:rPr>
          <w:rFonts w:ascii="Times New Roman"/>
          <w:b w:val="false"/>
          <w:i w:val="false"/>
          <w:color w:val="000000"/>
          <w:sz w:val="28"/>
        </w:rPr>
        <w:t>
      18) "средство улучшения" (enabler) - инструмент или процесс, обеспечивающее средства для достижения цели;</w:t>
      </w:r>
    </w:p>
    <w:bookmarkEnd w:id="4116"/>
    <w:bookmarkStart w:name="z4227" w:id="4117"/>
    <w:p>
      <w:pPr>
        <w:spacing w:after="0"/>
        <w:ind w:left="0"/>
        <w:jc w:val="both"/>
      </w:pPr>
      <w:r>
        <w:rPr>
          <w:rFonts w:ascii="Times New Roman"/>
          <w:b w:val="false"/>
          <w:i w:val="false"/>
          <w:color w:val="000000"/>
          <w:sz w:val="28"/>
        </w:rPr>
        <w:t>
      19) "стратегия контроля" (control strategy) - запланированный комплекс мероприятий по контролю, основанный на понимании данной продукции и процесса, и обеспечивающие эффективность процесса и качество продукции. Стратегия контроля включают в себя контроль параметров и характеристик, относящихся к активным фармацевтическим субстанциям, исходному сырью и компонентам лекарственных препаратов, условиям эксплуатации помещений и оборудования, контролю в процессе производства, спецификациям на готовую продукцию, а также связанные методы и частоту проведения мониторинга и контроля;</w:t>
      </w:r>
    </w:p>
    <w:bookmarkEnd w:id="4117"/>
    <w:bookmarkStart w:name="z4228" w:id="4118"/>
    <w:p>
      <w:pPr>
        <w:spacing w:after="0"/>
        <w:ind w:left="0"/>
        <w:jc w:val="both"/>
      </w:pPr>
      <w:r>
        <w:rPr>
          <w:rFonts w:ascii="Times New Roman"/>
          <w:b w:val="false"/>
          <w:i w:val="false"/>
          <w:color w:val="000000"/>
          <w:sz w:val="28"/>
        </w:rPr>
        <w:t>
      20) "управление знаниями" (knowledge management) - систематический подход к сбору, анализу, накоплению и распространению информации о продукции, производственных процессах и компонентах;</w:t>
      </w:r>
    </w:p>
    <w:bookmarkEnd w:id="4118"/>
    <w:bookmarkStart w:name="z4229" w:id="4119"/>
    <w:p>
      <w:pPr>
        <w:spacing w:after="0"/>
        <w:ind w:left="0"/>
        <w:jc w:val="both"/>
      </w:pPr>
      <w:r>
        <w:rPr>
          <w:rFonts w:ascii="Times New Roman"/>
          <w:b w:val="false"/>
          <w:i w:val="false"/>
          <w:color w:val="000000"/>
          <w:sz w:val="28"/>
        </w:rPr>
        <w:t>
      21) "управление изменениями" (change management) - систематический подход к предложению, оценке, утверждению, внедрению и проверке изменений;</w:t>
      </w:r>
    </w:p>
    <w:bookmarkEnd w:id="4119"/>
    <w:bookmarkStart w:name="z4230" w:id="4120"/>
    <w:p>
      <w:pPr>
        <w:spacing w:after="0"/>
        <w:ind w:left="0"/>
        <w:jc w:val="both"/>
      </w:pPr>
      <w:r>
        <w:rPr>
          <w:rFonts w:ascii="Times New Roman"/>
          <w:b w:val="false"/>
          <w:i w:val="false"/>
          <w:color w:val="000000"/>
          <w:sz w:val="28"/>
        </w:rPr>
        <w:t>
      22) "управление рисками для качества" (quality risk management) - систематический процесс для общей оценки, контроля, передачи информации и обзора рисков для качества лекарственных препаратов на протяжении жизненного цикла продукции;</w:t>
      </w:r>
    </w:p>
    <w:bookmarkEnd w:id="4120"/>
    <w:bookmarkStart w:name="z4231" w:id="4121"/>
    <w:p>
      <w:pPr>
        <w:spacing w:after="0"/>
        <w:ind w:left="0"/>
        <w:jc w:val="both"/>
      </w:pPr>
      <w:r>
        <w:rPr>
          <w:rFonts w:ascii="Times New Roman"/>
          <w:b w:val="false"/>
          <w:i w:val="false"/>
          <w:color w:val="000000"/>
          <w:sz w:val="28"/>
        </w:rPr>
        <w:t>
      23) "фармацевтическая система качества" (ФСК) (pharmaceutical quality system, PQS) - система управления для направления и контроля фармацевтической компании в отношении качества;</w:t>
      </w:r>
    </w:p>
    <w:bookmarkEnd w:id="4121"/>
    <w:bookmarkStart w:name="z4232" w:id="4122"/>
    <w:p>
      <w:pPr>
        <w:spacing w:after="0"/>
        <w:ind w:left="0"/>
        <w:jc w:val="both"/>
      </w:pPr>
      <w:r>
        <w:rPr>
          <w:rFonts w:ascii="Times New Roman"/>
          <w:b w:val="false"/>
          <w:i w:val="false"/>
          <w:color w:val="000000"/>
          <w:sz w:val="28"/>
        </w:rPr>
        <w:t>
      24) "цели качества" (quality objectives) - средства преобразования политики в области качества и стратегий в измеряемую деятельность.</w:t>
      </w:r>
    </w:p>
    <w:bookmarkEnd w:id="4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3</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4234" w:id="4123"/>
    <w:p>
      <w:pPr>
        <w:spacing w:after="0"/>
        <w:ind w:left="0"/>
        <w:jc w:val="both"/>
      </w:pPr>
      <w:r>
        <w:rPr>
          <w:rFonts w:ascii="Times New Roman"/>
          <w:b w:val="false"/>
          <w:i w:val="false"/>
          <w:color w:val="000000"/>
          <w:sz w:val="28"/>
        </w:rPr>
        <w:t>
      Потенциальные возможности улучшения научных и основанных на анализе рисков надзорных подходов</w:t>
      </w:r>
    </w:p>
    <w:bookmarkEnd w:id="4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Потенциальная возможность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Соответствовать требованиям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 надлежащей производственной практики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2.Демонстрировать эффективную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использования подходов,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фармацевтическую систему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основанных на анализе рисков, при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эффективное использование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проведении инспекций уполномоченными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принципов управления рисками для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(например, настоящий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глава 12 части III Стандарта "Управление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рисками для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Демонстрировать понимание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научно обоснованной оценке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продукции и процесса, включая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фармацевтического качества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принципов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применения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рисками для качества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инновационных подходов к процессу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документ "Управление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рисками для качества" настоящего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 и документ "Фармацевтическая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механизмов выдачи разрешения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(ICH Q8).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реальном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Демонстрировать эффективную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использования подходов,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фармацевтическую систему качества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основанных на анализе рисков, при проведении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продукции и процесса,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инспекций уполномоченными органами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эффективное использование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научно-обоснованной оценке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принципов управления рисками для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фармацевтического качества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 (например, настоящий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документ "Фармацевтическая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научно обоснованных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(ICH Q8) и глава 12 части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основанных на анализе рисков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настоящего Стандарта)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изменений, вносимых после 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лекарственных средств, для извлечения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максимальной пользы от инноваций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улучшения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инновационных подходов к процессу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механизмов выдачи разрешения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реальном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5" w:id="4124"/>
    <w:p>
      <w:pPr>
        <w:spacing w:after="0"/>
        <w:ind w:left="0"/>
        <w:jc w:val="both"/>
      </w:pPr>
      <w:r>
        <w:rPr>
          <w:rFonts w:ascii="Times New Roman"/>
          <w:b w:val="false"/>
          <w:i w:val="false"/>
          <w:color w:val="000000"/>
          <w:sz w:val="28"/>
        </w:rPr>
        <w:t>
      Настоящий документ отражает потенциальные возможности улучшения подходов, которые могут применяться уполномоченными органами (организациями). Фактический надзорный процесс определяется законодательством.</w:t>
      </w:r>
    </w:p>
    <w:bookmarkEnd w:id="4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4</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bookmarkStart w:name="z4237" w:id="4125"/>
    <w:p>
      <w:pPr>
        <w:spacing w:after="0"/>
        <w:ind w:left="0"/>
        <w:jc w:val="both"/>
      </w:pPr>
      <w:r>
        <w:rPr>
          <w:rFonts w:ascii="Times New Roman"/>
          <w:b w:val="false"/>
          <w:i w:val="false"/>
          <w:color w:val="000000"/>
          <w:sz w:val="28"/>
        </w:rPr>
        <w:t>
      СХЕМА модели фармацевтической системы качества</w:t>
      </w:r>
    </w:p>
    <w:bookmarkEnd w:id="4125"/>
    <w:bookmarkStart w:name="z4238" w:id="4126"/>
    <w:p>
      <w:pPr>
        <w:spacing w:after="0"/>
        <w:ind w:left="0"/>
        <w:jc w:val="both"/>
      </w:pPr>
      <w:r>
        <w:rPr>
          <w:rFonts w:ascii="Times New Roman"/>
          <w:b w:val="false"/>
          <w:i w:val="false"/>
          <w:color w:val="000000"/>
          <w:sz w:val="28"/>
        </w:rPr>
        <w:t xml:space="preserve">
      </w:t>
      </w:r>
    </w:p>
    <w:bookmarkEnd w:id="4126"/>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39" w:id="4127"/>
    <w:p>
      <w:pPr>
        <w:spacing w:after="0"/>
        <w:ind w:left="0"/>
        <w:jc w:val="both"/>
      </w:pPr>
      <w:r>
        <w:rPr>
          <w:rFonts w:ascii="Times New Roman"/>
          <w:b w:val="false"/>
          <w:i w:val="false"/>
          <w:color w:val="000000"/>
          <w:sz w:val="28"/>
        </w:rPr>
        <w:t>
      738. На схеме показаны основные особенности модели фармацевтической системы качества (далее - ФСК). ФСК охватывает весь жизненный цикл продукции, включая фармацевтическую разработку, перенос технологии, промышленное производство и прекращение производства.</w:t>
      </w:r>
    </w:p>
    <w:bookmarkEnd w:id="4127"/>
    <w:bookmarkStart w:name="z4240" w:id="4128"/>
    <w:p>
      <w:pPr>
        <w:spacing w:after="0"/>
        <w:ind w:left="0"/>
        <w:jc w:val="both"/>
      </w:pPr>
      <w:r>
        <w:rPr>
          <w:rFonts w:ascii="Times New Roman"/>
          <w:b w:val="false"/>
          <w:i w:val="false"/>
          <w:color w:val="000000"/>
          <w:sz w:val="28"/>
        </w:rPr>
        <w:t xml:space="preserve">
      ФСК расширяет требования Стандарта надлежащей производственной практики, как показано на схеме. Схема также показывает то, что </w:t>
      </w:r>
    </w:p>
    <w:bookmarkEnd w:id="4128"/>
    <w:bookmarkStart w:name="z4241" w:id="4129"/>
    <w:p>
      <w:pPr>
        <w:spacing w:after="0"/>
        <w:ind w:left="0"/>
        <w:jc w:val="both"/>
      </w:pPr>
      <w:r>
        <w:rPr>
          <w:rFonts w:ascii="Times New Roman"/>
          <w:b w:val="false"/>
          <w:i w:val="false"/>
          <w:color w:val="000000"/>
          <w:sz w:val="28"/>
        </w:rPr>
        <w:t>
      требования Стандарта распространяются на производство лекарственных препаратов для клинических исследований.</w:t>
      </w:r>
    </w:p>
    <w:bookmarkEnd w:id="4129"/>
    <w:bookmarkStart w:name="z4242" w:id="4130"/>
    <w:p>
      <w:pPr>
        <w:spacing w:after="0"/>
        <w:ind w:left="0"/>
        <w:jc w:val="both"/>
      </w:pPr>
      <w:r>
        <w:rPr>
          <w:rFonts w:ascii="Times New Roman"/>
          <w:b w:val="false"/>
          <w:i w:val="false"/>
          <w:color w:val="000000"/>
          <w:sz w:val="28"/>
        </w:rPr>
        <w:t>
      Второй горизонтальный блок иллюстрирует важность ответственности руководства (которая разъясняется в разделе 2 главы III части III Стандарта) в отношении всех этапов жизненного цикла продукции. В следующем за ним горизонтальном блоке приведен перечень элементов ФСК, которые являются опорными для модели ФСК. Эти элементы следует соответственно и пропорционально применять к каждому этапу жизненного цикла продукции, осознавая возможности выявления сфер для постоянного улучшения.</w:t>
      </w:r>
    </w:p>
    <w:bookmarkEnd w:id="4130"/>
    <w:bookmarkStart w:name="z4243" w:id="4131"/>
    <w:p>
      <w:pPr>
        <w:spacing w:after="0"/>
        <w:ind w:left="0"/>
        <w:jc w:val="both"/>
      </w:pPr>
      <w:r>
        <w:rPr>
          <w:rFonts w:ascii="Times New Roman"/>
          <w:b w:val="false"/>
          <w:i w:val="false"/>
          <w:color w:val="000000"/>
          <w:sz w:val="28"/>
        </w:rPr>
        <w:t>
      В наборе горизонтальных блоков в нижней части схемы показаны средства улучшения: управление знаниями и управление рисками для качества, которые применяются на протяжении всех этапов жизненного цикла продукции. Эти средства улучшения помогают при достижении целей ФСК в отношении производства продукции, соответствующей своему предназначению, установления и поддержания контролируемого состояния и содействуют постоянному улучшению.</w:t>
      </w:r>
    </w:p>
    <w:bookmarkEnd w:id="4131"/>
    <w:bookmarkStart w:name="z4244" w:id="4132"/>
    <w:p>
      <w:pPr>
        <w:spacing w:after="0"/>
        <w:ind w:left="0"/>
        <w:jc w:val="left"/>
      </w:pPr>
      <w:r>
        <w:rPr>
          <w:rFonts w:ascii="Times New Roman"/>
          <w:b/>
          <w:i w:val="false"/>
          <w:color w:val="000000"/>
        </w:rPr>
        <w:t xml:space="preserve"> Глава 14. Международные гармонизированные требования сертификации серии. Основные требования</w:t>
      </w:r>
    </w:p>
    <w:bookmarkEnd w:id="4132"/>
    <w:bookmarkStart w:name="z4245" w:id="4133"/>
    <w:p>
      <w:pPr>
        <w:spacing w:after="0"/>
        <w:ind w:left="0"/>
        <w:jc w:val="both"/>
      </w:pPr>
      <w:r>
        <w:rPr>
          <w:rFonts w:ascii="Times New Roman"/>
          <w:b w:val="false"/>
          <w:i w:val="false"/>
          <w:color w:val="000000"/>
          <w:sz w:val="28"/>
        </w:rPr>
        <w:t>
      739. В настоящей главе изложены международные гармонизированные требования к содержанию сертификата серии лекарственного средства.</w:t>
      </w:r>
    </w:p>
    <w:bookmarkEnd w:id="4133"/>
    <w:bookmarkStart w:name="z4246" w:id="4134"/>
    <w:p>
      <w:pPr>
        <w:spacing w:after="0"/>
        <w:ind w:left="0"/>
        <w:jc w:val="both"/>
      </w:pPr>
      <w:r>
        <w:rPr>
          <w:rFonts w:ascii="Times New Roman"/>
          <w:b w:val="false"/>
          <w:i w:val="false"/>
          <w:color w:val="000000"/>
          <w:sz w:val="28"/>
        </w:rPr>
        <w:t>
      Каждую серию лекарственного средства, в том числе перемещаемую между странами, в которых соблюдаются требования надлежащего производства, сопровождают сертификатом серии, выданным производителем лекарственного средства.</w:t>
      </w:r>
    </w:p>
    <w:bookmarkEnd w:id="4134"/>
    <w:bookmarkStart w:name="z4247" w:id="4135"/>
    <w:p>
      <w:pPr>
        <w:spacing w:after="0"/>
        <w:ind w:left="0"/>
        <w:jc w:val="both"/>
      </w:pPr>
      <w:r>
        <w:rPr>
          <w:rFonts w:ascii="Times New Roman"/>
          <w:b w:val="false"/>
          <w:i w:val="false"/>
          <w:color w:val="000000"/>
          <w:sz w:val="28"/>
        </w:rPr>
        <w:t>
      Такой сертификат выдается после полного качественного и количественного анализа всех действующих веществ и иных соответствующих ингредиентов для гарантии того, что качество лекарственного средства соответствует всем требованиям регистрационного досье. Сертификат серии подтверждает, что серия соответствует спецификациям и произведена в соответствии с регистрационным досье. В сертификате приведены подробные спецификации на лекарственное средство, ссылки на аналитические методы, полученные результаты аналитических испытаний, а также содержатся подтверждение того, что записи по производству, упаковке и контролю качества серии проверены и сделан вывод об их соответствии требованиям настоящего Стандарта. Сертификат серии подписан лицом, ответственным за подтверждение того, что серия пригодна к выпуску в реализацию или для поставок (экспорта).</w:t>
      </w:r>
    </w:p>
    <w:bookmarkEnd w:id="4135"/>
    <w:bookmarkStart w:name="z4248" w:id="4136"/>
    <w:p>
      <w:pPr>
        <w:spacing w:after="0"/>
        <w:ind w:left="0"/>
        <w:jc w:val="both"/>
      </w:pPr>
      <w:r>
        <w:rPr>
          <w:rFonts w:ascii="Times New Roman"/>
          <w:b w:val="false"/>
          <w:i w:val="false"/>
          <w:color w:val="000000"/>
          <w:sz w:val="28"/>
        </w:rPr>
        <w:t>
      Организация, реализующая лекарственное средство, получают и сохраняют выданный производителем сертификат. По запросу этот сертификат легкодоступен сотрудникам уполномоченных органов. Такой сертификат производителя о соответствии серии может иметь особое значение для того, чтобы не проводит повторный контроль, если это разрешено соответствующими нормативными правовыми актами.</w:t>
      </w:r>
    </w:p>
    <w:bookmarkEnd w:id="4136"/>
    <w:bookmarkStart w:name="z4249" w:id="4137"/>
    <w:p>
      <w:pPr>
        <w:spacing w:after="0"/>
        <w:ind w:left="0"/>
        <w:jc w:val="both"/>
      </w:pPr>
      <w:r>
        <w:rPr>
          <w:rFonts w:ascii="Times New Roman"/>
          <w:b w:val="false"/>
          <w:i w:val="false"/>
          <w:color w:val="000000"/>
          <w:sz w:val="28"/>
        </w:rPr>
        <w:t>
      При необходимости такой сертификат также выдается для такой продукции, не являющейся готовым лекарственным препаратом, как промежуточная продукция, нерасфасованная или частично упакованная продукция.</w:t>
      </w:r>
    </w:p>
    <w:bookmarkEnd w:id="4137"/>
    <w:bookmarkStart w:name="z4250" w:id="4138"/>
    <w:p>
      <w:pPr>
        <w:spacing w:after="0"/>
        <w:ind w:left="0"/>
        <w:jc w:val="both"/>
      </w:pPr>
      <w:r>
        <w:rPr>
          <w:rFonts w:ascii="Times New Roman"/>
          <w:b w:val="false"/>
          <w:i w:val="false"/>
          <w:color w:val="000000"/>
          <w:sz w:val="28"/>
        </w:rPr>
        <w:t>
      Такой сертификат также выдается на активные фармацевтические субстанции и исследуемые лекарственные препараты, используемые в клинических исследованиях. Рекомендуется использовать терминологию, которая приведена в разделе "Определения" настоящей главы.</w:t>
      </w:r>
    </w:p>
    <w:bookmarkEnd w:id="4138"/>
    <w:bookmarkStart w:name="z4251" w:id="4139"/>
    <w:p>
      <w:pPr>
        <w:spacing w:after="0"/>
        <w:ind w:left="0"/>
        <w:jc w:val="both"/>
      </w:pPr>
      <w:r>
        <w:rPr>
          <w:rFonts w:ascii="Times New Roman"/>
          <w:b w:val="false"/>
          <w:i w:val="false"/>
          <w:color w:val="000000"/>
          <w:sz w:val="28"/>
        </w:rPr>
        <w:t>
      Сертификат серии лекарственного средства оформляется на бланке и содержит следующие сведения:</w:t>
      </w:r>
    </w:p>
    <w:bookmarkEnd w:id="4139"/>
    <w:bookmarkStart w:name="z4252" w:id="4140"/>
    <w:p>
      <w:pPr>
        <w:spacing w:after="0"/>
        <w:ind w:left="0"/>
        <w:jc w:val="both"/>
      </w:pPr>
      <w:r>
        <w:rPr>
          <w:rFonts w:ascii="Times New Roman"/>
          <w:b w:val="false"/>
          <w:i w:val="false"/>
          <w:color w:val="000000"/>
          <w:sz w:val="28"/>
        </w:rPr>
        <w:t>
      Название продукции</w:t>
      </w:r>
    </w:p>
    <w:bookmarkEnd w:id="4140"/>
    <w:bookmarkStart w:name="z4253" w:id="4141"/>
    <w:p>
      <w:pPr>
        <w:spacing w:after="0"/>
        <w:ind w:left="0"/>
        <w:jc w:val="both"/>
      </w:pPr>
      <w:r>
        <w:rPr>
          <w:rFonts w:ascii="Times New Roman"/>
          <w:b w:val="false"/>
          <w:i w:val="false"/>
          <w:color w:val="000000"/>
          <w:sz w:val="28"/>
        </w:rPr>
        <w:t>
      Страна-импортер</w:t>
      </w:r>
    </w:p>
    <w:bookmarkEnd w:id="4141"/>
    <w:bookmarkStart w:name="z4254" w:id="4142"/>
    <w:p>
      <w:pPr>
        <w:spacing w:after="0"/>
        <w:ind w:left="0"/>
        <w:jc w:val="both"/>
      </w:pPr>
      <w:r>
        <w:rPr>
          <w:rFonts w:ascii="Times New Roman"/>
          <w:b w:val="false"/>
          <w:i w:val="false"/>
          <w:color w:val="000000"/>
          <w:sz w:val="28"/>
        </w:rPr>
        <w:t>
      Номер регистрационного удостоверения или номер разрешения на проведение клинических исследований</w:t>
      </w:r>
    </w:p>
    <w:bookmarkEnd w:id="4142"/>
    <w:bookmarkStart w:name="z4255" w:id="4143"/>
    <w:p>
      <w:pPr>
        <w:spacing w:after="0"/>
        <w:ind w:left="0"/>
        <w:jc w:val="both"/>
      </w:pPr>
      <w:r>
        <w:rPr>
          <w:rFonts w:ascii="Times New Roman"/>
          <w:b w:val="false"/>
          <w:i w:val="false"/>
          <w:color w:val="000000"/>
          <w:sz w:val="28"/>
        </w:rPr>
        <w:t>
      Дозировка (активность)</w:t>
      </w:r>
    </w:p>
    <w:bookmarkEnd w:id="4143"/>
    <w:bookmarkStart w:name="z4256" w:id="4144"/>
    <w:p>
      <w:pPr>
        <w:spacing w:after="0"/>
        <w:ind w:left="0"/>
        <w:jc w:val="both"/>
      </w:pPr>
      <w:r>
        <w:rPr>
          <w:rFonts w:ascii="Times New Roman"/>
          <w:b w:val="false"/>
          <w:i w:val="false"/>
          <w:color w:val="000000"/>
          <w:sz w:val="28"/>
        </w:rPr>
        <w:t>
      Лекарственная форма</w:t>
      </w:r>
    </w:p>
    <w:bookmarkEnd w:id="4144"/>
    <w:bookmarkStart w:name="z4257" w:id="4145"/>
    <w:p>
      <w:pPr>
        <w:spacing w:after="0"/>
        <w:ind w:left="0"/>
        <w:jc w:val="both"/>
      </w:pPr>
      <w:r>
        <w:rPr>
          <w:rFonts w:ascii="Times New Roman"/>
          <w:b w:val="false"/>
          <w:i w:val="false"/>
          <w:color w:val="000000"/>
          <w:sz w:val="28"/>
        </w:rPr>
        <w:t>
      Размер и тип упаковки</w:t>
      </w:r>
    </w:p>
    <w:bookmarkEnd w:id="4145"/>
    <w:bookmarkStart w:name="z4258" w:id="4146"/>
    <w:p>
      <w:pPr>
        <w:spacing w:after="0"/>
        <w:ind w:left="0"/>
        <w:jc w:val="both"/>
      </w:pPr>
      <w:r>
        <w:rPr>
          <w:rFonts w:ascii="Times New Roman"/>
          <w:b w:val="false"/>
          <w:i w:val="false"/>
          <w:color w:val="000000"/>
          <w:sz w:val="28"/>
        </w:rPr>
        <w:t>
      Номер серии</w:t>
      </w:r>
    </w:p>
    <w:bookmarkEnd w:id="4146"/>
    <w:bookmarkStart w:name="z4259" w:id="4147"/>
    <w:p>
      <w:pPr>
        <w:spacing w:after="0"/>
        <w:ind w:left="0"/>
        <w:jc w:val="both"/>
      </w:pPr>
      <w:r>
        <w:rPr>
          <w:rFonts w:ascii="Times New Roman"/>
          <w:b w:val="false"/>
          <w:i w:val="false"/>
          <w:color w:val="000000"/>
          <w:sz w:val="28"/>
        </w:rPr>
        <w:t>
      Дата производства</w:t>
      </w:r>
    </w:p>
    <w:bookmarkEnd w:id="4147"/>
    <w:bookmarkStart w:name="z4260" w:id="4148"/>
    <w:p>
      <w:pPr>
        <w:spacing w:after="0"/>
        <w:ind w:left="0"/>
        <w:jc w:val="both"/>
      </w:pPr>
      <w:r>
        <w:rPr>
          <w:rFonts w:ascii="Times New Roman"/>
          <w:b w:val="false"/>
          <w:i w:val="false"/>
          <w:color w:val="000000"/>
          <w:sz w:val="28"/>
        </w:rPr>
        <w:t>
      Дата окончания срока годности</w:t>
      </w:r>
    </w:p>
    <w:bookmarkEnd w:id="4148"/>
    <w:bookmarkStart w:name="z4261" w:id="4149"/>
    <w:p>
      <w:pPr>
        <w:spacing w:after="0"/>
        <w:ind w:left="0"/>
        <w:jc w:val="both"/>
      </w:pPr>
      <w:r>
        <w:rPr>
          <w:rFonts w:ascii="Times New Roman"/>
          <w:b w:val="false"/>
          <w:i w:val="false"/>
          <w:color w:val="000000"/>
          <w:sz w:val="28"/>
        </w:rPr>
        <w:t>
      Названия, адреса и номера лицензий всех производственных площадок и мест проведения контроля качества</w:t>
      </w:r>
    </w:p>
    <w:bookmarkEnd w:id="4149"/>
    <w:bookmarkStart w:name="z4262" w:id="4150"/>
    <w:p>
      <w:pPr>
        <w:spacing w:after="0"/>
        <w:ind w:left="0"/>
        <w:jc w:val="both"/>
      </w:pPr>
      <w:r>
        <w:rPr>
          <w:rFonts w:ascii="Times New Roman"/>
          <w:b w:val="false"/>
          <w:i w:val="false"/>
          <w:color w:val="000000"/>
          <w:sz w:val="28"/>
        </w:rPr>
        <w:t>
      Сертификаты соответствия требованиям Стандарта надлежащей производственной практики для всех площадок, приведенных в пункте 747.</w:t>
      </w:r>
    </w:p>
    <w:bookmarkEnd w:id="4150"/>
    <w:bookmarkStart w:name="z4263" w:id="4151"/>
    <w:p>
      <w:pPr>
        <w:spacing w:after="0"/>
        <w:ind w:left="0"/>
        <w:jc w:val="both"/>
      </w:pPr>
      <w:r>
        <w:rPr>
          <w:rFonts w:ascii="Times New Roman"/>
          <w:b w:val="false"/>
          <w:i w:val="false"/>
          <w:color w:val="000000"/>
          <w:sz w:val="28"/>
        </w:rPr>
        <w:t>
      Результаты анализов</w:t>
      </w:r>
    </w:p>
    <w:bookmarkEnd w:id="4151"/>
    <w:bookmarkStart w:name="z4264" w:id="4152"/>
    <w:p>
      <w:pPr>
        <w:spacing w:after="0"/>
        <w:ind w:left="0"/>
        <w:jc w:val="both"/>
      </w:pPr>
      <w:r>
        <w:rPr>
          <w:rFonts w:ascii="Times New Roman"/>
          <w:b w:val="false"/>
          <w:i w:val="false"/>
          <w:color w:val="000000"/>
          <w:sz w:val="28"/>
        </w:rPr>
        <w:t>
      Комментарии</w:t>
      </w:r>
    </w:p>
    <w:bookmarkEnd w:id="4152"/>
    <w:bookmarkStart w:name="z4265" w:id="4153"/>
    <w:p>
      <w:pPr>
        <w:spacing w:after="0"/>
        <w:ind w:left="0"/>
        <w:jc w:val="both"/>
      </w:pPr>
      <w:r>
        <w:rPr>
          <w:rFonts w:ascii="Times New Roman"/>
          <w:b w:val="false"/>
          <w:i w:val="false"/>
          <w:color w:val="000000"/>
          <w:sz w:val="28"/>
        </w:rPr>
        <w:t>
      Заявление о сертификации</w:t>
      </w:r>
    </w:p>
    <w:bookmarkEnd w:id="4153"/>
    <w:bookmarkStart w:name="z4266" w:id="4154"/>
    <w:p>
      <w:pPr>
        <w:spacing w:after="0"/>
        <w:ind w:left="0"/>
        <w:jc w:val="both"/>
      </w:pPr>
      <w:r>
        <w:rPr>
          <w:rFonts w:ascii="Times New Roman"/>
          <w:b w:val="false"/>
          <w:i w:val="false"/>
          <w:color w:val="000000"/>
          <w:sz w:val="28"/>
        </w:rPr>
        <w:t>
      Фамилия и должность (звание) лица, выдавшего разрешение на выпуск серии</w:t>
      </w:r>
    </w:p>
    <w:bookmarkEnd w:id="4154"/>
    <w:bookmarkStart w:name="z4267" w:id="4155"/>
    <w:p>
      <w:pPr>
        <w:spacing w:after="0"/>
        <w:ind w:left="0"/>
        <w:jc w:val="both"/>
      </w:pPr>
      <w:r>
        <w:rPr>
          <w:rFonts w:ascii="Times New Roman"/>
          <w:b w:val="false"/>
          <w:i w:val="false"/>
          <w:color w:val="000000"/>
          <w:sz w:val="28"/>
        </w:rPr>
        <w:t>
      Подпись лица, выдавшего разрешение на выпуск серии</w:t>
      </w:r>
    </w:p>
    <w:bookmarkEnd w:id="4155"/>
    <w:bookmarkStart w:name="z4268" w:id="4156"/>
    <w:p>
      <w:pPr>
        <w:spacing w:after="0"/>
        <w:ind w:left="0"/>
        <w:jc w:val="both"/>
      </w:pPr>
      <w:r>
        <w:rPr>
          <w:rFonts w:ascii="Times New Roman"/>
          <w:b w:val="false"/>
          <w:i w:val="false"/>
          <w:color w:val="000000"/>
          <w:sz w:val="28"/>
        </w:rPr>
        <w:t>
      Дата подписания</w:t>
      </w:r>
    </w:p>
    <w:bookmarkEnd w:id="4156"/>
    <w:bookmarkStart w:name="z4269" w:id="4157"/>
    <w:p>
      <w:pPr>
        <w:spacing w:after="0"/>
        <w:ind w:left="0"/>
        <w:jc w:val="left"/>
      </w:pPr>
      <w:r>
        <w:rPr>
          <w:rFonts w:ascii="Times New Roman"/>
          <w:b/>
          <w:i w:val="false"/>
          <w:color w:val="000000"/>
        </w:rPr>
        <w:t xml:space="preserve"> Параграф 1. Пояснения и определения</w:t>
      </w:r>
    </w:p>
    <w:bookmarkEnd w:id="4157"/>
    <w:bookmarkStart w:name="z4270" w:id="4158"/>
    <w:p>
      <w:pPr>
        <w:spacing w:after="0"/>
        <w:ind w:left="0"/>
        <w:jc w:val="both"/>
      </w:pPr>
      <w:r>
        <w:rPr>
          <w:rFonts w:ascii="Times New Roman"/>
          <w:b w:val="false"/>
          <w:i w:val="false"/>
          <w:color w:val="000000"/>
          <w:sz w:val="28"/>
        </w:rPr>
        <w:t>
      740. Название продукции</w:t>
      </w:r>
    </w:p>
    <w:bookmarkEnd w:id="4158"/>
    <w:bookmarkStart w:name="z4271" w:id="4159"/>
    <w:p>
      <w:pPr>
        <w:spacing w:after="0"/>
        <w:ind w:left="0"/>
        <w:jc w:val="both"/>
      </w:pPr>
      <w:r>
        <w:rPr>
          <w:rFonts w:ascii="Times New Roman"/>
          <w:b w:val="false"/>
          <w:i w:val="false"/>
          <w:color w:val="000000"/>
          <w:sz w:val="28"/>
        </w:rPr>
        <w:t>
      Указывается патентованное название, торговое название или присвоенное название в стране-импортере (в зависимости от того, что применимо). В случае лекарственных препаратов для клинических исследований - номер кода, содержащийся в заявке на клинические исследования.</w:t>
      </w:r>
    </w:p>
    <w:bookmarkEnd w:id="4159"/>
    <w:bookmarkStart w:name="z4272" w:id="4160"/>
    <w:p>
      <w:pPr>
        <w:spacing w:after="0"/>
        <w:ind w:left="0"/>
        <w:jc w:val="both"/>
      </w:pPr>
      <w:r>
        <w:rPr>
          <w:rFonts w:ascii="Times New Roman"/>
          <w:b w:val="false"/>
          <w:i w:val="false"/>
          <w:color w:val="000000"/>
          <w:sz w:val="28"/>
        </w:rPr>
        <w:t>
      741. Страна-импортер</w:t>
      </w:r>
    </w:p>
    <w:bookmarkEnd w:id="4160"/>
    <w:bookmarkStart w:name="z4273" w:id="4161"/>
    <w:p>
      <w:pPr>
        <w:spacing w:after="0"/>
        <w:ind w:left="0"/>
        <w:jc w:val="both"/>
      </w:pPr>
      <w:r>
        <w:rPr>
          <w:rFonts w:ascii="Times New Roman"/>
          <w:b w:val="false"/>
          <w:i w:val="false"/>
          <w:color w:val="000000"/>
          <w:sz w:val="28"/>
        </w:rPr>
        <w:t>
      Указывается наименование государства, осуществляющего импорт серии лекарственного средства.</w:t>
      </w:r>
    </w:p>
    <w:bookmarkEnd w:id="4161"/>
    <w:bookmarkStart w:name="z4274" w:id="4162"/>
    <w:p>
      <w:pPr>
        <w:spacing w:after="0"/>
        <w:ind w:left="0"/>
        <w:jc w:val="both"/>
      </w:pPr>
      <w:r>
        <w:rPr>
          <w:rFonts w:ascii="Times New Roman"/>
          <w:b w:val="false"/>
          <w:i w:val="false"/>
          <w:color w:val="000000"/>
          <w:sz w:val="28"/>
        </w:rPr>
        <w:t>
      Номер регистрационного удостоверения или номер разрешения на проведение клинических исследований</w:t>
      </w:r>
    </w:p>
    <w:bookmarkEnd w:id="4162"/>
    <w:bookmarkStart w:name="z4275" w:id="4163"/>
    <w:p>
      <w:pPr>
        <w:spacing w:after="0"/>
        <w:ind w:left="0"/>
        <w:jc w:val="both"/>
      </w:pPr>
      <w:r>
        <w:rPr>
          <w:rFonts w:ascii="Times New Roman"/>
          <w:b w:val="false"/>
          <w:i w:val="false"/>
          <w:color w:val="000000"/>
          <w:sz w:val="28"/>
        </w:rPr>
        <w:t>
      Указывается номер регистрационного удостоверения на лекарственное средство в стране-импортере. Для лекарственных препаратов для клинических исследований - номер разрешения на проведение клинических исследований или ссылка на исследования (при наличии).</w:t>
      </w:r>
    </w:p>
    <w:bookmarkEnd w:id="4163"/>
    <w:bookmarkStart w:name="z4276" w:id="4164"/>
    <w:p>
      <w:pPr>
        <w:spacing w:after="0"/>
        <w:ind w:left="0"/>
        <w:jc w:val="both"/>
      </w:pPr>
      <w:r>
        <w:rPr>
          <w:rFonts w:ascii="Times New Roman"/>
          <w:b w:val="false"/>
          <w:i w:val="false"/>
          <w:color w:val="000000"/>
          <w:sz w:val="28"/>
        </w:rPr>
        <w:t>
      Дозировка (активность)</w:t>
      </w:r>
    </w:p>
    <w:bookmarkEnd w:id="4164"/>
    <w:bookmarkStart w:name="z4277" w:id="4165"/>
    <w:p>
      <w:pPr>
        <w:spacing w:after="0"/>
        <w:ind w:left="0"/>
        <w:jc w:val="both"/>
      </w:pPr>
      <w:r>
        <w:rPr>
          <w:rFonts w:ascii="Times New Roman"/>
          <w:b w:val="false"/>
          <w:i w:val="false"/>
          <w:color w:val="000000"/>
          <w:sz w:val="28"/>
        </w:rPr>
        <w:t>
      Указываются название и количество в единице лекарственной формы всех активных фармацевтических субстанций (компонентов). В случае лекарственных препаратов для клинических исследований, включая плацебо, способ предоставления такой информации не способствует раскодированию "слепого" исследования.</w:t>
      </w:r>
    </w:p>
    <w:bookmarkEnd w:id="4165"/>
    <w:bookmarkStart w:name="z4278" w:id="4166"/>
    <w:p>
      <w:pPr>
        <w:spacing w:after="0"/>
        <w:ind w:left="0"/>
        <w:jc w:val="both"/>
      </w:pPr>
      <w:r>
        <w:rPr>
          <w:rFonts w:ascii="Times New Roman"/>
          <w:b w:val="false"/>
          <w:i w:val="false"/>
          <w:color w:val="000000"/>
          <w:sz w:val="28"/>
        </w:rPr>
        <w:t>
      742. Лекарственная форма</w:t>
      </w:r>
    </w:p>
    <w:bookmarkEnd w:id="4166"/>
    <w:bookmarkStart w:name="z4279" w:id="4167"/>
    <w:p>
      <w:pPr>
        <w:spacing w:after="0"/>
        <w:ind w:left="0"/>
        <w:jc w:val="both"/>
      </w:pPr>
      <w:r>
        <w:rPr>
          <w:rFonts w:ascii="Times New Roman"/>
          <w:b w:val="false"/>
          <w:i w:val="false"/>
          <w:color w:val="000000"/>
          <w:sz w:val="28"/>
        </w:rPr>
        <w:t>
      Указывается лекарственная форма (например, таблетки, капсулы, мази).</w:t>
      </w:r>
    </w:p>
    <w:bookmarkEnd w:id="4167"/>
    <w:bookmarkStart w:name="z4280" w:id="4168"/>
    <w:p>
      <w:pPr>
        <w:spacing w:after="0"/>
        <w:ind w:left="0"/>
        <w:jc w:val="both"/>
      </w:pPr>
      <w:r>
        <w:rPr>
          <w:rFonts w:ascii="Times New Roman"/>
          <w:b w:val="false"/>
          <w:i w:val="false"/>
          <w:color w:val="000000"/>
          <w:sz w:val="28"/>
        </w:rPr>
        <w:t>
      743. Размер и тип упаковки</w:t>
      </w:r>
    </w:p>
    <w:bookmarkEnd w:id="4168"/>
    <w:bookmarkStart w:name="z4281" w:id="4169"/>
    <w:p>
      <w:pPr>
        <w:spacing w:after="0"/>
        <w:ind w:left="0"/>
        <w:jc w:val="both"/>
      </w:pPr>
      <w:r>
        <w:rPr>
          <w:rFonts w:ascii="Times New Roman"/>
          <w:b w:val="false"/>
          <w:i w:val="false"/>
          <w:color w:val="000000"/>
          <w:sz w:val="28"/>
        </w:rPr>
        <w:t>
      Указывается вместимость контейнера и его тип (например, ампулы, флаконы, блистеры и т.п.).</w:t>
      </w:r>
    </w:p>
    <w:bookmarkEnd w:id="4169"/>
    <w:bookmarkStart w:name="z4282" w:id="4170"/>
    <w:p>
      <w:pPr>
        <w:spacing w:after="0"/>
        <w:ind w:left="0"/>
        <w:jc w:val="both"/>
      </w:pPr>
      <w:r>
        <w:rPr>
          <w:rFonts w:ascii="Times New Roman"/>
          <w:b w:val="false"/>
          <w:i w:val="false"/>
          <w:color w:val="000000"/>
          <w:sz w:val="28"/>
        </w:rPr>
        <w:t>
      744. Номер серии</w:t>
      </w:r>
    </w:p>
    <w:bookmarkEnd w:id="4170"/>
    <w:bookmarkStart w:name="z4283" w:id="4171"/>
    <w:p>
      <w:pPr>
        <w:spacing w:after="0"/>
        <w:ind w:left="0"/>
        <w:jc w:val="both"/>
      </w:pPr>
      <w:r>
        <w:rPr>
          <w:rFonts w:ascii="Times New Roman"/>
          <w:b w:val="false"/>
          <w:i w:val="false"/>
          <w:color w:val="000000"/>
          <w:sz w:val="28"/>
        </w:rPr>
        <w:t>
      Указывается номер серии или номер партии, относящийся к продукции. Уникальная комбинация цифр, букв или символов, идентифицирующая серию, по которой можно проследить историю производства и оптовой торговли серии.</w:t>
      </w:r>
    </w:p>
    <w:bookmarkEnd w:id="4171"/>
    <w:bookmarkStart w:name="z4284" w:id="4172"/>
    <w:p>
      <w:pPr>
        <w:spacing w:after="0"/>
        <w:ind w:left="0"/>
        <w:jc w:val="both"/>
      </w:pPr>
      <w:r>
        <w:rPr>
          <w:rFonts w:ascii="Times New Roman"/>
          <w:b w:val="false"/>
          <w:i w:val="false"/>
          <w:color w:val="000000"/>
          <w:sz w:val="28"/>
        </w:rPr>
        <w:t>
      745. Дата производства</w:t>
      </w:r>
    </w:p>
    <w:bookmarkEnd w:id="4172"/>
    <w:bookmarkStart w:name="z4285" w:id="4173"/>
    <w:p>
      <w:pPr>
        <w:spacing w:after="0"/>
        <w:ind w:left="0"/>
        <w:jc w:val="both"/>
      </w:pPr>
      <w:r>
        <w:rPr>
          <w:rFonts w:ascii="Times New Roman"/>
          <w:b w:val="false"/>
          <w:i w:val="false"/>
          <w:color w:val="000000"/>
          <w:sz w:val="28"/>
        </w:rPr>
        <w:t>
      Указывается в соответствии с национальными (региональными) требованиями страны-импортера.</w:t>
      </w:r>
    </w:p>
    <w:bookmarkEnd w:id="4173"/>
    <w:bookmarkStart w:name="z4286" w:id="4174"/>
    <w:p>
      <w:pPr>
        <w:spacing w:after="0"/>
        <w:ind w:left="0"/>
        <w:jc w:val="both"/>
      </w:pPr>
      <w:r>
        <w:rPr>
          <w:rFonts w:ascii="Times New Roman"/>
          <w:b w:val="false"/>
          <w:i w:val="false"/>
          <w:color w:val="000000"/>
          <w:sz w:val="28"/>
        </w:rPr>
        <w:t>
      746. Дата окончания срока годности</w:t>
      </w:r>
    </w:p>
    <w:bookmarkEnd w:id="4174"/>
    <w:bookmarkStart w:name="z4287" w:id="4175"/>
    <w:p>
      <w:pPr>
        <w:spacing w:after="0"/>
        <w:ind w:left="0"/>
        <w:jc w:val="both"/>
      </w:pPr>
      <w:r>
        <w:rPr>
          <w:rFonts w:ascii="Times New Roman"/>
          <w:b w:val="false"/>
          <w:i w:val="false"/>
          <w:color w:val="000000"/>
          <w:sz w:val="28"/>
        </w:rPr>
        <w:t>
      Указывается размещенная на контейнере (этикетке) дата для определения времени, на протяжении которого ожидается, что продукция при ее хранении в требуемых условиях соответствует утвержденным в стране-импортере спецификациям, действующим в течение всего срока годности; после этой даты продукцию применять не следует.</w:t>
      </w:r>
    </w:p>
    <w:bookmarkEnd w:id="4175"/>
    <w:bookmarkStart w:name="z4288" w:id="4176"/>
    <w:p>
      <w:pPr>
        <w:spacing w:after="0"/>
        <w:ind w:left="0"/>
        <w:jc w:val="both"/>
      </w:pPr>
      <w:r>
        <w:rPr>
          <w:rFonts w:ascii="Times New Roman"/>
          <w:b w:val="false"/>
          <w:i w:val="false"/>
          <w:color w:val="000000"/>
          <w:sz w:val="28"/>
        </w:rPr>
        <w:t>
      747. Названия, адреса и номера лицензий всех производственных площадок и мест проведения контроля качества. Указываются все производственные площадки, связанные с данным производством, включая упаковку (маркировку) и контроль качества серии с указанием названия, адреса и номера лицензии. Названия и адреса соответствует указанным в лицензии на производство.</w:t>
      </w:r>
    </w:p>
    <w:bookmarkEnd w:id="4176"/>
    <w:bookmarkStart w:name="z4289" w:id="4177"/>
    <w:p>
      <w:pPr>
        <w:spacing w:after="0"/>
        <w:ind w:left="0"/>
        <w:jc w:val="both"/>
      </w:pPr>
      <w:r>
        <w:rPr>
          <w:rFonts w:ascii="Times New Roman"/>
          <w:b w:val="false"/>
          <w:i w:val="false"/>
          <w:color w:val="000000"/>
          <w:sz w:val="28"/>
        </w:rPr>
        <w:t>
      748. Сертификаты соответствия требованиям настоящего Стандарта для всех производственных площадок, указанных в сертификате лекарственного средства.</w:t>
      </w:r>
    </w:p>
    <w:bookmarkEnd w:id="4177"/>
    <w:bookmarkStart w:name="z4290" w:id="4178"/>
    <w:p>
      <w:pPr>
        <w:spacing w:after="0"/>
        <w:ind w:left="0"/>
        <w:jc w:val="both"/>
      </w:pPr>
      <w:r>
        <w:rPr>
          <w:rFonts w:ascii="Times New Roman"/>
          <w:b w:val="false"/>
          <w:i w:val="false"/>
          <w:color w:val="000000"/>
          <w:sz w:val="28"/>
        </w:rPr>
        <w:t>
      Указываются номера сертификатов.</w:t>
      </w:r>
    </w:p>
    <w:bookmarkEnd w:id="4178"/>
    <w:bookmarkStart w:name="z4291" w:id="4179"/>
    <w:p>
      <w:pPr>
        <w:spacing w:after="0"/>
        <w:ind w:left="0"/>
        <w:jc w:val="both"/>
      </w:pPr>
      <w:r>
        <w:rPr>
          <w:rFonts w:ascii="Times New Roman"/>
          <w:b w:val="false"/>
          <w:i w:val="false"/>
          <w:color w:val="000000"/>
          <w:sz w:val="28"/>
        </w:rPr>
        <w:t>
      749. Результаты анализов</w:t>
      </w:r>
    </w:p>
    <w:bookmarkEnd w:id="4179"/>
    <w:bookmarkStart w:name="z4292" w:id="4180"/>
    <w:p>
      <w:pPr>
        <w:spacing w:after="0"/>
        <w:ind w:left="0"/>
        <w:jc w:val="both"/>
      </w:pPr>
      <w:r>
        <w:rPr>
          <w:rFonts w:ascii="Times New Roman"/>
          <w:b w:val="false"/>
          <w:i w:val="false"/>
          <w:color w:val="000000"/>
          <w:sz w:val="28"/>
        </w:rPr>
        <w:t>
      Указываются утвержденные спецификации, все полученные результаты и ссылки на примененные методы (можно привести ссылку на отдельный подписанный и датированный сертификат анализа, который приложен).</w:t>
      </w:r>
    </w:p>
    <w:bookmarkEnd w:id="4180"/>
    <w:bookmarkStart w:name="z4293" w:id="4181"/>
    <w:p>
      <w:pPr>
        <w:spacing w:after="0"/>
        <w:ind w:left="0"/>
        <w:jc w:val="both"/>
      </w:pPr>
      <w:r>
        <w:rPr>
          <w:rFonts w:ascii="Times New Roman"/>
          <w:b w:val="false"/>
          <w:i w:val="false"/>
          <w:color w:val="000000"/>
          <w:sz w:val="28"/>
        </w:rPr>
        <w:t>
      750. Комментарии</w:t>
      </w:r>
    </w:p>
    <w:bookmarkEnd w:id="4181"/>
    <w:bookmarkStart w:name="z4294" w:id="4182"/>
    <w:p>
      <w:pPr>
        <w:spacing w:after="0"/>
        <w:ind w:left="0"/>
        <w:jc w:val="both"/>
      </w:pPr>
      <w:r>
        <w:rPr>
          <w:rFonts w:ascii="Times New Roman"/>
          <w:b w:val="false"/>
          <w:i w:val="false"/>
          <w:color w:val="000000"/>
          <w:sz w:val="28"/>
        </w:rPr>
        <w:t>
      Указывается какая-либо дополнительная информация, которая полезна для импортера и (или) инспектора, подтверждающего соответствие серии (например, специальные условия хранения или транспортирования).</w:t>
      </w:r>
    </w:p>
    <w:bookmarkEnd w:id="4182"/>
    <w:bookmarkStart w:name="z4295" w:id="4183"/>
    <w:p>
      <w:pPr>
        <w:spacing w:after="0"/>
        <w:ind w:left="0"/>
        <w:jc w:val="both"/>
      </w:pPr>
      <w:r>
        <w:rPr>
          <w:rFonts w:ascii="Times New Roman"/>
          <w:b w:val="false"/>
          <w:i w:val="false"/>
          <w:color w:val="000000"/>
          <w:sz w:val="28"/>
        </w:rPr>
        <w:t>
      751. Заявление о сертификации</w:t>
      </w:r>
    </w:p>
    <w:bookmarkEnd w:id="4183"/>
    <w:bookmarkStart w:name="z4296" w:id="4184"/>
    <w:p>
      <w:pPr>
        <w:spacing w:after="0"/>
        <w:ind w:left="0"/>
        <w:jc w:val="both"/>
      </w:pPr>
      <w:r>
        <w:rPr>
          <w:rFonts w:ascii="Times New Roman"/>
          <w:b w:val="false"/>
          <w:i w:val="false"/>
          <w:color w:val="000000"/>
          <w:sz w:val="28"/>
        </w:rPr>
        <w:t>
      Заявление охватывает производство, включая упаковку (маркировку) и контроль качества. Используют следующий текст: "Настоящим я подтверждаю, что приведенная выше информация является достоверной и точной. Эта серия продукции произведена (включая упаковку (маркировку) и контроль качества) на вышеуказанной производственной площадке (площадках) в полном соответствии с требованиями Стандарта надлежащей производственной практики и требованиями контроля качества лекарственных средств, а также в соответствии со спецификациями, содержащимися в регистрационном досье страны-импортера или в досье спецификаций на лекарственный препарат в случае лекарственных препаратов для клинических исследований.</w:t>
      </w:r>
    </w:p>
    <w:bookmarkEnd w:id="4184"/>
    <w:bookmarkStart w:name="z4297" w:id="4185"/>
    <w:p>
      <w:pPr>
        <w:spacing w:after="0"/>
        <w:ind w:left="0"/>
        <w:jc w:val="both"/>
      </w:pPr>
      <w:r>
        <w:rPr>
          <w:rFonts w:ascii="Times New Roman"/>
          <w:b w:val="false"/>
          <w:i w:val="false"/>
          <w:color w:val="000000"/>
          <w:sz w:val="28"/>
        </w:rPr>
        <w:t>
      Записи по производству, упаковке и анализу проверены, и установлено их соответствие требованиям Стандарта надлежащей производственной практик.</w:t>
      </w:r>
    </w:p>
    <w:bookmarkEnd w:id="4185"/>
    <w:bookmarkStart w:name="z4298" w:id="4186"/>
    <w:p>
      <w:pPr>
        <w:spacing w:after="0"/>
        <w:ind w:left="0"/>
        <w:jc w:val="both"/>
      </w:pPr>
      <w:r>
        <w:rPr>
          <w:rFonts w:ascii="Times New Roman"/>
          <w:b w:val="false"/>
          <w:i w:val="false"/>
          <w:color w:val="000000"/>
          <w:sz w:val="28"/>
        </w:rPr>
        <w:t>
      752. Фамилия и должность (звание) лица, выдавшего разрешение на выпуск серии</w:t>
      </w:r>
    </w:p>
    <w:bookmarkEnd w:id="4186"/>
    <w:bookmarkStart w:name="z4299" w:id="4187"/>
    <w:p>
      <w:pPr>
        <w:spacing w:after="0"/>
        <w:ind w:left="0"/>
        <w:jc w:val="both"/>
      </w:pPr>
      <w:r>
        <w:rPr>
          <w:rFonts w:ascii="Times New Roman"/>
          <w:b w:val="false"/>
          <w:i w:val="false"/>
          <w:color w:val="000000"/>
          <w:sz w:val="28"/>
        </w:rPr>
        <w:t>
      Указываются фамилия и должность (звание) лица, выдавшего разрешение на выпуск серии. также указываются название и адрес площадки.</w:t>
      </w:r>
    </w:p>
    <w:bookmarkEnd w:id="4187"/>
    <w:bookmarkStart w:name="z4300" w:id="4188"/>
    <w:p>
      <w:pPr>
        <w:spacing w:after="0"/>
        <w:ind w:left="0"/>
        <w:jc w:val="both"/>
      </w:pPr>
      <w:r>
        <w:rPr>
          <w:rFonts w:ascii="Times New Roman"/>
          <w:b w:val="false"/>
          <w:i w:val="false"/>
          <w:color w:val="000000"/>
          <w:sz w:val="28"/>
        </w:rPr>
        <w:t>
      753. Подпись лица, выдавшего разрешение на выпуск серии</w:t>
      </w:r>
    </w:p>
    <w:bookmarkEnd w:id="4188"/>
    <w:bookmarkStart w:name="z4301" w:id="4189"/>
    <w:p>
      <w:pPr>
        <w:spacing w:after="0"/>
        <w:ind w:left="0"/>
        <w:jc w:val="both"/>
      </w:pPr>
      <w:r>
        <w:rPr>
          <w:rFonts w:ascii="Times New Roman"/>
          <w:b w:val="false"/>
          <w:i w:val="false"/>
          <w:color w:val="000000"/>
          <w:sz w:val="28"/>
        </w:rPr>
        <w:t>
      Указывается подпись лица, выдавшего разрешение на выпуск серии.</w:t>
      </w:r>
    </w:p>
    <w:bookmarkEnd w:id="4189"/>
    <w:bookmarkStart w:name="z4302" w:id="4190"/>
    <w:p>
      <w:pPr>
        <w:spacing w:after="0"/>
        <w:ind w:left="0"/>
        <w:jc w:val="both"/>
      </w:pPr>
      <w:r>
        <w:rPr>
          <w:rFonts w:ascii="Times New Roman"/>
          <w:b w:val="false"/>
          <w:i w:val="false"/>
          <w:color w:val="000000"/>
          <w:sz w:val="28"/>
        </w:rPr>
        <w:t>
      754. Дата подписания</w:t>
      </w:r>
    </w:p>
    <w:bookmarkEnd w:id="4190"/>
    <w:bookmarkStart w:name="z4303" w:id="4191"/>
    <w:p>
      <w:pPr>
        <w:spacing w:after="0"/>
        <w:ind w:left="0"/>
        <w:jc w:val="both"/>
      </w:pPr>
      <w:r>
        <w:rPr>
          <w:rFonts w:ascii="Times New Roman"/>
          <w:b w:val="false"/>
          <w:i w:val="false"/>
          <w:color w:val="000000"/>
          <w:sz w:val="28"/>
        </w:rPr>
        <w:t>
      Указывается дата подписания сертификата лицом, выдавшим разрешение на выпуск серии.</w:t>
      </w:r>
    </w:p>
    <w:bookmarkEnd w:id="4191"/>
    <w:bookmarkStart w:name="z4304" w:id="4192"/>
    <w:p>
      <w:pPr>
        <w:spacing w:after="0"/>
        <w:ind w:left="0"/>
        <w:jc w:val="both"/>
      </w:pPr>
      <w:r>
        <w:rPr>
          <w:rFonts w:ascii="Times New Roman"/>
          <w:b w:val="false"/>
          <w:i w:val="false"/>
          <w:color w:val="000000"/>
          <w:sz w:val="28"/>
        </w:rPr>
        <w:t>
      Словарь эквивалентных терминов, используемых в сертификате серии лекарственного средства</w:t>
      </w:r>
    </w:p>
    <w:bookmarkEnd w:id="4192"/>
    <w:bookmarkStart w:name="z4305" w:id="4193"/>
    <w:p>
      <w:pPr>
        <w:spacing w:after="0"/>
        <w:ind w:left="0"/>
        <w:jc w:val="both"/>
      </w:pPr>
      <w:r>
        <w:rPr>
          <w:rFonts w:ascii="Times New Roman"/>
          <w:b w:val="false"/>
          <w:i w:val="false"/>
          <w:color w:val="000000"/>
          <w:sz w:val="28"/>
        </w:rPr>
        <w:t>
      Настоящий словарь не является исчерпывающим.</w:t>
      </w:r>
    </w:p>
    <w:bookmarkEnd w:id="4193"/>
    <w:bookmarkStart w:name="z4306" w:id="4194"/>
    <w:p>
      <w:pPr>
        <w:spacing w:after="0"/>
        <w:ind w:left="0"/>
        <w:jc w:val="both"/>
      </w:pPr>
      <w:r>
        <w:rPr>
          <w:rFonts w:ascii="Times New Roman"/>
          <w:b w:val="false"/>
          <w:i w:val="false"/>
          <w:color w:val="000000"/>
          <w:sz w:val="28"/>
        </w:rPr>
        <w:t>
      Действующие вещества - активные фармацевтические субстанции (АФС) (компоненты) (active substances - active pharmaceutical ingredients (constituents)).</w:t>
      </w:r>
    </w:p>
    <w:bookmarkEnd w:id="4194"/>
    <w:bookmarkStart w:name="z4307" w:id="4195"/>
    <w:p>
      <w:pPr>
        <w:spacing w:after="0"/>
        <w:ind w:left="0"/>
        <w:jc w:val="both"/>
      </w:pPr>
      <w:r>
        <w:rPr>
          <w:rFonts w:ascii="Times New Roman"/>
          <w:b w:val="false"/>
          <w:i w:val="false"/>
          <w:color w:val="000000"/>
          <w:sz w:val="28"/>
        </w:rPr>
        <w:t>
      Серия - партия (batch - lot).</w:t>
      </w:r>
    </w:p>
    <w:bookmarkEnd w:id="4195"/>
    <w:bookmarkStart w:name="z4308" w:id="4196"/>
    <w:p>
      <w:pPr>
        <w:spacing w:after="0"/>
        <w:ind w:left="0"/>
        <w:jc w:val="both"/>
      </w:pPr>
      <w:r>
        <w:rPr>
          <w:rFonts w:ascii="Times New Roman"/>
          <w:b w:val="false"/>
          <w:i w:val="false"/>
          <w:color w:val="000000"/>
          <w:sz w:val="28"/>
        </w:rPr>
        <w:t>
      Лекарственная форма (dosage form - pharmaceutical form).</w:t>
      </w:r>
    </w:p>
    <w:bookmarkEnd w:id="4196"/>
    <w:bookmarkStart w:name="z4309" w:id="4197"/>
    <w:p>
      <w:pPr>
        <w:spacing w:after="0"/>
        <w:ind w:left="0"/>
        <w:jc w:val="both"/>
      </w:pPr>
      <w:r>
        <w:rPr>
          <w:rFonts w:ascii="Times New Roman"/>
          <w:b w:val="false"/>
          <w:i w:val="false"/>
          <w:color w:val="000000"/>
          <w:sz w:val="28"/>
        </w:rPr>
        <w:t xml:space="preserve">
      Производитель (manufacturer - fabricator). </w:t>
      </w:r>
    </w:p>
    <w:bookmarkEnd w:id="4197"/>
    <w:bookmarkStart w:name="z4310" w:id="4198"/>
    <w:p>
      <w:pPr>
        <w:spacing w:after="0"/>
        <w:ind w:left="0"/>
        <w:jc w:val="both"/>
      </w:pPr>
      <w:r>
        <w:rPr>
          <w:rFonts w:ascii="Times New Roman"/>
          <w:b w:val="false"/>
          <w:i w:val="false"/>
          <w:color w:val="000000"/>
          <w:sz w:val="28"/>
        </w:rPr>
        <w:t>
      Производство (manufacturing (manufacture) - fabrication).</w:t>
      </w:r>
    </w:p>
    <w:bookmarkEnd w:id="4198"/>
    <w:bookmarkStart w:name="z4311" w:id="4199"/>
    <w:p>
      <w:pPr>
        <w:spacing w:after="0"/>
        <w:ind w:left="0"/>
        <w:jc w:val="both"/>
      </w:pPr>
      <w:r>
        <w:rPr>
          <w:rFonts w:ascii="Times New Roman"/>
          <w:b w:val="false"/>
          <w:i w:val="false"/>
          <w:color w:val="000000"/>
          <w:sz w:val="28"/>
        </w:rPr>
        <w:t>
      Лицензия на производство (manufacturing authorisation - establishment license).</w:t>
      </w:r>
    </w:p>
    <w:bookmarkEnd w:id="4199"/>
    <w:bookmarkStart w:name="z4312" w:id="4200"/>
    <w:p>
      <w:pPr>
        <w:spacing w:after="0"/>
        <w:ind w:left="0"/>
        <w:jc w:val="both"/>
      </w:pPr>
      <w:r>
        <w:rPr>
          <w:rFonts w:ascii="Times New Roman"/>
          <w:b w:val="false"/>
          <w:i w:val="false"/>
          <w:color w:val="000000"/>
          <w:sz w:val="28"/>
        </w:rPr>
        <w:t>
      Лекарственное средство (medicinal product - pharmaceutical product - drug product).</w:t>
      </w:r>
    </w:p>
    <w:bookmarkEnd w:id="4200"/>
    <w:bookmarkStart w:name="z4313" w:id="4201"/>
    <w:p>
      <w:pPr>
        <w:spacing w:after="0"/>
        <w:ind w:left="0"/>
        <w:jc w:val="both"/>
      </w:pPr>
      <w:r>
        <w:rPr>
          <w:rFonts w:ascii="Times New Roman"/>
          <w:b w:val="false"/>
          <w:i w:val="false"/>
          <w:color w:val="000000"/>
          <w:sz w:val="28"/>
        </w:rPr>
        <w:t>
      Контроль качества - испытания (quality control - testing).</w:t>
      </w:r>
    </w:p>
    <w:bookmarkEnd w:id="4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Стандарту надлежащей</w:t>
            </w:r>
            <w:r>
              <w:br/>
            </w:r>
            <w:r>
              <w:rPr>
                <w:rFonts w:ascii="Times New Roman"/>
                <w:b w:val="false"/>
                <w:i w:val="false"/>
                <w:color w:val="000000"/>
                <w:sz w:val="20"/>
              </w:rPr>
              <w:t>\производственной практики</w:t>
            </w:r>
          </w:p>
        </w:tc>
      </w:tr>
    </w:tbl>
    <w:bookmarkStart w:name="z4315" w:id="4202"/>
    <w:p>
      <w:pPr>
        <w:spacing w:after="0"/>
        <w:ind w:left="0"/>
        <w:jc w:val="left"/>
      </w:pPr>
      <w:r>
        <w:rPr>
          <w:rFonts w:ascii="Times New Roman"/>
          <w:b/>
          <w:i w:val="false"/>
          <w:color w:val="000000"/>
        </w:rPr>
        <w:t xml:space="preserve"> Требования к производству стерильных лекарственных средств</w:t>
      </w:r>
    </w:p>
    <w:bookmarkEnd w:id="4202"/>
    <w:bookmarkStart w:name="z4316" w:id="4203"/>
    <w:p>
      <w:pPr>
        <w:spacing w:after="0"/>
        <w:ind w:left="0"/>
        <w:jc w:val="both"/>
      </w:pPr>
      <w:r>
        <w:rPr>
          <w:rFonts w:ascii="Times New Roman"/>
          <w:b w:val="false"/>
          <w:i w:val="false"/>
          <w:color w:val="000000"/>
          <w:sz w:val="28"/>
        </w:rPr>
        <w:t>
      Принцип</w:t>
      </w:r>
    </w:p>
    <w:bookmarkEnd w:id="4203"/>
    <w:bookmarkStart w:name="z4317" w:id="4204"/>
    <w:p>
      <w:pPr>
        <w:spacing w:after="0"/>
        <w:ind w:left="0"/>
        <w:jc w:val="both"/>
      </w:pPr>
      <w:r>
        <w:rPr>
          <w:rFonts w:ascii="Times New Roman"/>
          <w:b w:val="false"/>
          <w:i w:val="false"/>
          <w:color w:val="000000"/>
          <w:sz w:val="28"/>
        </w:rPr>
        <w:t>
      К производству стерильных лекарственных средств предъявляются особые требования, чтобы свести к минимуму риск контаминации микроорганизмами, частицами и пирогенами. При этом многое зависит от квалификации производственного персонала, его обучения и отношения к работе. Особо важное значение имеет обеспечение качества. При производстве стерильных препаратов необходимо строго придерживаться тщательно разработанных и валидированных способов производства и процедур. Никакая конечная стадия производства или контроль готовой продукции не может рассматриваться как единственное средство обеспечения стерильности или других показателей качества продукции.</w:t>
      </w:r>
    </w:p>
    <w:bookmarkEnd w:id="4204"/>
    <w:bookmarkStart w:name="z4318" w:id="4205"/>
    <w:p>
      <w:pPr>
        <w:spacing w:after="0"/>
        <w:ind w:left="0"/>
        <w:jc w:val="both"/>
      </w:pPr>
      <w:r>
        <w:rPr>
          <w:rFonts w:ascii="Times New Roman"/>
          <w:b w:val="false"/>
          <w:i w:val="false"/>
          <w:color w:val="000000"/>
          <w:sz w:val="28"/>
        </w:rPr>
        <w:t>
      Стандарт надлежащей производственной практики не устанавливают детальные методы определения чистоты воздуха, поверхностей и пр. по микроорганизмам частицам. Дополнительную информацию можно получить из других нормативных и технических документов.</w:t>
      </w:r>
    </w:p>
    <w:bookmarkEnd w:id="4205"/>
    <w:bookmarkStart w:name="z4319" w:id="4206"/>
    <w:p>
      <w:pPr>
        <w:spacing w:after="0"/>
        <w:ind w:left="0"/>
        <w:jc w:val="both"/>
      </w:pPr>
      <w:r>
        <w:rPr>
          <w:rFonts w:ascii="Times New Roman"/>
          <w:b w:val="false"/>
          <w:i w:val="false"/>
          <w:color w:val="000000"/>
          <w:sz w:val="28"/>
        </w:rPr>
        <w:t>
      Общие требования</w:t>
      </w:r>
    </w:p>
    <w:bookmarkEnd w:id="4206"/>
    <w:bookmarkStart w:name="z4320" w:id="4207"/>
    <w:p>
      <w:pPr>
        <w:spacing w:after="0"/>
        <w:ind w:left="0"/>
        <w:jc w:val="both"/>
      </w:pPr>
      <w:r>
        <w:rPr>
          <w:rFonts w:ascii="Times New Roman"/>
          <w:b w:val="false"/>
          <w:i w:val="false"/>
          <w:color w:val="000000"/>
          <w:sz w:val="28"/>
        </w:rPr>
        <w:t>
      1. Стерильную продукцию необходимо производить в чистых зонах, доступ в которые персонала и (или) поступление оборудования, исходного сырья и материалов осуществляются через воздушные шлюзы. В чистых помещениях (зонах) поддерживается уровень чистоты, отвечающий соответствующему стандарту чистоты, в них необходимо подавать воздух, который прошел через фильтры соответствующей эффективности.</w:t>
      </w:r>
    </w:p>
    <w:bookmarkEnd w:id="4207"/>
    <w:bookmarkStart w:name="z4321" w:id="4208"/>
    <w:p>
      <w:pPr>
        <w:spacing w:after="0"/>
        <w:ind w:left="0"/>
        <w:jc w:val="both"/>
      </w:pPr>
      <w:r>
        <w:rPr>
          <w:rFonts w:ascii="Times New Roman"/>
          <w:b w:val="false"/>
          <w:i w:val="false"/>
          <w:color w:val="000000"/>
          <w:sz w:val="28"/>
        </w:rPr>
        <w:t>
      2. Различные операции по подготовке компонентов, приготовлению продукции и наполнению следует осуществлять в отдельных зонах (помещениях) внутри чистой зоны (помещения). Технологические операции делятся на 2 категории:</w:t>
      </w:r>
    </w:p>
    <w:bookmarkEnd w:id="4208"/>
    <w:bookmarkStart w:name="z4322" w:id="4209"/>
    <w:p>
      <w:pPr>
        <w:spacing w:after="0"/>
        <w:ind w:left="0"/>
        <w:jc w:val="both"/>
      </w:pPr>
      <w:r>
        <w:rPr>
          <w:rFonts w:ascii="Times New Roman"/>
          <w:b w:val="false"/>
          <w:i w:val="false"/>
          <w:color w:val="000000"/>
          <w:sz w:val="28"/>
        </w:rPr>
        <w:t>
      а) при которой продукцию подвергают финишной стерилизации (в первичной упаковке);</w:t>
      </w:r>
    </w:p>
    <w:bookmarkEnd w:id="4209"/>
    <w:bookmarkStart w:name="z4323" w:id="4210"/>
    <w:p>
      <w:pPr>
        <w:spacing w:after="0"/>
        <w:ind w:left="0"/>
        <w:jc w:val="both"/>
      </w:pPr>
      <w:r>
        <w:rPr>
          <w:rFonts w:ascii="Times New Roman"/>
          <w:b w:val="false"/>
          <w:i w:val="false"/>
          <w:color w:val="000000"/>
          <w:sz w:val="28"/>
        </w:rPr>
        <w:t>
      б) при которой операции на нескольких или всех стадиях выполняют в асептических условиях.</w:t>
      </w:r>
    </w:p>
    <w:bookmarkEnd w:id="4210"/>
    <w:bookmarkStart w:name="z4324" w:id="4211"/>
    <w:p>
      <w:pPr>
        <w:spacing w:after="0"/>
        <w:ind w:left="0"/>
        <w:jc w:val="both"/>
      </w:pPr>
      <w:r>
        <w:rPr>
          <w:rFonts w:ascii="Times New Roman"/>
          <w:b w:val="false"/>
          <w:i w:val="false"/>
          <w:color w:val="000000"/>
          <w:sz w:val="28"/>
        </w:rPr>
        <w:t>
      3. Чистые помещения (зоны) для производства стерильной продукции классифицируются в соответствии с требуемыми характеристиками производственной среды. Каждая производственная операция требует определенного уровня чистоты производственной среды в эксплуатируемом состоянии с целью сведения к минимуму риска контаминации частицами или микроорганизмами продукта или обрабатываемого исходного сырья и материалов.</w:t>
      </w:r>
    </w:p>
    <w:bookmarkEnd w:id="4211"/>
    <w:bookmarkStart w:name="z4325" w:id="4212"/>
    <w:p>
      <w:pPr>
        <w:spacing w:after="0"/>
        <w:ind w:left="0"/>
        <w:jc w:val="both"/>
      </w:pPr>
      <w:r>
        <w:rPr>
          <w:rFonts w:ascii="Times New Roman"/>
          <w:b w:val="false"/>
          <w:i w:val="false"/>
          <w:color w:val="000000"/>
          <w:sz w:val="28"/>
        </w:rPr>
        <w:t>
      Для обеспечения соответствия требованиям в "эксплуатируемом состоянии" (состояние при котором чистое помещение (зона) и технологическое оборудование функционируют в требуемом режиме с заданным количеством работающего персонала) эти помещения (зоны) спроектированы так, чтобы обеспечить точно определенный уровень чистоты воздуха в "оснащенном состоянии" (состояние, в котором чистое помещение построено и функционирует, технологическое оборудование полностью укомплектовано, но персонал отсутствует).</w:t>
      </w:r>
    </w:p>
    <w:bookmarkEnd w:id="4212"/>
    <w:bookmarkStart w:name="z4326" w:id="4213"/>
    <w:p>
      <w:pPr>
        <w:spacing w:after="0"/>
        <w:ind w:left="0"/>
        <w:jc w:val="both"/>
      </w:pPr>
      <w:r>
        <w:rPr>
          <w:rFonts w:ascii="Times New Roman"/>
          <w:b w:val="false"/>
          <w:i w:val="false"/>
          <w:color w:val="000000"/>
          <w:sz w:val="28"/>
        </w:rPr>
        <w:t>
      Требования к "оснащенному" и "эксплуатируемому" состоянию установливаются для каждого чистого помещения (зоны) или комплекса чистых помещений (зон).</w:t>
      </w:r>
    </w:p>
    <w:bookmarkEnd w:id="4213"/>
    <w:bookmarkStart w:name="z4327" w:id="4214"/>
    <w:p>
      <w:pPr>
        <w:spacing w:after="0"/>
        <w:ind w:left="0"/>
        <w:jc w:val="both"/>
      </w:pPr>
      <w:r>
        <w:rPr>
          <w:rFonts w:ascii="Times New Roman"/>
          <w:b w:val="false"/>
          <w:i w:val="false"/>
          <w:color w:val="000000"/>
          <w:sz w:val="28"/>
        </w:rPr>
        <w:t>
      Чистые помещения (зоны) при производстве стерильных лекарственных средств подразделяются на 4 класса:</w:t>
      </w:r>
    </w:p>
    <w:bookmarkEnd w:id="4214"/>
    <w:bookmarkStart w:name="z4328" w:id="4215"/>
    <w:p>
      <w:pPr>
        <w:spacing w:after="0"/>
        <w:ind w:left="0"/>
        <w:jc w:val="both"/>
      </w:pPr>
      <w:r>
        <w:rPr>
          <w:rFonts w:ascii="Times New Roman"/>
          <w:b w:val="false"/>
          <w:i w:val="false"/>
          <w:color w:val="000000"/>
          <w:sz w:val="28"/>
        </w:rPr>
        <w:t>
      класс A - локальное помещение (зона) для проведения операций, представляющих высокий риск для качества продукции, например, помещения (зоны) наполнения, укупорки, помещения (зоны), где ампулы флаконы находятся в открытом состоянии и выполняются соединения частей оборудования в асептических условиях. Как правило, такие условия обеспечиваются ламинарным потоком воздуха на рабочем месте. Системы ламинарного потока воздуха обеспечивают равномерную скорость воздуха в диапазоне 0,36 - 0,54 м/с (нормативное значение) в рабочей зоне открытого чистого помещения. Поддержание ламинарности доказано и провалидировано. В закрытых изоляторах и боксах с перчатками допускается использовать однонаправленный поток воздуха с меньшими скоростями;</w:t>
      </w:r>
    </w:p>
    <w:bookmarkEnd w:id="4215"/>
    <w:bookmarkStart w:name="z4329" w:id="4216"/>
    <w:p>
      <w:pPr>
        <w:spacing w:after="0"/>
        <w:ind w:left="0"/>
        <w:jc w:val="both"/>
      </w:pPr>
      <w:r>
        <w:rPr>
          <w:rFonts w:ascii="Times New Roman"/>
          <w:b w:val="false"/>
          <w:i w:val="false"/>
          <w:color w:val="000000"/>
          <w:sz w:val="28"/>
        </w:rPr>
        <w:t>
      класс B - помещение (зона), непосредственно окружающее зону класса A, предназначенную для асептического приготовления и наполнения;</w:t>
      </w:r>
    </w:p>
    <w:bookmarkEnd w:id="4216"/>
    <w:bookmarkStart w:name="z4330" w:id="4217"/>
    <w:p>
      <w:pPr>
        <w:spacing w:after="0"/>
        <w:ind w:left="0"/>
        <w:jc w:val="both"/>
      </w:pPr>
      <w:r>
        <w:rPr>
          <w:rFonts w:ascii="Times New Roman"/>
          <w:b w:val="false"/>
          <w:i w:val="false"/>
          <w:color w:val="000000"/>
          <w:sz w:val="28"/>
        </w:rPr>
        <w:t>
      классы C и D - чистые помещения (зоны) для выполнения менее критичных стадий производства стерильной продукции.</w:t>
      </w:r>
    </w:p>
    <w:bookmarkEnd w:id="4217"/>
    <w:bookmarkStart w:name="z4331" w:id="4218"/>
    <w:p>
      <w:pPr>
        <w:spacing w:after="0"/>
        <w:ind w:left="0"/>
        <w:jc w:val="both"/>
      </w:pPr>
      <w:r>
        <w:rPr>
          <w:rFonts w:ascii="Times New Roman"/>
          <w:b w:val="false"/>
          <w:i w:val="false"/>
          <w:color w:val="000000"/>
          <w:sz w:val="28"/>
        </w:rPr>
        <w:t>
      Классификация чистых помещений (зон)</w:t>
      </w:r>
    </w:p>
    <w:bookmarkEnd w:id="4218"/>
    <w:bookmarkStart w:name="z4332" w:id="4219"/>
    <w:p>
      <w:pPr>
        <w:spacing w:after="0"/>
        <w:ind w:left="0"/>
        <w:jc w:val="both"/>
      </w:pPr>
      <w:r>
        <w:rPr>
          <w:rFonts w:ascii="Times New Roman"/>
          <w:b w:val="false"/>
          <w:i w:val="false"/>
          <w:color w:val="000000"/>
          <w:sz w:val="28"/>
        </w:rPr>
        <w:t>
      4. Чистые помещения и чистые зоны следует классифицировать в соответствии с межгосударственным стандартом ГОСТ ИСО 14644-1 "Чистые помещения и связанные с ними контролируемые среды". Подтверждение класса чистоты следует четко отделять от мониторинга производственной среды при проведении процесса. Максимально допустимая концентрация аэрозольных частиц для каждого класса приведена в таблице 1.</w:t>
      </w:r>
    </w:p>
    <w:bookmarkEnd w:id="4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Помещение(зона)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4220"/>
          <w:p>
            <w:pPr>
              <w:spacing w:after="20"/>
              <w:ind w:left="20"/>
              <w:jc w:val="both"/>
            </w:pPr>
            <w:r>
              <w:rPr>
                <w:rFonts w:ascii="Times New Roman"/>
                <w:b w:val="false"/>
                <w:i w:val="false"/>
                <w:color w:val="000000"/>
                <w:sz w:val="20"/>
              </w:rPr>
              <w:t>
Максимально допустимое число частиц в 1 куб. м воздуха</w:t>
            </w:r>
          </w:p>
          <w:bookmarkEnd w:id="4220"/>
          <w:p>
            <w:pPr>
              <w:spacing w:after="20"/>
              <w:ind w:left="20"/>
              <w:jc w:val="both"/>
            </w:pPr>
            <w:r>
              <w:rPr>
                <w:rFonts w:ascii="Times New Roman"/>
                <w:b w:val="false"/>
                <w:i w:val="false"/>
                <w:color w:val="000000"/>
                <w:sz w:val="20"/>
              </w:rPr>
              <w:t>
при размере частиц равном или большем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оснащенном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эксплуатируемом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bl>
    <w:bookmarkStart w:name="z4335" w:id="4221"/>
    <w:p>
      <w:pPr>
        <w:spacing w:after="0"/>
        <w:ind w:left="0"/>
        <w:jc w:val="both"/>
      </w:pPr>
      <w:r>
        <w:rPr>
          <w:rFonts w:ascii="Times New Roman"/>
          <w:b w:val="false"/>
          <w:i w:val="false"/>
          <w:color w:val="000000"/>
          <w:sz w:val="28"/>
        </w:rPr>
        <w:t>
      5. Для подтверждения соответствия классу А минимальный объем отбираемой пробы воздуха не менее 1 куб. м для каждой точки отбора проб. Класс А соответствует классу ИСО 4.8 по показателю предельного количества частиц в воздухе размером ≥ 5,0 мкм. Класс B (в оснащенном состоянии) по количеству аэрозольных частиц соответствует классу ИСО 5 по количеству частиц обоих указанных размеров. Класс C (в оснащенном и эксплуатируемом состояниях) по количеству аэрозольных частиц соответствует классу ИСО 7 и ИСО 8 соответственно. Класс D (в оснащенном состоянии) по количеству аэрозольных частиц соответствует классу ИСО 8. Для подтверждения класса в стандарте ГОСТ ИСО 14644-1 установлена методика, в которой регламентированы как минимальное количество точек для отбора проб, так объем пробы с учетом пределов данного класса для количества частиц наибольшего из указанных размеров, а также метод оценки полученных данных.</w:t>
      </w:r>
    </w:p>
    <w:bookmarkEnd w:id="4221"/>
    <w:bookmarkStart w:name="z4336" w:id="4222"/>
    <w:p>
      <w:pPr>
        <w:spacing w:after="0"/>
        <w:ind w:left="0"/>
        <w:jc w:val="both"/>
      </w:pPr>
      <w:r>
        <w:rPr>
          <w:rFonts w:ascii="Times New Roman"/>
          <w:b w:val="false"/>
          <w:i w:val="false"/>
          <w:color w:val="000000"/>
          <w:sz w:val="28"/>
        </w:rPr>
        <w:t>
      6. Для подтверждения класса следует использовать портативные счетчики частиц с короткими трубками для отбора проб из-за относительно высокого уровня осаждения частиц размером ≥ 5,0 мкм в дистанционных системах для отбора проб с длинными трубками.</w:t>
      </w:r>
    </w:p>
    <w:bookmarkEnd w:id="4222"/>
    <w:bookmarkStart w:name="z4337" w:id="4223"/>
    <w:p>
      <w:pPr>
        <w:spacing w:after="0"/>
        <w:ind w:left="0"/>
        <w:jc w:val="both"/>
      </w:pPr>
      <w:r>
        <w:rPr>
          <w:rFonts w:ascii="Times New Roman"/>
          <w:b w:val="false"/>
          <w:i w:val="false"/>
          <w:color w:val="000000"/>
          <w:sz w:val="28"/>
        </w:rPr>
        <w:t>
      случае систем однонаправленного потока воздуха следует использовать изокинетические насадки для отбора проб.</w:t>
      </w:r>
    </w:p>
    <w:bookmarkEnd w:id="4223"/>
    <w:bookmarkStart w:name="z4338" w:id="4224"/>
    <w:p>
      <w:pPr>
        <w:spacing w:after="0"/>
        <w:ind w:left="0"/>
        <w:jc w:val="both"/>
      </w:pPr>
      <w:r>
        <w:rPr>
          <w:rFonts w:ascii="Times New Roman"/>
          <w:b w:val="false"/>
          <w:i w:val="false"/>
          <w:color w:val="000000"/>
          <w:sz w:val="28"/>
        </w:rPr>
        <w:t>
      7. Подтверждение класса в эксплуатируемом состоянии допустимо проводить во время работы, или при моделировании рабочих операций, или при наполнении питательными средами, как того требует моделирование "наихудшего случая". Указания по проведению испытаний для подтверждения постоянного соответствия заданному классу чистоты приведены в стандарте серии ИСО 14644-2.</w:t>
      </w:r>
    </w:p>
    <w:bookmarkEnd w:id="4224"/>
    <w:bookmarkStart w:name="z4339" w:id="4225"/>
    <w:p>
      <w:pPr>
        <w:spacing w:after="0"/>
        <w:ind w:left="0"/>
        <w:jc w:val="both"/>
      </w:pPr>
      <w:r>
        <w:rPr>
          <w:rFonts w:ascii="Times New Roman"/>
          <w:b w:val="false"/>
          <w:i w:val="false"/>
          <w:color w:val="000000"/>
          <w:sz w:val="28"/>
        </w:rPr>
        <w:t>
      Мониторинг чистых помещений (зон)</w:t>
      </w:r>
    </w:p>
    <w:bookmarkEnd w:id="4225"/>
    <w:bookmarkStart w:name="z4340" w:id="4226"/>
    <w:p>
      <w:pPr>
        <w:spacing w:after="0"/>
        <w:ind w:left="0"/>
        <w:jc w:val="both"/>
      </w:pPr>
      <w:r>
        <w:rPr>
          <w:rFonts w:ascii="Times New Roman"/>
          <w:b w:val="false"/>
          <w:i w:val="false"/>
          <w:color w:val="000000"/>
          <w:sz w:val="28"/>
        </w:rPr>
        <w:t>
      8. Следует проводить текущий мониторинг чистых помещений (зон) в период их эксплуатации. Точки отбора проб для текущего мониторинга выбирают на основе анализа рисков и результатов, полученных при классификации чистых помещений (зон).</w:t>
      </w:r>
    </w:p>
    <w:bookmarkEnd w:id="4226"/>
    <w:bookmarkStart w:name="z4341" w:id="4227"/>
    <w:p>
      <w:pPr>
        <w:spacing w:after="0"/>
        <w:ind w:left="0"/>
        <w:jc w:val="both"/>
      </w:pPr>
      <w:r>
        <w:rPr>
          <w:rFonts w:ascii="Times New Roman"/>
          <w:b w:val="false"/>
          <w:i w:val="false"/>
          <w:color w:val="000000"/>
          <w:sz w:val="28"/>
        </w:rPr>
        <w:t>
      9. Для помещений (зон) класса А мониторинг частиц следует проводить непрерывно на всем протяжении критического процесса, включая сборку оборудования. При надлежащем обосновании исключение составляют процессы с применением загрязняющих веществ, которые могут повредить счетчик частиц или представлять собой опасность (например, живые организмы или радиоактивные вещества). В таких случаях мониторинг следует осуществлять во время обычных операций по настройке оборудования до момента появления риска. Также следует проводить мониторинг во время моделирования операций. В помещениях (зонах) класса А следует проводить мониторинг с такой частотой и при таком объеме отбираемых проб, чтобы можно было зафиксировать все вмешательства, случайные события и любые повреждения системы, а в случае выхода за предел предупреждения можно было поднять тревогу. Допускается, что не всегда возможно продемонстрировать низкие уровни частиц размером ≥ 5,0 мкм непосредственно в месте наполнения в процессе наполнения из-за образования частиц или капель из самого продукта.</w:t>
      </w:r>
    </w:p>
    <w:bookmarkEnd w:id="4227"/>
    <w:bookmarkStart w:name="z4342" w:id="4228"/>
    <w:p>
      <w:pPr>
        <w:spacing w:after="0"/>
        <w:ind w:left="0"/>
        <w:jc w:val="both"/>
      </w:pPr>
      <w:r>
        <w:rPr>
          <w:rFonts w:ascii="Times New Roman"/>
          <w:b w:val="false"/>
          <w:i w:val="false"/>
          <w:color w:val="000000"/>
          <w:sz w:val="28"/>
        </w:rPr>
        <w:t>
      10. Рекомендуется, чтобы система мониторинга частиц для помещений (зон) класса А применялась для помещений (зон) класса В, хотя частота отбора проб может быть меньшей. Важность системы мониторинга частиц определяется эффективностью разделения между расположенными рядом зонами классов А и В.</w:t>
      </w:r>
    </w:p>
    <w:bookmarkEnd w:id="4228"/>
    <w:bookmarkStart w:name="z4343" w:id="4229"/>
    <w:p>
      <w:pPr>
        <w:spacing w:after="0"/>
        <w:ind w:left="0"/>
        <w:jc w:val="both"/>
      </w:pPr>
      <w:r>
        <w:rPr>
          <w:rFonts w:ascii="Times New Roman"/>
          <w:b w:val="false"/>
          <w:i w:val="false"/>
          <w:color w:val="000000"/>
          <w:sz w:val="28"/>
        </w:rPr>
        <w:t>
      В зонах класса В следует проводить мониторинг с такой частотой и соответствующим объемом отбираемых проб, чтобы можно было зафиксировать изменения уровня контаминации и любые ухудшения работы системы, а в случае выхода за уровень тревоги можно было бы принять экстренные меры.</w:t>
      </w:r>
    </w:p>
    <w:bookmarkEnd w:id="4229"/>
    <w:bookmarkStart w:name="z4344" w:id="4230"/>
    <w:p>
      <w:pPr>
        <w:spacing w:after="0"/>
        <w:ind w:left="0"/>
        <w:jc w:val="both"/>
      </w:pPr>
      <w:r>
        <w:rPr>
          <w:rFonts w:ascii="Times New Roman"/>
          <w:b w:val="false"/>
          <w:i w:val="false"/>
          <w:color w:val="000000"/>
          <w:sz w:val="28"/>
        </w:rPr>
        <w:t>
      11. Системы мониторинга аэрозольных частиц могут состоять из независимых счетчиков частиц, из системы последовательно расположенных точек отбора проб, присоединенных трубопроводом к одному счетчику частиц, или объединять эти два подхода. При выборе систем контроля следует учитывать требования к размерам частиц. При использовании удаленных систем отбора проб следует учитывать длину трубок и радиусы изгибов трубок с учетом возможности оседания частиц в трубках. При выборе системы мониторинга следует также учитывать любой риск, исходящий от материалов, используемых в технологическом процессе (например, наличие живых микроорганизмов или радиоактивных лекарственных препаратов).</w:t>
      </w:r>
    </w:p>
    <w:bookmarkEnd w:id="4230"/>
    <w:bookmarkStart w:name="z4345" w:id="4231"/>
    <w:p>
      <w:pPr>
        <w:spacing w:after="0"/>
        <w:ind w:left="0"/>
        <w:jc w:val="both"/>
      </w:pPr>
      <w:r>
        <w:rPr>
          <w:rFonts w:ascii="Times New Roman"/>
          <w:b w:val="false"/>
          <w:i w:val="false"/>
          <w:color w:val="000000"/>
          <w:sz w:val="28"/>
        </w:rPr>
        <w:t>
      12. При использовании автоматизированной системы текущего мониторинга объем проб зависит, как правило, от скорости отбора проб используемой системы. Объем проб при текущем мониторинге может отличаться от объема проб при проведении квалификации чистых помещений и чистых зон.</w:t>
      </w:r>
    </w:p>
    <w:bookmarkEnd w:id="4231"/>
    <w:bookmarkStart w:name="z4346" w:id="4232"/>
    <w:p>
      <w:pPr>
        <w:spacing w:after="0"/>
        <w:ind w:left="0"/>
        <w:jc w:val="both"/>
      </w:pPr>
      <w:r>
        <w:rPr>
          <w:rFonts w:ascii="Times New Roman"/>
          <w:b w:val="false"/>
          <w:i w:val="false"/>
          <w:color w:val="000000"/>
          <w:sz w:val="28"/>
        </w:rPr>
        <w:t>
      13. В зонах класса А и В мониторинг концентрации частиц размером ≥ 5,0 мкм имеет особое значение, поскольку это является важным инструментом диагностики для раннего выявления несоответствия. Иногда показатели количества частиц размером ≥ 5,0 мкм могут быть ошибочными из-за электронного шума, постороннего света, случайного стечения обстоятельств и т. п. Однако если счетчик последовательно и систематически регистрирует малое число частиц, то это указывает на возможность контаминации, что требует расследования. Такие случаи могут заблаговременно указывать на неисправность системы вентиляции и кондиционирования, установки наполнения или свидетельствовать о нарушении правил во время наладки оборудования или его эксплуатации.</w:t>
      </w:r>
    </w:p>
    <w:bookmarkEnd w:id="4232"/>
    <w:bookmarkStart w:name="z4347" w:id="4233"/>
    <w:p>
      <w:pPr>
        <w:spacing w:after="0"/>
        <w:ind w:left="0"/>
        <w:jc w:val="both"/>
      </w:pPr>
      <w:r>
        <w:rPr>
          <w:rFonts w:ascii="Times New Roman"/>
          <w:b w:val="false"/>
          <w:i w:val="false"/>
          <w:color w:val="000000"/>
          <w:sz w:val="28"/>
        </w:rPr>
        <w:t>
      14. Допустимое количество частиц для оснащенного состояния, указанное в таблице 1, достигается после короткого периода восстановления 15 - 20 мин (нормативное значение) при отсутствии персонала после завершения работы.</w:t>
      </w:r>
    </w:p>
    <w:bookmarkEnd w:id="4233"/>
    <w:bookmarkStart w:name="z4348" w:id="4234"/>
    <w:p>
      <w:pPr>
        <w:spacing w:after="0"/>
        <w:ind w:left="0"/>
        <w:jc w:val="both"/>
      </w:pPr>
      <w:r>
        <w:rPr>
          <w:rFonts w:ascii="Times New Roman"/>
          <w:b w:val="false"/>
          <w:i w:val="false"/>
          <w:color w:val="000000"/>
          <w:sz w:val="28"/>
        </w:rPr>
        <w:t>
      15. Мониторинг зон классов C и D в эксплуатируемом состоянии следует осуществлять в соответствии с принципами управления рисками для качества. Требования к уровню тревоги и уровню действия будут зависеть от характера выполняемых операций, однако достигнуто рекомендованное значение "периода восстановления".</w:t>
      </w:r>
    </w:p>
    <w:bookmarkEnd w:id="4234"/>
    <w:bookmarkStart w:name="z4349" w:id="4235"/>
    <w:p>
      <w:pPr>
        <w:spacing w:after="0"/>
        <w:ind w:left="0"/>
        <w:jc w:val="both"/>
      </w:pPr>
      <w:r>
        <w:rPr>
          <w:rFonts w:ascii="Times New Roman"/>
          <w:b w:val="false"/>
          <w:i w:val="false"/>
          <w:color w:val="000000"/>
          <w:sz w:val="28"/>
        </w:rPr>
        <w:t>
      16. Другие показатели (например, температура и относительная влажность) зависят от продукции и характера выполняемых операций. Эти параметры не влияет на установленные нормативы чистоты.</w:t>
      </w:r>
    </w:p>
    <w:bookmarkEnd w:id="4235"/>
    <w:bookmarkStart w:name="z4350" w:id="4236"/>
    <w:p>
      <w:pPr>
        <w:spacing w:after="0"/>
        <w:ind w:left="0"/>
        <w:jc w:val="both"/>
      </w:pPr>
      <w:r>
        <w:rPr>
          <w:rFonts w:ascii="Times New Roman"/>
          <w:b w:val="false"/>
          <w:i w:val="false"/>
          <w:color w:val="000000"/>
          <w:sz w:val="28"/>
        </w:rPr>
        <w:t>
      17. Примеры операций, которые следует выполнять в зонах с разными классами чистоты, приведены в таблице 2 (в соответствии с пунктами 28-35 настоящего Приложения).</w:t>
      </w:r>
    </w:p>
    <w:bookmarkEnd w:id="4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4237"/>
          <w:p>
            <w:pPr>
              <w:spacing w:after="20"/>
              <w:ind w:left="20"/>
              <w:jc w:val="both"/>
            </w:pPr>
            <w:r>
              <w:rPr>
                <w:rFonts w:ascii="Times New Roman"/>
                <w:b w:val="false"/>
                <w:i w:val="false"/>
                <w:color w:val="000000"/>
                <w:sz w:val="20"/>
              </w:rPr>
              <w:t>
Для продукции, подлежащей финишной стерилизации (примеры операций</w:t>
            </w:r>
          </w:p>
          <w:bookmarkEnd w:id="4237"/>
          <w:p>
            <w:pPr>
              <w:spacing w:after="20"/>
              <w:ind w:left="20"/>
              <w:jc w:val="both"/>
            </w:pPr>
            <w:r>
              <w:rPr>
                <w:rFonts w:ascii="Times New Roman"/>
                <w:b w:val="false"/>
                <w:i w:val="false"/>
                <w:color w:val="000000"/>
                <w:sz w:val="20"/>
              </w:rPr>
              <w:t>
(в соответствии с пунктами 28-30 настоящего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продукции, которую нельзя подвергать риску контаминации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которые нельзя подвергать риску контаминации; наполнение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и подготовка первичной упаковки, материалов для последующего наполнения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4238"/>
          <w:p>
            <w:pPr>
              <w:spacing w:after="20"/>
              <w:ind w:left="20"/>
              <w:jc w:val="both"/>
            </w:pPr>
            <w:r>
              <w:rPr>
                <w:rFonts w:ascii="Times New Roman"/>
                <w:b w:val="false"/>
                <w:i w:val="false"/>
                <w:color w:val="000000"/>
                <w:sz w:val="20"/>
              </w:rPr>
              <w:t>
Для приготовления в асептических условиях</w:t>
            </w:r>
          </w:p>
          <w:bookmarkEnd w:id="4238"/>
          <w:p>
            <w:pPr>
              <w:spacing w:after="20"/>
              <w:ind w:left="20"/>
              <w:jc w:val="both"/>
            </w:pPr>
            <w:r>
              <w:rPr>
                <w:rFonts w:ascii="Times New Roman"/>
                <w:b w:val="false"/>
                <w:i w:val="false"/>
                <w:color w:val="000000"/>
                <w:sz w:val="20"/>
              </w:rPr>
              <w:t>
(примеры операций(в соответствии с пунктами 31-35 настоящего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асептическое приготовление и наполнение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растворов, подлежащих фильтрации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материалами после мойки</w:t>
            </w:r>
          </w:p>
        </w:tc>
      </w:tr>
    </w:tbl>
    <w:bookmarkStart w:name="z4355" w:id="4239"/>
    <w:p>
      <w:pPr>
        <w:spacing w:after="0"/>
        <w:ind w:left="0"/>
        <w:jc w:val="both"/>
      </w:pPr>
      <w:r>
        <w:rPr>
          <w:rFonts w:ascii="Times New Roman"/>
          <w:b w:val="false"/>
          <w:i w:val="false"/>
          <w:color w:val="000000"/>
          <w:sz w:val="28"/>
        </w:rPr>
        <w:t>
      18. При выполнении асептических процессов необходимо часто проводить микробиологический мониторинг с использованием седиментационного и аспирационного методов отбора проб воздуха, отбора проб с поверхностей методом смывов тампоном и с использованием контактных пластин. Методы отбора проб, используемые в эксплуатируемом состоянии, не наносить вред защите зоны. Результаты мониторинга следует учитывать при проведении обзора записей производства серии (досье на серию) для выдачи разрешения на выпуск готовой продукции. После выполнения критических операций следует проводить мониторинг поверхностей и персонала. Следует также проводить дополнительный микробиологический мониторинг вне технологического процесса (например, после валидации систем, очистки и дезинфекции).</w:t>
      </w:r>
    </w:p>
    <w:bookmarkEnd w:id="4239"/>
    <w:bookmarkStart w:name="z4356" w:id="4240"/>
    <w:p>
      <w:pPr>
        <w:spacing w:after="0"/>
        <w:ind w:left="0"/>
        <w:jc w:val="both"/>
      </w:pPr>
      <w:r>
        <w:rPr>
          <w:rFonts w:ascii="Times New Roman"/>
          <w:b w:val="false"/>
          <w:i w:val="false"/>
          <w:color w:val="000000"/>
          <w:sz w:val="28"/>
        </w:rPr>
        <w:t>
      19. Рекомендуемые пределы при микробиологическом мониторинге чистых помещений (зон) в эксплуатируемом состоянии приведены в таблице 4.</w:t>
      </w:r>
    </w:p>
    <w:bookmarkEnd w:id="4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пределы микробной контаминации*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4241"/>
          <w:p>
            <w:pPr>
              <w:spacing w:after="20"/>
              <w:ind w:left="20"/>
              <w:jc w:val="both"/>
            </w:pPr>
            <w:r>
              <w:rPr>
                <w:rFonts w:ascii="Times New Roman"/>
                <w:b w:val="false"/>
                <w:i w:val="false"/>
                <w:color w:val="000000"/>
                <w:sz w:val="20"/>
              </w:rPr>
              <w:t>
в воздухе,</w:t>
            </w:r>
          </w:p>
          <w:bookmarkEnd w:id="4241"/>
          <w:p>
            <w:pPr>
              <w:spacing w:after="20"/>
              <w:ind w:left="20"/>
              <w:jc w:val="both"/>
            </w:pPr>
            <w:r>
              <w:rPr>
                <w:rFonts w:ascii="Times New Roman"/>
                <w:b w:val="false"/>
                <w:i w:val="false"/>
                <w:color w:val="000000"/>
                <w:sz w:val="20"/>
              </w:rPr>
              <w:t>
КОМ/м3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4242"/>
          <w:p>
            <w:pPr>
              <w:spacing w:after="20"/>
              <w:ind w:left="20"/>
              <w:jc w:val="both"/>
            </w:pPr>
            <w:r>
              <w:rPr>
                <w:rFonts w:ascii="Times New Roman"/>
                <w:b w:val="false"/>
                <w:i w:val="false"/>
                <w:color w:val="000000"/>
                <w:sz w:val="20"/>
              </w:rPr>
              <w:t>
седиментация на</w:t>
            </w:r>
          </w:p>
          <w:bookmarkEnd w:id="4242"/>
          <w:p>
            <w:pPr>
              <w:spacing w:after="20"/>
              <w:ind w:left="20"/>
              <w:jc w:val="both"/>
            </w:pPr>
            <w:r>
              <w:rPr>
                <w:rFonts w:ascii="Times New Roman"/>
                <w:b w:val="false"/>
                <w:i w:val="false"/>
                <w:color w:val="000000"/>
                <w:sz w:val="20"/>
              </w:rPr>
              <w:t>
</w:t>
            </w:r>
            <w:r>
              <w:rPr>
                <w:rFonts w:ascii="Times New Roman"/>
                <w:b w:val="false"/>
                <w:i w:val="false"/>
                <w:color w:val="000000"/>
                <w:sz w:val="20"/>
              </w:rPr>
              <w:t>чашку диаметром</w:t>
            </w:r>
          </w:p>
          <w:p>
            <w:pPr>
              <w:spacing w:after="20"/>
              <w:ind w:left="20"/>
              <w:jc w:val="both"/>
            </w:pPr>
            <w:r>
              <w:rPr>
                <w:rFonts w:ascii="Times New Roman"/>
                <w:b w:val="false"/>
                <w:i w:val="false"/>
                <w:color w:val="000000"/>
                <w:sz w:val="20"/>
              </w:rPr>
              <w:t>
90 мм, КОЕ за 4 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4243"/>
          <w:p>
            <w:pPr>
              <w:spacing w:after="20"/>
              <w:ind w:left="20"/>
              <w:jc w:val="both"/>
            </w:pPr>
            <w:r>
              <w:rPr>
                <w:rFonts w:ascii="Times New Roman"/>
                <w:b w:val="false"/>
                <w:i w:val="false"/>
                <w:color w:val="000000"/>
                <w:sz w:val="20"/>
              </w:rPr>
              <w:t>
контактные пластины</w:t>
            </w:r>
          </w:p>
          <w:bookmarkEnd w:id="4243"/>
          <w:p>
            <w:pPr>
              <w:spacing w:after="20"/>
              <w:ind w:left="20"/>
              <w:jc w:val="both"/>
            </w:pPr>
            <w:r>
              <w:rPr>
                <w:rFonts w:ascii="Times New Roman"/>
                <w:b w:val="false"/>
                <w:i w:val="false"/>
                <w:color w:val="000000"/>
                <w:sz w:val="20"/>
              </w:rPr>
              <w:t>
</w:t>
            </w:r>
            <w:r>
              <w:rPr>
                <w:rFonts w:ascii="Times New Roman"/>
                <w:b w:val="false"/>
                <w:i w:val="false"/>
                <w:color w:val="000000"/>
                <w:sz w:val="20"/>
              </w:rPr>
              <w:t>диаметром  55 мм,</w:t>
            </w:r>
          </w:p>
          <w:p>
            <w:pPr>
              <w:spacing w:after="20"/>
              <w:ind w:left="20"/>
              <w:jc w:val="both"/>
            </w:pPr>
            <w:r>
              <w:rPr>
                <w:rFonts w:ascii="Times New Roman"/>
                <w:b w:val="false"/>
                <w:i w:val="false"/>
                <w:color w:val="000000"/>
                <w:sz w:val="20"/>
              </w:rPr>
              <w:t>
КОЕ/пластина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4244"/>
          <w:p>
            <w:pPr>
              <w:spacing w:after="20"/>
              <w:ind w:left="20"/>
              <w:jc w:val="both"/>
            </w:pPr>
            <w:r>
              <w:rPr>
                <w:rFonts w:ascii="Times New Roman"/>
                <w:b w:val="false"/>
                <w:i w:val="false"/>
                <w:color w:val="000000"/>
                <w:sz w:val="20"/>
              </w:rPr>
              <w:t>
отпечаток перчатки</w:t>
            </w:r>
          </w:p>
          <w:bookmarkEnd w:id="4244"/>
          <w:p>
            <w:pPr>
              <w:spacing w:after="20"/>
              <w:ind w:left="20"/>
              <w:jc w:val="both"/>
            </w:pPr>
            <w:r>
              <w:rPr>
                <w:rFonts w:ascii="Times New Roman"/>
                <w:b w:val="false"/>
                <w:i w:val="false"/>
                <w:color w:val="000000"/>
                <w:sz w:val="20"/>
              </w:rPr>
              <w:t>
</w:t>
            </w:r>
            <w:r>
              <w:rPr>
                <w:rFonts w:ascii="Times New Roman"/>
                <w:b w:val="false"/>
                <w:i w:val="false"/>
                <w:color w:val="000000"/>
                <w:sz w:val="20"/>
              </w:rPr>
              <w:t>(5  пальцев),</w:t>
            </w:r>
          </w:p>
          <w:p>
            <w:pPr>
              <w:spacing w:after="20"/>
              <w:ind w:left="20"/>
              <w:jc w:val="both"/>
            </w:pPr>
            <w:r>
              <w:rPr>
                <w:rFonts w:ascii="Times New Roman"/>
                <w:b w:val="false"/>
                <w:i w:val="false"/>
                <w:color w:val="000000"/>
                <w:sz w:val="20"/>
              </w:rPr>
              <w:t>
КОЕ/перчатка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65" w:id="4245"/>
    <w:p>
      <w:pPr>
        <w:spacing w:after="0"/>
        <w:ind w:left="0"/>
        <w:jc w:val="both"/>
      </w:pPr>
      <w:r>
        <w:rPr>
          <w:rFonts w:ascii="Times New Roman"/>
          <w:b w:val="false"/>
          <w:i w:val="false"/>
          <w:color w:val="000000"/>
          <w:sz w:val="28"/>
        </w:rPr>
        <w:t>
      ____________</w:t>
      </w:r>
    </w:p>
    <w:bookmarkEnd w:id="4245"/>
    <w:bookmarkStart w:name="z4366" w:id="4246"/>
    <w:p>
      <w:pPr>
        <w:spacing w:after="0"/>
        <w:ind w:left="0"/>
        <w:jc w:val="both"/>
      </w:pPr>
      <w:r>
        <w:rPr>
          <w:rFonts w:ascii="Times New Roman"/>
          <w:b w:val="false"/>
          <w:i w:val="false"/>
          <w:color w:val="000000"/>
          <w:sz w:val="28"/>
        </w:rPr>
        <w:t>
      * Приведены средние значения.</w:t>
      </w:r>
    </w:p>
    <w:bookmarkEnd w:id="4246"/>
    <w:bookmarkStart w:name="z4367" w:id="4247"/>
    <w:p>
      <w:pPr>
        <w:spacing w:after="0"/>
        <w:ind w:left="0"/>
        <w:jc w:val="both"/>
      </w:pPr>
      <w:r>
        <w:rPr>
          <w:rFonts w:ascii="Times New Roman"/>
          <w:b w:val="false"/>
          <w:i w:val="false"/>
          <w:color w:val="000000"/>
          <w:sz w:val="28"/>
        </w:rPr>
        <w:t>
      Отдельные пластины для седиментации могут экспонироваться менее 4 часов.</w:t>
      </w:r>
    </w:p>
    <w:bookmarkEnd w:id="4247"/>
    <w:bookmarkStart w:name="z4368" w:id="4248"/>
    <w:p>
      <w:pPr>
        <w:spacing w:after="0"/>
        <w:ind w:left="0"/>
        <w:jc w:val="both"/>
      </w:pPr>
      <w:r>
        <w:rPr>
          <w:rFonts w:ascii="Times New Roman"/>
          <w:b w:val="false"/>
          <w:i w:val="false"/>
          <w:color w:val="000000"/>
          <w:sz w:val="28"/>
        </w:rPr>
        <w:t>
      20. По результатам мониторинга частиц и микроорганизмов установлены соответствующие пределы: уровень тревоги уровень действия. В операционных процедурах описаны корректирующие действия в случае превышения этих пределов.</w:t>
      </w:r>
    </w:p>
    <w:bookmarkEnd w:id="4248"/>
    <w:bookmarkStart w:name="z4369" w:id="4249"/>
    <w:p>
      <w:pPr>
        <w:spacing w:after="0"/>
        <w:ind w:left="0"/>
        <w:jc w:val="both"/>
      </w:pPr>
      <w:r>
        <w:rPr>
          <w:rFonts w:ascii="Times New Roman"/>
          <w:b w:val="false"/>
          <w:i w:val="false"/>
          <w:color w:val="000000"/>
          <w:sz w:val="28"/>
        </w:rPr>
        <w:t>
      Изолирующая технология</w:t>
      </w:r>
    </w:p>
    <w:bookmarkEnd w:id="4249"/>
    <w:bookmarkStart w:name="z4370" w:id="4250"/>
    <w:p>
      <w:pPr>
        <w:spacing w:after="0"/>
        <w:ind w:left="0"/>
        <w:jc w:val="both"/>
      </w:pPr>
      <w:r>
        <w:rPr>
          <w:rFonts w:ascii="Times New Roman"/>
          <w:b w:val="false"/>
          <w:i w:val="false"/>
          <w:color w:val="000000"/>
          <w:sz w:val="28"/>
        </w:rPr>
        <w:t>
      21. Использование изолирующей технологии сводит к минимуму вмешательство человека в производственных зонах, в результате чего значительно снижается риск микробной контаминации продукции, произведенной в асептических условиях, из производственной среды. На фармацевтическом производстве допускается использование различных типов изоляторов и передаточных устройств. При этом изолятор и его комплектующие сконструированы таким образом, чтобы в соответствующей зоне обеспечивалось необходимое качество воздуха. Следует учитывать, что изоляторы, изготовленные из разных материалов, в различной степени подвержены повреждению изоляции и разгерметизации. Допускается использование различных передаточных устройств: от конструкций с одинарной или двойной дверью до полностью герметизированных систем, включающих устройства для стерилизации.</w:t>
      </w:r>
    </w:p>
    <w:bookmarkEnd w:id="4250"/>
    <w:bookmarkStart w:name="z4371" w:id="4251"/>
    <w:p>
      <w:pPr>
        <w:spacing w:after="0"/>
        <w:ind w:left="0"/>
        <w:jc w:val="both"/>
      </w:pPr>
      <w:r>
        <w:rPr>
          <w:rFonts w:ascii="Times New Roman"/>
          <w:b w:val="false"/>
          <w:i w:val="false"/>
          <w:color w:val="000000"/>
          <w:sz w:val="28"/>
        </w:rPr>
        <w:t>
      22. Передача материалов внутрь и наружу изолятора является одним из основных потенциальных источников контаминации. Как правило, пространство внутри изолятора является ограниченной зоной для проведения операций, представляющих высокие риски для качества продукции. Допускается, что в рабочей зоне всех таких устройств может отсутствовать ламинарный поток воздуха.</w:t>
      </w:r>
    </w:p>
    <w:bookmarkEnd w:id="4251"/>
    <w:bookmarkStart w:name="z4372" w:id="4252"/>
    <w:p>
      <w:pPr>
        <w:spacing w:after="0"/>
        <w:ind w:left="0"/>
        <w:jc w:val="both"/>
      </w:pPr>
      <w:r>
        <w:rPr>
          <w:rFonts w:ascii="Times New Roman"/>
          <w:b w:val="false"/>
          <w:i w:val="false"/>
          <w:color w:val="000000"/>
          <w:sz w:val="28"/>
        </w:rPr>
        <w:t>
      23. Требования к чистоте воздуха в среде, окружающей изолятор, зависят от конструкции изолятора и его назначения. Чистоту этой среды следует контролировать, и для асептического производства она не ниже класса чистоты D.</w:t>
      </w:r>
    </w:p>
    <w:bookmarkEnd w:id="4252"/>
    <w:bookmarkStart w:name="z4373" w:id="4253"/>
    <w:p>
      <w:pPr>
        <w:spacing w:after="0"/>
        <w:ind w:left="0"/>
        <w:jc w:val="both"/>
      </w:pPr>
      <w:r>
        <w:rPr>
          <w:rFonts w:ascii="Times New Roman"/>
          <w:b w:val="false"/>
          <w:i w:val="false"/>
          <w:color w:val="000000"/>
          <w:sz w:val="28"/>
        </w:rPr>
        <w:t>
      24. Изоляторы могут быть введены в эксплуатацию только после проведения соответствующей валидации. Валидация учитывает все критические факторы изолирующей технологии (например, качество воздуха внутри и снаружи изолятора, порядок дезинфекции изолятора, процессы передачи и целостность изолятора).</w:t>
      </w:r>
    </w:p>
    <w:bookmarkEnd w:id="4253"/>
    <w:bookmarkStart w:name="z4374" w:id="4254"/>
    <w:p>
      <w:pPr>
        <w:spacing w:after="0"/>
        <w:ind w:left="0"/>
        <w:jc w:val="both"/>
      </w:pPr>
      <w:r>
        <w:rPr>
          <w:rFonts w:ascii="Times New Roman"/>
          <w:b w:val="false"/>
          <w:i w:val="false"/>
          <w:color w:val="000000"/>
          <w:sz w:val="28"/>
        </w:rPr>
        <w:t>
      25. Необходимо проводить непрерывный мониторинг, включающий в себя частые испытания герметичности изолятора и узлов "перчатки - рукава".</w:t>
      </w:r>
    </w:p>
    <w:bookmarkEnd w:id="4254"/>
    <w:bookmarkStart w:name="z4375" w:id="4255"/>
    <w:p>
      <w:pPr>
        <w:spacing w:after="0"/>
        <w:ind w:left="0"/>
        <w:jc w:val="both"/>
      </w:pPr>
      <w:r>
        <w:rPr>
          <w:rFonts w:ascii="Times New Roman"/>
          <w:b w:val="false"/>
          <w:i w:val="false"/>
          <w:color w:val="000000"/>
          <w:sz w:val="28"/>
        </w:rPr>
        <w:t>
      Технология "выдувание - наполнение - герметизация"</w:t>
      </w:r>
    </w:p>
    <w:bookmarkEnd w:id="4255"/>
    <w:bookmarkStart w:name="z4376" w:id="4256"/>
    <w:p>
      <w:pPr>
        <w:spacing w:after="0"/>
        <w:ind w:left="0"/>
        <w:jc w:val="both"/>
      </w:pPr>
      <w:r>
        <w:rPr>
          <w:rFonts w:ascii="Times New Roman"/>
          <w:b w:val="false"/>
          <w:i w:val="false"/>
          <w:color w:val="000000"/>
          <w:sz w:val="28"/>
        </w:rPr>
        <w:t>
      26. Устройство для "выдувания-наполнения-герметизации" представляет собой устройство специальной конструкции, где в одном автоматическом комплексе в течение одного непрерывного технологического цикла из термопластичного гранулята формируются упаковки, которые наполняются продуктом и герметизируются. Устройство для "выдувания - наполнения - герметизации", используемое асептическом производстве и имеющее зону класса A с эффективным потоком воздуха, может быть установлено, по крайней мере, в зоне класса C при условии использования одежды, применяемой в зонах классов A и (или) B. Производственная среда в оснащенном состоянии соответствует установленным нормативам по частицам и микроорганизмам, а в эксплуатируемом состоянии - только по микроорганизмам. Устройство для "выдувания - наполнения - герметизации", используемое в производстве продукции, подлежащей финишной стерилизации, устанавливается по крайней мере в зоне класса D.</w:t>
      </w:r>
    </w:p>
    <w:bookmarkEnd w:id="4256"/>
    <w:bookmarkStart w:name="z4377" w:id="4257"/>
    <w:p>
      <w:pPr>
        <w:spacing w:after="0"/>
        <w:ind w:left="0"/>
        <w:jc w:val="both"/>
      </w:pPr>
      <w:r>
        <w:rPr>
          <w:rFonts w:ascii="Times New Roman"/>
          <w:b w:val="false"/>
          <w:i w:val="false"/>
          <w:color w:val="000000"/>
          <w:sz w:val="28"/>
        </w:rPr>
        <w:t>
      27. Учитывая особенности технологии "выдувание - наполнение - герметизация", необходимо обращать особое внимание на:</w:t>
      </w:r>
    </w:p>
    <w:bookmarkEnd w:id="4257"/>
    <w:bookmarkStart w:name="z4378" w:id="4258"/>
    <w:p>
      <w:pPr>
        <w:spacing w:after="0"/>
        <w:ind w:left="0"/>
        <w:jc w:val="both"/>
      </w:pPr>
      <w:r>
        <w:rPr>
          <w:rFonts w:ascii="Times New Roman"/>
          <w:b w:val="false"/>
          <w:i w:val="false"/>
          <w:color w:val="000000"/>
          <w:sz w:val="28"/>
        </w:rPr>
        <w:t>
      конструкцию и квалификацию оборудования;</w:t>
      </w:r>
    </w:p>
    <w:bookmarkEnd w:id="4258"/>
    <w:bookmarkStart w:name="z4379" w:id="4259"/>
    <w:p>
      <w:pPr>
        <w:spacing w:after="0"/>
        <w:ind w:left="0"/>
        <w:jc w:val="both"/>
      </w:pPr>
      <w:r>
        <w:rPr>
          <w:rFonts w:ascii="Times New Roman"/>
          <w:b w:val="false"/>
          <w:i w:val="false"/>
          <w:color w:val="000000"/>
          <w:sz w:val="28"/>
        </w:rPr>
        <w:t>
      валидацию и воспроизводимость процессов "очистка на месте" и "стерилизация на месте";</w:t>
      </w:r>
    </w:p>
    <w:bookmarkEnd w:id="4259"/>
    <w:bookmarkStart w:name="z4380" w:id="4260"/>
    <w:p>
      <w:pPr>
        <w:spacing w:after="0"/>
        <w:ind w:left="0"/>
        <w:jc w:val="both"/>
      </w:pPr>
      <w:r>
        <w:rPr>
          <w:rFonts w:ascii="Times New Roman"/>
          <w:b w:val="false"/>
          <w:i w:val="false"/>
          <w:color w:val="000000"/>
          <w:sz w:val="28"/>
        </w:rPr>
        <w:t>
      пространство чистого помещения, которое является производственной средой для размещенного там оборудования;</w:t>
      </w:r>
    </w:p>
    <w:bookmarkEnd w:id="4260"/>
    <w:bookmarkStart w:name="z4381" w:id="4261"/>
    <w:p>
      <w:pPr>
        <w:spacing w:after="0"/>
        <w:ind w:left="0"/>
        <w:jc w:val="both"/>
      </w:pPr>
      <w:r>
        <w:rPr>
          <w:rFonts w:ascii="Times New Roman"/>
          <w:b w:val="false"/>
          <w:i w:val="false"/>
          <w:color w:val="000000"/>
          <w:sz w:val="28"/>
        </w:rPr>
        <w:t>
      обучение операторов и их одежду;</w:t>
      </w:r>
    </w:p>
    <w:bookmarkEnd w:id="4261"/>
    <w:bookmarkStart w:name="z4382" w:id="4262"/>
    <w:p>
      <w:pPr>
        <w:spacing w:after="0"/>
        <w:ind w:left="0"/>
        <w:jc w:val="both"/>
      </w:pPr>
      <w:r>
        <w:rPr>
          <w:rFonts w:ascii="Times New Roman"/>
          <w:b w:val="false"/>
          <w:i w:val="false"/>
          <w:color w:val="000000"/>
          <w:sz w:val="28"/>
        </w:rPr>
        <w:t>
      действия в критической зоне оборудования, включая выполнение подсоединений и сборки в асептических условиях до начала наполнения.</w:t>
      </w:r>
    </w:p>
    <w:bookmarkEnd w:id="4262"/>
    <w:bookmarkStart w:name="z4383" w:id="4263"/>
    <w:p>
      <w:pPr>
        <w:spacing w:after="0"/>
        <w:ind w:left="0"/>
        <w:jc w:val="both"/>
      </w:pPr>
      <w:r>
        <w:rPr>
          <w:rFonts w:ascii="Times New Roman"/>
          <w:b w:val="false"/>
          <w:i w:val="false"/>
          <w:color w:val="000000"/>
          <w:sz w:val="28"/>
        </w:rPr>
        <w:t>
      Продукция, подвергаемая финишной стерилизации</w:t>
      </w:r>
    </w:p>
    <w:bookmarkEnd w:id="4263"/>
    <w:bookmarkStart w:name="z4384" w:id="4264"/>
    <w:p>
      <w:pPr>
        <w:spacing w:after="0"/>
        <w:ind w:left="0"/>
        <w:jc w:val="both"/>
      </w:pPr>
      <w:r>
        <w:rPr>
          <w:rFonts w:ascii="Times New Roman"/>
          <w:b w:val="false"/>
          <w:i w:val="false"/>
          <w:color w:val="000000"/>
          <w:sz w:val="28"/>
        </w:rPr>
        <w:t>
      28. Подготовка компонентов первичной упаковки и других материалов и производство большинства видов продукции проводятся в производственной среде по крайней мере класса D, чтобы обеспечить достаточно низкий уровень рисков контаминации частицами и микроорганизмами, подходящий для фильтрации и стерилизации.</w:t>
      </w:r>
    </w:p>
    <w:bookmarkEnd w:id="4264"/>
    <w:bookmarkStart w:name="z4385" w:id="4265"/>
    <w:p>
      <w:pPr>
        <w:spacing w:after="0"/>
        <w:ind w:left="0"/>
        <w:jc w:val="both"/>
      </w:pPr>
      <w:r>
        <w:rPr>
          <w:rFonts w:ascii="Times New Roman"/>
          <w:b w:val="false"/>
          <w:i w:val="false"/>
          <w:color w:val="000000"/>
          <w:sz w:val="28"/>
        </w:rPr>
        <w:t>
      Если микробная контаминация представляет высокие или особенные риски для продукции (например, когда продукция является хорошей питательной средой для роста микроорганизмов, либо ее стерилизации предшествует длительный период времени, либо технологический процесс ведется по большей части в открытых емкостях), приготовление следует осуществлять в производственной среде класса С.</w:t>
      </w:r>
    </w:p>
    <w:bookmarkEnd w:id="4265"/>
    <w:bookmarkStart w:name="z4386" w:id="4266"/>
    <w:p>
      <w:pPr>
        <w:spacing w:after="0"/>
        <w:ind w:left="0"/>
        <w:jc w:val="both"/>
      </w:pPr>
      <w:r>
        <w:rPr>
          <w:rFonts w:ascii="Times New Roman"/>
          <w:b w:val="false"/>
          <w:i w:val="false"/>
          <w:color w:val="000000"/>
          <w:sz w:val="28"/>
        </w:rPr>
        <w:t>
      29. Наполнение продуктами, подлежащими финишной стерилизации, проводится в производственной среде, по крайней мере, класса C.</w:t>
      </w:r>
    </w:p>
    <w:bookmarkEnd w:id="4266"/>
    <w:bookmarkStart w:name="z4387" w:id="4267"/>
    <w:p>
      <w:pPr>
        <w:spacing w:after="0"/>
        <w:ind w:left="0"/>
        <w:jc w:val="both"/>
      </w:pPr>
      <w:r>
        <w:rPr>
          <w:rFonts w:ascii="Times New Roman"/>
          <w:b w:val="false"/>
          <w:i w:val="false"/>
          <w:color w:val="000000"/>
          <w:sz w:val="28"/>
        </w:rPr>
        <w:t>
      30. При повышенном риске контаминации продукта от производственной среды (например, если операции наполнения проходят медленно или упаковки имеют широкое горло, или их необходимо держать открытыми более нескольких секунд до герметизации) наполнение проводится в зоне класса A с производственной средой, по крайней мере, класса C. Приготовление и фасовку мазей, кремов, суспензий и эмульсий перед финишной стерилизацией необходимо, как правило, осуществлять в производственной среде класса С.</w:t>
      </w:r>
    </w:p>
    <w:bookmarkEnd w:id="4267"/>
    <w:bookmarkStart w:name="z4388" w:id="4268"/>
    <w:p>
      <w:pPr>
        <w:spacing w:after="0"/>
        <w:ind w:left="0"/>
        <w:jc w:val="both"/>
      </w:pPr>
      <w:r>
        <w:rPr>
          <w:rFonts w:ascii="Times New Roman"/>
          <w:b w:val="false"/>
          <w:i w:val="false"/>
          <w:color w:val="000000"/>
          <w:sz w:val="28"/>
        </w:rPr>
        <w:t>
      Асептическое производство</w:t>
      </w:r>
    </w:p>
    <w:bookmarkEnd w:id="4268"/>
    <w:bookmarkStart w:name="z4389" w:id="4269"/>
    <w:p>
      <w:pPr>
        <w:spacing w:after="0"/>
        <w:ind w:left="0"/>
        <w:jc w:val="both"/>
      </w:pPr>
      <w:r>
        <w:rPr>
          <w:rFonts w:ascii="Times New Roman"/>
          <w:b w:val="false"/>
          <w:i w:val="false"/>
          <w:color w:val="000000"/>
          <w:sz w:val="28"/>
        </w:rPr>
        <w:t>
      31. Операции с компонентами первичной упаковки и другими материалами после мойки проводится в производственной среде, по крайней мере, класса D. Обработку стерильного исходного сырья и компонентов, если в дальнейшем не предусмотрена стерилизация или стерилизующая фильтрация, осуществляют в рабочей зоне класса А с производственной средой класса В.</w:t>
      </w:r>
    </w:p>
    <w:bookmarkEnd w:id="4269"/>
    <w:bookmarkStart w:name="z4390" w:id="4270"/>
    <w:p>
      <w:pPr>
        <w:spacing w:after="0"/>
        <w:ind w:left="0"/>
        <w:jc w:val="both"/>
      </w:pPr>
      <w:r>
        <w:rPr>
          <w:rFonts w:ascii="Times New Roman"/>
          <w:b w:val="false"/>
          <w:i w:val="false"/>
          <w:color w:val="000000"/>
          <w:sz w:val="28"/>
        </w:rPr>
        <w:t>
      32. Приготовление растворов, которые в ходе технологического процесса подлежат стерилизующей фильтрации, проводится в производственной среде класса C. Если стерилизующая фильтрация не проводится, то подготовку материалов и производство продукции необходимо осуществлять в рабочей зоне класса А с производственной средой класса В.</w:t>
      </w:r>
    </w:p>
    <w:bookmarkEnd w:id="4270"/>
    <w:bookmarkStart w:name="z4391" w:id="4271"/>
    <w:p>
      <w:pPr>
        <w:spacing w:after="0"/>
        <w:ind w:left="0"/>
        <w:jc w:val="both"/>
      </w:pPr>
      <w:r>
        <w:rPr>
          <w:rFonts w:ascii="Times New Roman"/>
          <w:b w:val="false"/>
          <w:i w:val="false"/>
          <w:color w:val="000000"/>
          <w:sz w:val="28"/>
        </w:rPr>
        <w:t>
      33. Проводить обработку и наполнение продукции, приготовленной в асептических условиях, следует в рабочей зоне класса А с производственной средой класса В.</w:t>
      </w:r>
    </w:p>
    <w:bookmarkEnd w:id="4271"/>
    <w:bookmarkStart w:name="z4392" w:id="4272"/>
    <w:p>
      <w:pPr>
        <w:spacing w:after="0"/>
        <w:ind w:left="0"/>
        <w:jc w:val="both"/>
      </w:pPr>
      <w:r>
        <w:rPr>
          <w:rFonts w:ascii="Times New Roman"/>
          <w:b w:val="false"/>
          <w:i w:val="false"/>
          <w:color w:val="000000"/>
          <w:sz w:val="28"/>
        </w:rPr>
        <w:t>
      34. Передачу (транспортировку) не окончательно укупоренных первичных упаковок с продукцией (например, лиофилизированной) до завершения процесса укупорки необходимо осуществлять в зоне класса А, находящейся в производственной среде класса B, или в герметичных передаточных контейнерах в производственной среде класса B.</w:t>
      </w:r>
    </w:p>
    <w:bookmarkEnd w:id="4272"/>
    <w:bookmarkStart w:name="z4393" w:id="4273"/>
    <w:p>
      <w:pPr>
        <w:spacing w:after="0"/>
        <w:ind w:left="0"/>
        <w:jc w:val="both"/>
      </w:pPr>
      <w:r>
        <w:rPr>
          <w:rFonts w:ascii="Times New Roman"/>
          <w:b w:val="false"/>
          <w:i w:val="false"/>
          <w:color w:val="000000"/>
          <w:sz w:val="28"/>
        </w:rPr>
        <w:t>
      35. Приготовление и наполнение стерильных мазей, кремов, суспензий и эмульсий необходимо осуществлять в зоне класса А, находящейся в производственной среде класса B, если продукция находится в открытых емкостях и в дальнейшем не подвергается стерилизующей фильтрации.</w:t>
      </w:r>
    </w:p>
    <w:bookmarkEnd w:id="4273"/>
    <w:bookmarkStart w:name="z4394" w:id="4274"/>
    <w:p>
      <w:pPr>
        <w:spacing w:after="0"/>
        <w:ind w:left="0"/>
        <w:jc w:val="both"/>
      </w:pPr>
      <w:r>
        <w:rPr>
          <w:rFonts w:ascii="Times New Roman"/>
          <w:b w:val="false"/>
          <w:i w:val="false"/>
          <w:color w:val="000000"/>
          <w:sz w:val="28"/>
        </w:rPr>
        <w:t>
      Персонал</w:t>
      </w:r>
    </w:p>
    <w:bookmarkEnd w:id="4274"/>
    <w:bookmarkStart w:name="z4395" w:id="4275"/>
    <w:p>
      <w:pPr>
        <w:spacing w:after="0"/>
        <w:ind w:left="0"/>
        <w:jc w:val="both"/>
      </w:pPr>
      <w:r>
        <w:rPr>
          <w:rFonts w:ascii="Times New Roman"/>
          <w:b w:val="false"/>
          <w:i w:val="false"/>
          <w:color w:val="000000"/>
          <w:sz w:val="28"/>
        </w:rPr>
        <w:t>
      36. В чистых помещениях (зонах) допускается нахождение только минимально необходимого количества персонала; что особенно важно для асептического производства. Проверки и контрольные операции следует проводить, по возможности, находясь за пределами чистых помещений (зон).</w:t>
      </w:r>
    </w:p>
    <w:bookmarkEnd w:id="4275"/>
    <w:bookmarkStart w:name="z4396" w:id="4276"/>
    <w:p>
      <w:pPr>
        <w:spacing w:after="0"/>
        <w:ind w:left="0"/>
        <w:jc w:val="both"/>
      </w:pPr>
      <w:r>
        <w:rPr>
          <w:rFonts w:ascii="Times New Roman"/>
          <w:b w:val="false"/>
          <w:i w:val="false"/>
          <w:color w:val="000000"/>
          <w:sz w:val="28"/>
        </w:rPr>
        <w:t>
      37. Весь персонал (в том числе персонал, занятый очисткой и техническим обслуживанием), работающий в чистых помещениях (зонах), проходит регулярное обучение по вопросам надлежащего производства стерильной продукции, включая вопросы гигиены и основы микробиологии. Если необходимо, чтобы посторонние сотрудники, не прошедшие такого обучения (например, работающие по контракту строители или наладчики оборудования), находились в чистом помещении, то они подробно проинструктированы, и за ними установлено строгое наблюдение.</w:t>
      </w:r>
    </w:p>
    <w:bookmarkEnd w:id="4276"/>
    <w:bookmarkStart w:name="z4397" w:id="4277"/>
    <w:p>
      <w:pPr>
        <w:spacing w:after="0"/>
        <w:ind w:left="0"/>
        <w:jc w:val="both"/>
      </w:pPr>
      <w:r>
        <w:rPr>
          <w:rFonts w:ascii="Times New Roman"/>
          <w:b w:val="false"/>
          <w:i w:val="false"/>
          <w:color w:val="000000"/>
          <w:sz w:val="28"/>
        </w:rPr>
        <w:t>
      38. Вход в помещения (зоны) стерильного производства персонала, работающего с сырьем из тканей животных или культурами микроорганизмов, которые не используются в текущем технологическом процессе, не допускается, если персоналом не соблюдены четко установленные процедуры в отношении входа в помещения (зоны) стерильного производства.</w:t>
      </w:r>
    </w:p>
    <w:bookmarkEnd w:id="4277"/>
    <w:bookmarkStart w:name="z4398" w:id="4278"/>
    <w:p>
      <w:pPr>
        <w:spacing w:after="0"/>
        <w:ind w:left="0"/>
        <w:jc w:val="both"/>
      </w:pPr>
      <w:r>
        <w:rPr>
          <w:rFonts w:ascii="Times New Roman"/>
          <w:b w:val="false"/>
          <w:i w:val="false"/>
          <w:color w:val="000000"/>
          <w:sz w:val="28"/>
        </w:rPr>
        <w:t>
      39. Необходимо выполнять требования к личной гигиене и чистоте. Персонал, занятый в производстве стерильных лекарственных средств, проинструктирован о необходимости сообщения любых обстоятельствах, которые могут быть причиной распространения аномального количества или видов контаминантов. При возникновении таких обстоятельств необходимы периодические медицинские осмотры сотрудников. Действия, которые необходимо предпринять в отношении персонала, который может стать источником микробной контаминации, определяются специально назначенным компетентным лицом.</w:t>
      </w:r>
    </w:p>
    <w:bookmarkEnd w:id="4278"/>
    <w:bookmarkStart w:name="z4399" w:id="4279"/>
    <w:p>
      <w:pPr>
        <w:spacing w:after="0"/>
        <w:ind w:left="0"/>
        <w:jc w:val="both"/>
      </w:pPr>
      <w:r>
        <w:rPr>
          <w:rFonts w:ascii="Times New Roman"/>
          <w:b w:val="false"/>
          <w:i w:val="false"/>
          <w:color w:val="000000"/>
          <w:sz w:val="28"/>
        </w:rPr>
        <w:t>
      40. В чистых зонах запрещается носить наручные часы и ювелирные украшения, а также использовать косметику.</w:t>
      </w:r>
    </w:p>
    <w:bookmarkEnd w:id="4279"/>
    <w:bookmarkStart w:name="z4400" w:id="4280"/>
    <w:p>
      <w:pPr>
        <w:spacing w:after="0"/>
        <w:ind w:left="0"/>
        <w:jc w:val="both"/>
      </w:pPr>
      <w:r>
        <w:rPr>
          <w:rFonts w:ascii="Times New Roman"/>
          <w:b w:val="false"/>
          <w:i w:val="false"/>
          <w:color w:val="000000"/>
          <w:sz w:val="28"/>
        </w:rPr>
        <w:t>
      41. Переодеваться и мыться необходимо в соответствии с инструкциями, принятыми в форме письменного документа и разработанными так, чтобы свести к минимуму риск контаминации одежды для работы в чистых зонах или внесения контаминантов в чистые зоны.</w:t>
      </w:r>
    </w:p>
    <w:bookmarkEnd w:id="4280"/>
    <w:bookmarkStart w:name="z4401" w:id="4281"/>
    <w:p>
      <w:pPr>
        <w:spacing w:after="0"/>
        <w:ind w:left="0"/>
        <w:jc w:val="both"/>
      </w:pPr>
      <w:r>
        <w:rPr>
          <w:rFonts w:ascii="Times New Roman"/>
          <w:b w:val="false"/>
          <w:i w:val="false"/>
          <w:color w:val="000000"/>
          <w:sz w:val="28"/>
        </w:rPr>
        <w:t>
      42. Одежда и ее качество соответствуют технологическому процессу и классу рабочей зоны. Ее нужно носить так, чтобы обеспечить защиту продукции от контаминации.</w:t>
      </w:r>
    </w:p>
    <w:bookmarkEnd w:id="4281"/>
    <w:bookmarkStart w:name="z4402" w:id="4282"/>
    <w:p>
      <w:pPr>
        <w:spacing w:after="0"/>
        <w:ind w:left="0"/>
        <w:jc w:val="both"/>
      </w:pPr>
      <w:r>
        <w:rPr>
          <w:rFonts w:ascii="Times New Roman"/>
          <w:b w:val="false"/>
          <w:i w:val="false"/>
          <w:color w:val="000000"/>
          <w:sz w:val="28"/>
        </w:rPr>
        <w:t>
      43. Для работы в чистых помещениях (зонах) класса D волосы, борода и усы (при наличии) персонала закрыты, носят обычный защитный костюм и соответствующую обувь или бахилы. Приняты соответствующие меры для предотвращения любой контаминации чистой зоны извне.</w:t>
      </w:r>
    </w:p>
    <w:bookmarkEnd w:id="4282"/>
    <w:bookmarkStart w:name="z4403" w:id="4283"/>
    <w:p>
      <w:pPr>
        <w:spacing w:after="0"/>
        <w:ind w:left="0"/>
        <w:jc w:val="both"/>
      </w:pPr>
      <w:r>
        <w:rPr>
          <w:rFonts w:ascii="Times New Roman"/>
          <w:b w:val="false"/>
          <w:i w:val="false"/>
          <w:color w:val="000000"/>
          <w:sz w:val="28"/>
        </w:rPr>
        <w:t>
      Для работы в чистых помещениях (зонах) класса С волосы, борода и усы (при наличии) закрыты, носят комбинезон или брючный костюм, плотно облегающий запястья и имеющий высокий воротник, а также соответствующую обувь или бахилы. От одежды и обуви практически не отделяются волокна или частицы.</w:t>
      </w:r>
    </w:p>
    <w:bookmarkEnd w:id="4283"/>
    <w:bookmarkStart w:name="z4404" w:id="4284"/>
    <w:p>
      <w:pPr>
        <w:spacing w:after="0"/>
        <w:ind w:left="0"/>
        <w:jc w:val="both"/>
      </w:pPr>
      <w:r>
        <w:rPr>
          <w:rFonts w:ascii="Times New Roman"/>
          <w:b w:val="false"/>
          <w:i w:val="false"/>
          <w:color w:val="000000"/>
          <w:sz w:val="28"/>
        </w:rPr>
        <w:t>
      Для работы в чистых помещениях (зонах) классов А или В головной убор полностью закрывает волосы, а также бороду и усы (при наличии) и вставлен в воротник костюма, на лице следует носить маску для предотвращения распространения капелек, а также следует носить соответствующим образом простерилизованные и неопудренные резиновые или пластиковые перчатки и простерилизованную или продезинфицированную обувь. Нижние края штанин заправлены внутрь обуви, а рукава одежды - в перчатки. Защитная одежда практически не выделяют волокон или частиц и задерживают частицы, отделяющиеся от тела.</w:t>
      </w:r>
    </w:p>
    <w:bookmarkEnd w:id="4284"/>
    <w:bookmarkStart w:name="z4405" w:id="4285"/>
    <w:p>
      <w:pPr>
        <w:spacing w:after="0"/>
        <w:ind w:left="0"/>
        <w:jc w:val="both"/>
      </w:pPr>
      <w:r>
        <w:rPr>
          <w:rFonts w:ascii="Times New Roman"/>
          <w:b w:val="false"/>
          <w:i w:val="false"/>
          <w:color w:val="000000"/>
          <w:sz w:val="28"/>
        </w:rPr>
        <w:t>
      44. Уличную одежду запрещается вносить в комнаты для переодевания, которые ведут в помещения классов В и С. Каждый сотрудник в зоне классов А и В обеспечен чистой стерильной (простерилизованной или прошедшей соответствующую санитарную обработку) защитной одеждой на каждую рабочую смену. Перчатки во время работы необходимо регулярно дезинфицировать. Маски и перчатки необходимо менять, по крайней мере, каждую смену.</w:t>
      </w:r>
    </w:p>
    <w:bookmarkEnd w:id="4285"/>
    <w:bookmarkStart w:name="z4406" w:id="4286"/>
    <w:p>
      <w:pPr>
        <w:spacing w:after="0"/>
        <w:ind w:left="0"/>
        <w:jc w:val="both"/>
      </w:pPr>
      <w:r>
        <w:rPr>
          <w:rFonts w:ascii="Times New Roman"/>
          <w:b w:val="false"/>
          <w:i w:val="false"/>
          <w:color w:val="000000"/>
          <w:sz w:val="28"/>
        </w:rPr>
        <w:t>
      45. Одежду для чистых помещений необходимо очищать и обрабатывать таким образом, чтобы она впоследствии не становилась причиной контаминации. Эти операции следует выполнять в соответствии с письменными инструкциями. Для подготовки такой одежды желательно иметь отдельные прачечные. Неправильная обработка одежды повреждает волокна ткани, что увеличивает риск отделения частиц.</w:t>
      </w:r>
    </w:p>
    <w:bookmarkEnd w:id="4286"/>
    <w:bookmarkStart w:name="z4407" w:id="4287"/>
    <w:p>
      <w:pPr>
        <w:spacing w:after="0"/>
        <w:ind w:left="0"/>
        <w:jc w:val="both"/>
      </w:pPr>
      <w:r>
        <w:rPr>
          <w:rFonts w:ascii="Times New Roman"/>
          <w:b w:val="false"/>
          <w:i w:val="false"/>
          <w:color w:val="000000"/>
          <w:sz w:val="28"/>
        </w:rPr>
        <w:t>
      Помещения</w:t>
      </w:r>
    </w:p>
    <w:bookmarkEnd w:id="4287"/>
    <w:bookmarkStart w:name="z4408" w:id="4288"/>
    <w:p>
      <w:pPr>
        <w:spacing w:after="0"/>
        <w:ind w:left="0"/>
        <w:jc w:val="both"/>
      </w:pPr>
      <w:r>
        <w:rPr>
          <w:rFonts w:ascii="Times New Roman"/>
          <w:b w:val="false"/>
          <w:i w:val="false"/>
          <w:color w:val="000000"/>
          <w:sz w:val="28"/>
        </w:rPr>
        <w:t>
      46. В чистых зонах все открытые поверхности гладкие, непроницаемые и неповрежденные, чтобы свести к минимуму образование и накопление частиц или микроорганизмов, а также позволяют многократно применять моющие и, при необходимости, дезинфицирующие средства.</w:t>
      </w:r>
    </w:p>
    <w:bookmarkEnd w:id="4288"/>
    <w:bookmarkStart w:name="z4409" w:id="4289"/>
    <w:p>
      <w:pPr>
        <w:spacing w:after="0"/>
        <w:ind w:left="0"/>
        <w:jc w:val="both"/>
      </w:pPr>
      <w:r>
        <w:rPr>
          <w:rFonts w:ascii="Times New Roman"/>
          <w:b w:val="false"/>
          <w:i w:val="false"/>
          <w:color w:val="000000"/>
          <w:sz w:val="28"/>
        </w:rPr>
        <w:t>
      47. Для уменьшения накопления пыли и облегчения уборки в помещениях нет не поддающихся очистке углублений и нет выступающих краев, полок, шкафов и оборудования. Двери сконструированы без углублений, недоступных для очистки; раздвижные двери не используют.</w:t>
      </w:r>
    </w:p>
    <w:bookmarkEnd w:id="4289"/>
    <w:bookmarkStart w:name="z4410" w:id="4290"/>
    <w:p>
      <w:pPr>
        <w:spacing w:after="0"/>
        <w:ind w:left="0"/>
        <w:jc w:val="both"/>
      </w:pPr>
      <w:r>
        <w:rPr>
          <w:rFonts w:ascii="Times New Roman"/>
          <w:b w:val="false"/>
          <w:i w:val="false"/>
          <w:color w:val="000000"/>
          <w:sz w:val="28"/>
        </w:rPr>
        <w:t>
      48. Подвесные потолки герметичные с целью предотвращения попадания контаминантов из пространства над ними.</w:t>
      </w:r>
    </w:p>
    <w:bookmarkEnd w:id="4290"/>
    <w:bookmarkStart w:name="z4411" w:id="4291"/>
    <w:p>
      <w:pPr>
        <w:spacing w:after="0"/>
        <w:ind w:left="0"/>
        <w:jc w:val="both"/>
      </w:pPr>
      <w:r>
        <w:rPr>
          <w:rFonts w:ascii="Times New Roman"/>
          <w:b w:val="false"/>
          <w:i w:val="false"/>
          <w:color w:val="000000"/>
          <w:sz w:val="28"/>
        </w:rPr>
        <w:t>
      49. Монтаж трубопроводов, воздуховодов и другого оборудования следует выполнять так, чтобы не было углублений и незакрытых отверстий, а также отсутствовали поверхности, не доступные для очистки.</w:t>
      </w:r>
    </w:p>
    <w:bookmarkEnd w:id="4291"/>
    <w:bookmarkStart w:name="z4412" w:id="4292"/>
    <w:p>
      <w:pPr>
        <w:spacing w:after="0"/>
        <w:ind w:left="0"/>
        <w:jc w:val="both"/>
      </w:pPr>
      <w:r>
        <w:rPr>
          <w:rFonts w:ascii="Times New Roman"/>
          <w:b w:val="false"/>
          <w:i w:val="false"/>
          <w:color w:val="000000"/>
          <w:sz w:val="28"/>
        </w:rPr>
        <w:t>
      50. Запрещается устанавливать раковины и сливы в зонах классов A или B, используемых для асептического производства. В других зонах следует предусматривать разрыв струи между оборудованием и канализационной трубой (воронкой). Стоки в полу в чистых помещениях с более низким классом чистоты обеспечены сифонами или гидрозатворами для предотвращения обратного потока.</w:t>
      </w:r>
    </w:p>
    <w:bookmarkEnd w:id="4292"/>
    <w:bookmarkStart w:name="z4413" w:id="4293"/>
    <w:p>
      <w:pPr>
        <w:spacing w:after="0"/>
        <w:ind w:left="0"/>
        <w:jc w:val="both"/>
      </w:pPr>
      <w:r>
        <w:rPr>
          <w:rFonts w:ascii="Times New Roman"/>
          <w:b w:val="false"/>
          <w:i w:val="false"/>
          <w:color w:val="000000"/>
          <w:sz w:val="28"/>
        </w:rPr>
        <w:t>
      51. Помещения для переодевания сконструированы как воздушные шлюзы и используются для обеспечения физического разделения разных этапов смены одежды и сводить к минимуму контаминацию защитной одежды микроорганизмами и частицами. Они эффективно обдуваются отфильтрованным воздухом. Зона перед выходом из помещения для переодевания в оснащенном состоянии тот же класс чистоты, что и помещение (зона), в которую она ведет. В некоторых случаях для входа в чистые помещения (зоны) и выхода из них целесообразно иметь отдельные помещения для переодевания. Как правило, устройства для мытья рук расположены внутри комнат для переодевания недалеко от входа в них.</w:t>
      </w:r>
    </w:p>
    <w:bookmarkEnd w:id="4293"/>
    <w:bookmarkStart w:name="z4414" w:id="4294"/>
    <w:p>
      <w:pPr>
        <w:spacing w:after="0"/>
        <w:ind w:left="0"/>
        <w:jc w:val="both"/>
      </w:pPr>
      <w:r>
        <w:rPr>
          <w:rFonts w:ascii="Times New Roman"/>
          <w:b w:val="false"/>
          <w:i w:val="false"/>
          <w:color w:val="000000"/>
          <w:sz w:val="28"/>
        </w:rPr>
        <w:t>
      52. Обе двери воздушного шлюза не могут быть открыты одновременно. Для предотвращения одновременного открывания более одной двери работает блокировочная система или система визуального и (или) звукового предупреждения.</w:t>
      </w:r>
    </w:p>
    <w:bookmarkEnd w:id="4294"/>
    <w:bookmarkStart w:name="z4415" w:id="4295"/>
    <w:p>
      <w:pPr>
        <w:spacing w:after="0"/>
        <w:ind w:left="0"/>
        <w:jc w:val="both"/>
      </w:pPr>
      <w:r>
        <w:rPr>
          <w:rFonts w:ascii="Times New Roman"/>
          <w:b w:val="false"/>
          <w:i w:val="false"/>
          <w:color w:val="000000"/>
          <w:sz w:val="28"/>
        </w:rPr>
        <w:t>
      53. Подача отфильтрованного воздуха поддерживает положительный перепад давления относительно производственных зон более низким классом при всех рабочих условиях, а воздушный поток эффективно обтекать зону. Смежные помещения с разными классами чистоты имеет разницу в давлении 10 - 15 Па (нормативное значение). Особое внимание следует уделяет защите помещения (зоны) наибольших рисков для качества продукции, то есть производственной среде, непосредственному влиянию которой подвергается продукция или очищенные компоненты, контактирующие продукцией. Допускаются разные варианты в отношении подачи воздуха и перепада давлений, которые могут потребоваться из-за присутствия некоторых материалов (например, патогенных, высокотоксичных, радиоактивных материалов или живых вирусов, или бактериальных материалов, или препаратов из них). Для некоторых операций может быть необходима деконтаминация помещений и оборудования и обработка воздуха, удаляемого из чистого помещения (зоны).</w:t>
      </w:r>
    </w:p>
    <w:bookmarkEnd w:id="4295"/>
    <w:bookmarkStart w:name="z4416" w:id="4296"/>
    <w:p>
      <w:pPr>
        <w:spacing w:after="0"/>
        <w:ind w:left="0"/>
        <w:jc w:val="both"/>
      </w:pPr>
      <w:r>
        <w:rPr>
          <w:rFonts w:ascii="Times New Roman"/>
          <w:b w:val="false"/>
          <w:i w:val="false"/>
          <w:color w:val="000000"/>
          <w:sz w:val="28"/>
        </w:rPr>
        <w:t>
      54. Следует наглядно продемонстрировать, что направление воздушных потоков не представляет рисков для контаминации продукта, например, следует удостовериться, что в помещение (зону), представляющее наибольшие риски для качества продукта, с воздушным потоком не поступают частицы, источниками выделения которых являются обслуживающий персонал, выполняемая операция или оборудование.</w:t>
      </w:r>
    </w:p>
    <w:bookmarkEnd w:id="4296"/>
    <w:bookmarkStart w:name="z4417" w:id="4297"/>
    <w:p>
      <w:pPr>
        <w:spacing w:after="0"/>
        <w:ind w:left="0"/>
        <w:jc w:val="both"/>
      </w:pPr>
      <w:r>
        <w:rPr>
          <w:rFonts w:ascii="Times New Roman"/>
          <w:b w:val="false"/>
          <w:i w:val="false"/>
          <w:color w:val="000000"/>
          <w:sz w:val="28"/>
        </w:rPr>
        <w:t>
      55. Следует предусмотреть систему аварийного оповещения об отказе системы вентиляции. Если разница в давлении между двумя помещениями является критичной, между ними необходимо установить датчики перепада давления. Значения перепада давления необходимо регулярно записывать или оформлять документально иным способом.</w:t>
      </w:r>
    </w:p>
    <w:bookmarkEnd w:id="4297"/>
    <w:bookmarkStart w:name="z4418" w:id="4298"/>
    <w:p>
      <w:pPr>
        <w:spacing w:after="0"/>
        <w:ind w:left="0"/>
        <w:jc w:val="both"/>
      </w:pPr>
      <w:r>
        <w:rPr>
          <w:rFonts w:ascii="Times New Roman"/>
          <w:b w:val="false"/>
          <w:i w:val="false"/>
          <w:color w:val="000000"/>
          <w:sz w:val="28"/>
        </w:rPr>
        <w:t>
      Оборудование</w:t>
      </w:r>
    </w:p>
    <w:bookmarkEnd w:id="4298"/>
    <w:bookmarkStart w:name="z4419" w:id="4299"/>
    <w:p>
      <w:pPr>
        <w:spacing w:after="0"/>
        <w:ind w:left="0"/>
        <w:jc w:val="both"/>
      </w:pPr>
      <w:r>
        <w:rPr>
          <w:rFonts w:ascii="Times New Roman"/>
          <w:b w:val="false"/>
          <w:i w:val="false"/>
          <w:color w:val="000000"/>
          <w:sz w:val="28"/>
        </w:rPr>
        <w:t>
      56. Не допускается, чтобы через перегородку, отделяющую помещение (зону) класса А или В от производственной зоны с более низкой чистотой воздуха, проходила лента конвейера, за исключением случаев, когда сама лента подвергается непрерывной стерилизации (например, в стерилизационном туннеле).</w:t>
      </w:r>
    </w:p>
    <w:bookmarkEnd w:id="4299"/>
    <w:bookmarkStart w:name="z4420" w:id="4300"/>
    <w:p>
      <w:pPr>
        <w:spacing w:after="0"/>
        <w:ind w:left="0"/>
        <w:jc w:val="both"/>
      </w:pPr>
      <w:r>
        <w:rPr>
          <w:rFonts w:ascii="Times New Roman"/>
          <w:b w:val="false"/>
          <w:i w:val="false"/>
          <w:color w:val="000000"/>
          <w:sz w:val="28"/>
        </w:rPr>
        <w:t>
      57. Насколько это возможно практически, оборудование, фитинги (места соединения) и зоны обслуживания спроектированы установлены таким образом, чтобы работы с оборудованием, его техническое обслуживание и ремонт можно было проводить снаружи чистого помещения (зоны). Если необходима стерилизация, то она проведена после максимально полной сборки оборудования.</w:t>
      </w:r>
    </w:p>
    <w:bookmarkEnd w:id="4300"/>
    <w:bookmarkStart w:name="z4421" w:id="4301"/>
    <w:p>
      <w:pPr>
        <w:spacing w:after="0"/>
        <w:ind w:left="0"/>
        <w:jc w:val="both"/>
      </w:pPr>
      <w:r>
        <w:rPr>
          <w:rFonts w:ascii="Times New Roman"/>
          <w:b w:val="false"/>
          <w:i w:val="false"/>
          <w:color w:val="000000"/>
          <w:sz w:val="28"/>
        </w:rPr>
        <w:t>
      58. Если техническое обслуживание оборудования было проведено внутри чистого помещения (зоны) и необходимые нормы чистоты и (или) асептики были нарушены во время этой работы, то помещение (зона) очищено, продезинфицировано и (или) простерилизовано (в зависимости от того, что подходит) до возобновления процесса.</w:t>
      </w:r>
    </w:p>
    <w:bookmarkEnd w:id="4301"/>
    <w:bookmarkStart w:name="z4422" w:id="4302"/>
    <w:p>
      <w:pPr>
        <w:spacing w:after="0"/>
        <w:ind w:left="0"/>
        <w:jc w:val="both"/>
      </w:pPr>
      <w:r>
        <w:rPr>
          <w:rFonts w:ascii="Times New Roman"/>
          <w:b w:val="false"/>
          <w:i w:val="false"/>
          <w:color w:val="000000"/>
          <w:sz w:val="28"/>
        </w:rPr>
        <w:t>
      59. Установки для подготовки воды и системы ее распределения следует проектировать, конструировать и эксплуатировать так, чтобы обеспечить надежное обеспечение водой соответствующего качества. Их нельзя эксплуатировать сверх проектной мощности. Воду для инъекций необходимо производить, хранить и распределять таким образом, чтобы предотвратить рост микроорганизмов, например, за счет ее постоянной циркуляции при температуре выше 70 °С.</w:t>
      </w:r>
    </w:p>
    <w:bookmarkEnd w:id="4302"/>
    <w:bookmarkStart w:name="z4423" w:id="4303"/>
    <w:p>
      <w:pPr>
        <w:spacing w:after="0"/>
        <w:ind w:left="0"/>
        <w:jc w:val="both"/>
      </w:pPr>
      <w:r>
        <w:rPr>
          <w:rFonts w:ascii="Times New Roman"/>
          <w:b w:val="false"/>
          <w:i w:val="false"/>
          <w:color w:val="000000"/>
          <w:sz w:val="28"/>
        </w:rPr>
        <w:t>
      60. Такое оборудование, как стерилизаторы, системы обработки и фильтрации воздуха, воздушные и газовые фильтры, системы обработки, получения, хранения и распределения воды, подлежат валидации и плановому техническому обслуживанию. На его повторное введение в эксплуатацию выдано разрешение.</w:t>
      </w:r>
    </w:p>
    <w:bookmarkEnd w:id="4303"/>
    <w:bookmarkStart w:name="z4424" w:id="4304"/>
    <w:p>
      <w:pPr>
        <w:spacing w:after="0"/>
        <w:ind w:left="0"/>
        <w:jc w:val="both"/>
      </w:pPr>
      <w:r>
        <w:rPr>
          <w:rFonts w:ascii="Times New Roman"/>
          <w:b w:val="false"/>
          <w:i w:val="false"/>
          <w:color w:val="000000"/>
          <w:sz w:val="28"/>
        </w:rPr>
        <w:t>
      Санитария</w:t>
      </w:r>
    </w:p>
    <w:bookmarkEnd w:id="4304"/>
    <w:bookmarkStart w:name="z4425" w:id="4305"/>
    <w:p>
      <w:pPr>
        <w:spacing w:after="0"/>
        <w:ind w:left="0"/>
        <w:jc w:val="both"/>
      </w:pPr>
      <w:r>
        <w:rPr>
          <w:rFonts w:ascii="Times New Roman"/>
          <w:b w:val="false"/>
          <w:i w:val="false"/>
          <w:color w:val="000000"/>
          <w:sz w:val="28"/>
        </w:rPr>
        <w:t>
      61. Санитарная обработка чистых помещений (зон) имеет особо важное значение. Помещения (зоны) необходимо тщательно очищать в соответствии с инструкцией, принятой в форме письменного документа.</w:t>
      </w:r>
    </w:p>
    <w:bookmarkEnd w:id="4305"/>
    <w:bookmarkStart w:name="z4426" w:id="4306"/>
    <w:p>
      <w:pPr>
        <w:spacing w:after="0"/>
        <w:ind w:left="0"/>
        <w:jc w:val="both"/>
      </w:pPr>
      <w:r>
        <w:rPr>
          <w:rFonts w:ascii="Times New Roman"/>
          <w:b w:val="false"/>
          <w:i w:val="false"/>
          <w:color w:val="000000"/>
          <w:sz w:val="28"/>
        </w:rPr>
        <w:t>
      В случае проведения дезинфекции следует применять несколько типов дезинфицирующих средств. Для выявления развития резистентных штаммов микроорганизмов следует проводить регулярный контроль.</w:t>
      </w:r>
    </w:p>
    <w:bookmarkEnd w:id="4306"/>
    <w:bookmarkStart w:name="z4427" w:id="4307"/>
    <w:p>
      <w:pPr>
        <w:spacing w:after="0"/>
        <w:ind w:left="0"/>
        <w:jc w:val="both"/>
      </w:pPr>
      <w:r>
        <w:rPr>
          <w:rFonts w:ascii="Times New Roman"/>
          <w:b w:val="false"/>
          <w:i w:val="false"/>
          <w:color w:val="000000"/>
          <w:sz w:val="28"/>
        </w:rPr>
        <w:t>
      62. Моющие и дезинфицирующие средства необходимо контролировать в отношении микробиологической чистоты. Их растворы следует держать в предварительно очищенных контейнерах (таре) и хранить лишь на протяжении установленных сроков, за исключением тех растворов, которые простерилизованы. Моющие и дезинфицирующие средства, используемые в помещениях (зонах) классов А и B, перед использованием стерильными.</w:t>
      </w:r>
    </w:p>
    <w:bookmarkEnd w:id="4307"/>
    <w:bookmarkStart w:name="z4428" w:id="4308"/>
    <w:p>
      <w:pPr>
        <w:spacing w:after="0"/>
        <w:ind w:left="0"/>
        <w:jc w:val="both"/>
      </w:pPr>
      <w:r>
        <w:rPr>
          <w:rFonts w:ascii="Times New Roman"/>
          <w:b w:val="false"/>
          <w:i w:val="false"/>
          <w:color w:val="000000"/>
          <w:sz w:val="28"/>
        </w:rPr>
        <w:t>
      63. Для снижения микробной контаминации в недоступных местах может быть полезна фумигация чистых помещений (зон).</w:t>
      </w:r>
    </w:p>
    <w:bookmarkEnd w:id="4308"/>
    <w:bookmarkStart w:name="z4429" w:id="4309"/>
    <w:p>
      <w:pPr>
        <w:spacing w:after="0"/>
        <w:ind w:left="0"/>
        <w:jc w:val="both"/>
      </w:pPr>
      <w:r>
        <w:rPr>
          <w:rFonts w:ascii="Times New Roman"/>
          <w:b w:val="false"/>
          <w:i w:val="false"/>
          <w:color w:val="000000"/>
          <w:sz w:val="28"/>
        </w:rPr>
        <w:t>
      Технологический процесс</w:t>
      </w:r>
    </w:p>
    <w:bookmarkEnd w:id="4309"/>
    <w:bookmarkStart w:name="z4430" w:id="4310"/>
    <w:p>
      <w:pPr>
        <w:spacing w:after="0"/>
        <w:ind w:left="0"/>
        <w:jc w:val="both"/>
      </w:pPr>
      <w:r>
        <w:rPr>
          <w:rFonts w:ascii="Times New Roman"/>
          <w:b w:val="false"/>
          <w:i w:val="false"/>
          <w:color w:val="000000"/>
          <w:sz w:val="28"/>
        </w:rPr>
        <w:t>
      64. На всех стадиях производства, в том числе на стадиях, предшествующих стерилизации, необходимо принимать меры, сводящие к минимуму контаминацию.</w:t>
      </w:r>
    </w:p>
    <w:bookmarkEnd w:id="4310"/>
    <w:bookmarkStart w:name="z4431" w:id="4311"/>
    <w:p>
      <w:pPr>
        <w:spacing w:after="0"/>
        <w:ind w:left="0"/>
        <w:jc w:val="both"/>
      </w:pPr>
      <w:r>
        <w:rPr>
          <w:rFonts w:ascii="Times New Roman"/>
          <w:b w:val="false"/>
          <w:i w:val="false"/>
          <w:color w:val="000000"/>
          <w:sz w:val="28"/>
        </w:rPr>
        <w:t>
      65. Не допускается производство лекарственных средств микробиологического происхождения или их фасовка (наполнение контейнеров) в помещениях, используемых для производства других лекарственных средств. Вакцины, содержащие убитые микроорганизмы или бактериальные экстракты, после инактивации могут быть расфасованы в тех же помещениях (зонах), что и другие стерильные лекарственные средства.</w:t>
      </w:r>
    </w:p>
    <w:bookmarkEnd w:id="4311"/>
    <w:bookmarkStart w:name="z4432" w:id="4312"/>
    <w:p>
      <w:pPr>
        <w:spacing w:after="0"/>
        <w:ind w:left="0"/>
        <w:jc w:val="both"/>
      </w:pPr>
      <w:r>
        <w:rPr>
          <w:rFonts w:ascii="Times New Roman"/>
          <w:b w:val="false"/>
          <w:i w:val="false"/>
          <w:color w:val="000000"/>
          <w:sz w:val="28"/>
        </w:rPr>
        <w:t>
      66.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 Питательную среду следует выбирать с учетом лекарственной формы лекарственного препарата, а также селективности, прозрачности, концентрации и пригодности питательной среды для стерилизации.</w:t>
      </w:r>
    </w:p>
    <w:bookmarkEnd w:id="4312"/>
    <w:bookmarkStart w:name="z4433" w:id="4313"/>
    <w:p>
      <w:pPr>
        <w:spacing w:after="0"/>
        <w:ind w:left="0"/>
        <w:jc w:val="both"/>
      </w:pPr>
      <w:r>
        <w:rPr>
          <w:rFonts w:ascii="Times New Roman"/>
          <w:b w:val="false"/>
          <w:i w:val="false"/>
          <w:color w:val="000000"/>
          <w:sz w:val="28"/>
        </w:rPr>
        <w:t>
      67. Моделирование процесса наиболее точно имитирует серийный процесс асептического производства и включает в себя его последовательные критические стадии. Также учитывается различные вмешательства, которые могут возникнуть во время обычного производственного процесса, а также ситуации "наихудшего случая".</w:t>
      </w:r>
    </w:p>
    <w:bookmarkEnd w:id="4313"/>
    <w:bookmarkStart w:name="z4434" w:id="4314"/>
    <w:p>
      <w:pPr>
        <w:spacing w:after="0"/>
        <w:ind w:left="0"/>
        <w:jc w:val="both"/>
      </w:pPr>
      <w:r>
        <w:rPr>
          <w:rFonts w:ascii="Times New Roman"/>
          <w:b w:val="false"/>
          <w:i w:val="false"/>
          <w:color w:val="000000"/>
          <w:sz w:val="28"/>
        </w:rPr>
        <w:t>
      68. Моделирование процесса при первоначальной валидации включает 3 последовательных удовлетворительных испытания для каждой смены операторов. В дальнейшем их следует повторяют через установленные промежутки времени, а также после любого существенного изменения в системе вентиляции и кондиционирования воздуха, оборудовании, процессе или количестве смен. Как правило, моделирующие процесс испытания следует повторять 2 раза в год для каждой смены операторов и каждого процесса.</w:t>
      </w:r>
    </w:p>
    <w:bookmarkEnd w:id="4314"/>
    <w:bookmarkStart w:name="z4435" w:id="4315"/>
    <w:p>
      <w:pPr>
        <w:spacing w:after="0"/>
        <w:ind w:left="0"/>
        <w:jc w:val="both"/>
      </w:pPr>
      <w:r>
        <w:rPr>
          <w:rFonts w:ascii="Times New Roman"/>
          <w:b w:val="false"/>
          <w:i w:val="false"/>
          <w:color w:val="000000"/>
          <w:sz w:val="28"/>
        </w:rPr>
        <w:t>
      69. Количество контейнеров (первичных упаковок), предназначенных для фасовки питательных сред, достаточным, чтобы обеспечить достоверную оценку. В случае небольших серий количество контейнеров для фасовки питательных сред как минимум соответствовать размеру серии продукции. Необходимо стремиться к отсутствию роста микроорганизмов, при этом следует применять такие нормы:</w:t>
      </w:r>
    </w:p>
    <w:bookmarkEnd w:id="4315"/>
    <w:bookmarkStart w:name="z4436" w:id="4316"/>
    <w:p>
      <w:pPr>
        <w:spacing w:after="0"/>
        <w:ind w:left="0"/>
        <w:jc w:val="both"/>
      </w:pPr>
      <w:r>
        <w:rPr>
          <w:rFonts w:ascii="Times New Roman"/>
          <w:b w:val="false"/>
          <w:i w:val="false"/>
          <w:color w:val="000000"/>
          <w:sz w:val="28"/>
        </w:rPr>
        <w:t>
      a) в случае наполнения менее 5 000 единиц продукции, нет ни одной контаминированной единицы;</w:t>
      </w:r>
    </w:p>
    <w:bookmarkEnd w:id="4316"/>
    <w:bookmarkStart w:name="z4437" w:id="4317"/>
    <w:p>
      <w:pPr>
        <w:spacing w:after="0"/>
        <w:ind w:left="0"/>
        <w:jc w:val="both"/>
      </w:pPr>
      <w:r>
        <w:rPr>
          <w:rFonts w:ascii="Times New Roman"/>
          <w:b w:val="false"/>
          <w:i w:val="false"/>
          <w:color w:val="000000"/>
          <w:sz w:val="28"/>
        </w:rPr>
        <w:t>
      b) в случае наполнения от 5 000 до 10 000 единиц продукции:</w:t>
      </w:r>
    </w:p>
    <w:bookmarkEnd w:id="4317"/>
    <w:bookmarkStart w:name="z4438" w:id="4318"/>
    <w:p>
      <w:pPr>
        <w:spacing w:after="0"/>
        <w:ind w:left="0"/>
        <w:jc w:val="both"/>
      </w:pPr>
      <w:r>
        <w:rPr>
          <w:rFonts w:ascii="Times New Roman"/>
          <w:b w:val="false"/>
          <w:i w:val="false"/>
          <w:color w:val="000000"/>
          <w:sz w:val="28"/>
        </w:rPr>
        <w:t>
      наличие 1 контаминированной единицы является основанием для расследования причин и повторной фасовки питательных сред;</w:t>
      </w:r>
    </w:p>
    <w:bookmarkEnd w:id="4318"/>
    <w:bookmarkStart w:name="z4439" w:id="4319"/>
    <w:p>
      <w:pPr>
        <w:spacing w:after="0"/>
        <w:ind w:left="0"/>
        <w:jc w:val="both"/>
      </w:pPr>
      <w:r>
        <w:rPr>
          <w:rFonts w:ascii="Times New Roman"/>
          <w:b w:val="false"/>
          <w:i w:val="false"/>
          <w:color w:val="000000"/>
          <w:sz w:val="28"/>
        </w:rPr>
        <w:t>
      наличие 2 контаминированных единиц является основанием для расследования причин и повторной валидации;</w:t>
      </w:r>
    </w:p>
    <w:bookmarkEnd w:id="4319"/>
    <w:bookmarkStart w:name="z4440" w:id="4320"/>
    <w:p>
      <w:pPr>
        <w:spacing w:after="0"/>
        <w:ind w:left="0"/>
        <w:jc w:val="both"/>
      </w:pPr>
      <w:r>
        <w:rPr>
          <w:rFonts w:ascii="Times New Roman"/>
          <w:b w:val="false"/>
          <w:i w:val="false"/>
          <w:color w:val="000000"/>
          <w:sz w:val="28"/>
        </w:rPr>
        <w:t>
      в) в случае наполнения свыше 10 000 единиц:</w:t>
      </w:r>
    </w:p>
    <w:bookmarkEnd w:id="4320"/>
    <w:bookmarkStart w:name="z4441" w:id="4321"/>
    <w:p>
      <w:pPr>
        <w:spacing w:after="0"/>
        <w:ind w:left="0"/>
        <w:jc w:val="both"/>
      </w:pPr>
      <w:r>
        <w:rPr>
          <w:rFonts w:ascii="Times New Roman"/>
          <w:b w:val="false"/>
          <w:i w:val="false"/>
          <w:color w:val="000000"/>
          <w:sz w:val="28"/>
        </w:rPr>
        <w:t>
      наличие 1 контаминированной единицы является основанием для расследования причин;</w:t>
      </w:r>
    </w:p>
    <w:bookmarkEnd w:id="4321"/>
    <w:bookmarkStart w:name="z4442" w:id="4322"/>
    <w:p>
      <w:pPr>
        <w:spacing w:after="0"/>
        <w:ind w:left="0"/>
        <w:jc w:val="both"/>
      </w:pPr>
      <w:r>
        <w:rPr>
          <w:rFonts w:ascii="Times New Roman"/>
          <w:b w:val="false"/>
          <w:i w:val="false"/>
          <w:color w:val="000000"/>
          <w:sz w:val="28"/>
        </w:rPr>
        <w:t>
      наличие 2 контаминированных единиц является основанием для расследования причин и повторной валидации.</w:t>
      </w:r>
    </w:p>
    <w:bookmarkEnd w:id="4322"/>
    <w:bookmarkStart w:name="z4443" w:id="4323"/>
    <w:p>
      <w:pPr>
        <w:spacing w:after="0"/>
        <w:ind w:left="0"/>
        <w:jc w:val="both"/>
      </w:pPr>
      <w:r>
        <w:rPr>
          <w:rFonts w:ascii="Times New Roman"/>
          <w:b w:val="false"/>
          <w:i w:val="false"/>
          <w:color w:val="000000"/>
          <w:sz w:val="28"/>
        </w:rPr>
        <w:t>
      70. При любом количестве первичных упаковок с питательной средой периодические случаи обнаружения микробной контаминации могут указывать на наличие небольших уровней контаминантов, расследуется. При обнаружении значительной микробной контаминации следует рассмотреть возможное влияние на стерильность серий, выпущенных после проведения последних успешных испытаний наполнением питательными средами.</w:t>
      </w:r>
    </w:p>
    <w:bookmarkEnd w:id="4323"/>
    <w:bookmarkStart w:name="z4444" w:id="4324"/>
    <w:p>
      <w:pPr>
        <w:spacing w:after="0"/>
        <w:ind w:left="0"/>
        <w:jc w:val="both"/>
      </w:pPr>
      <w:r>
        <w:rPr>
          <w:rFonts w:ascii="Times New Roman"/>
          <w:b w:val="false"/>
          <w:i w:val="false"/>
          <w:color w:val="000000"/>
          <w:sz w:val="28"/>
        </w:rPr>
        <w:t>
      71. Необходимо обеспечить условия, при которых любая валидация не создает риска для технологических процессов.</w:t>
      </w:r>
    </w:p>
    <w:bookmarkEnd w:id="4324"/>
    <w:bookmarkStart w:name="z4445" w:id="4325"/>
    <w:p>
      <w:pPr>
        <w:spacing w:after="0"/>
        <w:ind w:left="0"/>
        <w:jc w:val="both"/>
      </w:pPr>
      <w:r>
        <w:rPr>
          <w:rFonts w:ascii="Times New Roman"/>
          <w:b w:val="false"/>
          <w:i w:val="false"/>
          <w:color w:val="000000"/>
          <w:sz w:val="28"/>
        </w:rPr>
        <w:t>
      72. Источники водоснабжения, оборудование для подготовки воды и приготовленная вода подлежат регулярному мониторингу на наличие химических и биологических контаминантов и, при необходимости, на наличие эндотоксинов. Результаты мониторинга и любых предпринятых действий следует оформлять документально.</w:t>
      </w:r>
    </w:p>
    <w:bookmarkEnd w:id="4325"/>
    <w:bookmarkStart w:name="z4446" w:id="4326"/>
    <w:p>
      <w:pPr>
        <w:spacing w:after="0"/>
        <w:ind w:left="0"/>
        <w:jc w:val="both"/>
      </w:pPr>
      <w:r>
        <w:rPr>
          <w:rFonts w:ascii="Times New Roman"/>
          <w:b w:val="false"/>
          <w:i w:val="false"/>
          <w:color w:val="000000"/>
          <w:sz w:val="28"/>
        </w:rPr>
        <w:t>
      73. В чистых помещениях (зонах), особенно в ходе процесса асептического производства, деятельность персонала минимальной, а его передвижение методическим и контролируемым во избежание избыточного выделения частиц и микроорганизмов, обусловленного повышенной двигательной активностью. Температура и влажность производственной среды не очень высокие, чтобы не создавать дискомфорта с учетом свойств используемой одежды.</w:t>
      </w:r>
    </w:p>
    <w:bookmarkEnd w:id="4326"/>
    <w:bookmarkStart w:name="z4447" w:id="4327"/>
    <w:p>
      <w:pPr>
        <w:spacing w:after="0"/>
        <w:ind w:left="0"/>
        <w:jc w:val="both"/>
      </w:pPr>
      <w:r>
        <w:rPr>
          <w:rFonts w:ascii="Times New Roman"/>
          <w:b w:val="false"/>
          <w:i w:val="false"/>
          <w:color w:val="000000"/>
          <w:sz w:val="28"/>
        </w:rPr>
        <w:t>
      74. Микробная контаминация исходного сырья и материалов минимальная. Спецификации на них включают в себя требования к микробиологической чистоте.</w:t>
      </w:r>
    </w:p>
    <w:bookmarkEnd w:id="4327"/>
    <w:bookmarkStart w:name="z4448" w:id="4328"/>
    <w:p>
      <w:pPr>
        <w:spacing w:after="0"/>
        <w:ind w:left="0"/>
        <w:jc w:val="both"/>
      </w:pPr>
      <w:r>
        <w:rPr>
          <w:rFonts w:ascii="Times New Roman"/>
          <w:b w:val="false"/>
          <w:i w:val="false"/>
          <w:color w:val="000000"/>
          <w:sz w:val="28"/>
        </w:rPr>
        <w:t>
      75. В чистых помещениях (зонах) необходимо сводить к минимуму наличие контейнеров и материалов, от которых возможно отделение волокон.</w:t>
      </w:r>
    </w:p>
    <w:bookmarkEnd w:id="4328"/>
    <w:bookmarkStart w:name="z4449" w:id="4329"/>
    <w:p>
      <w:pPr>
        <w:spacing w:after="0"/>
        <w:ind w:left="0"/>
        <w:jc w:val="both"/>
      </w:pPr>
      <w:r>
        <w:rPr>
          <w:rFonts w:ascii="Times New Roman"/>
          <w:b w:val="false"/>
          <w:i w:val="false"/>
          <w:color w:val="000000"/>
          <w:sz w:val="28"/>
        </w:rPr>
        <w:t>
      76. Следует принимать меры по предотвращению контаминации готовой продукции частицами.</w:t>
      </w:r>
    </w:p>
    <w:bookmarkEnd w:id="4329"/>
    <w:bookmarkStart w:name="z4450" w:id="4330"/>
    <w:p>
      <w:pPr>
        <w:spacing w:after="0"/>
        <w:ind w:left="0"/>
        <w:jc w:val="both"/>
      </w:pPr>
      <w:r>
        <w:rPr>
          <w:rFonts w:ascii="Times New Roman"/>
          <w:b w:val="false"/>
          <w:i w:val="false"/>
          <w:color w:val="000000"/>
          <w:sz w:val="28"/>
        </w:rPr>
        <w:t>
      77. По окончании процесса очистки компонентов, контейнеров и оборудования с ними следует обходиться так, чтобы не происходила их повторная контаминация.</w:t>
      </w:r>
    </w:p>
    <w:bookmarkEnd w:id="4330"/>
    <w:bookmarkStart w:name="z4451" w:id="4331"/>
    <w:p>
      <w:pPr>
        <w:spacing w:after="0"/>
        <w:ind w:left="0"/>
        <w:jc w:val="both"/>
      </w:pPr>
      <w:r>
        <w:rPr>
          <w:rFonts w:ascii="Times New Roman"/>
          <w:b w:val="false"/>
          <w:i w:val="false"/>
          <w:color w:val="000000"/>
          <w:sz w:val="28"/>
        </w:rPr>
        <w:t>
      78. Интервалы времени между мойкой, сушкой и стерилизацией компонентов, контейнеров и оборудования, а также между их стерилизацией и последующим использованием минимальные и имеют ограничение по времени, соответствующее условиям хранения.</w:t>
      </w:r>
    </w:p>
    <w:bookmarkEnd w:id="4331"/>
    <w:bookmarkStart w:name="z4452" w:id="4332"/>
    <w:p>
      <w:pPr>
        <w:spacing w:after="0"/>
        <w:ind w:left="0"/>
        <w:jc w:val="both"/>
      </w:pPr>
      <w:r>
        <w:rPr>
          <w:rFonts w:ascii="Times New Roman"/>
          <w:b w:val="false"/>
          <w:i w:val="false"/>
          <w:color w:val="000000"/>
          <w:sz w:val="28"/>
        </w:rPr>
        <w:t>
      79. Время между началом приготовления раствора и его стерилизацией или стерилизующей фильтрацией минимальные. Для каждого вида продукции устанавливают максимально допустимое время с учетом его состава и установленного порядка хранения.</w:t>
      </w:r>
    </w:p>
    <w:bookmarkEnd w:id="4332"/>
    <w:bookmarkStart w:name="z4453" w:id="4333"/>
    <w:p>
      <w:pPr>
        <w:spacing w:after="0"/>
        <w:ind w:left="0"/>
        <w:jc w:val="both"/>
      </w:pPr>
      <w:r>
        <w:rPr>
          <w:rFonts w:ascii="Times New Roman"/>
          <w:b w:val="false"/>
          <w:i w:val="false"/>
          <w:color w:val="000000"/>
          <w:sz w:val="28"/>
        </w:rPr>
        <w:t>
      80. Перед стерилизацией необходимо контролировать уровень микробной контаминации. Установлены рабочие границы контаминации непосредственно перед стерилизацией, которые соотносятся с эффективностью используемого метода. Уровень микробной контаминации следует количественно определять для каждой серии продукции, наполненной в асептических условиях, и для каждой серии продукции, подвергаемой финишной стерилизации. Если для лекарственных препаратов, подвергаемых финишной стерилизации, установлены более жесткие параметры стерилизации, уровень микробной контаминации можно контролировать только через соответствующие интервалы времени согласно графику. В случае систем выпуска по параметрам определение микробной контаминации следует проводить для каждой серии и рассматривать как испытание в процессе производства. При необходимости следует контролировать уровень эндотоксинов. Все растворы, особенно инфузионные жидкости большого объема, необходимо подвергать стерилизующей фильтрации по возможности непосредственно перед наполнением.</w:t>
      </w:r>
    </w:p>
    <w:bookmarkEnd w:id="4333"/>
    <w:bookmarkStart w:name="z4454" w:id="4334"/>
    <w:p>
      <w:pPr>
        <w:spacing w:after="0"/>
        <w:ind w:left="0"/>
        <w:jc w:val="both"/>
      </w:pPr>
      <w:r>
        <w:rPr>
          <w:rFonts w:ascii="Times New Roman"/>
          <w:b w:val="false"/>
          <w:i w:val="false"/>
          <w:color w:val="000000"/>
          <w:sz w:val="28"/>
        </w:rPr>
        <w:t>
      81. Компоненты, контейнеры, оборудование и любые другие предметы, необходимые в чистом помещении (зоне), при работе в асептических условиях, простерилизованы и переданы туда через вмонтированный в стену проходной стерилизатор с двусторонним доступом или иным способом, предотвращающим контаминацию. Негорючие газы проходят через фильтры, задерживающие микроорганизмы.</w:t>
      </w:r>
    </w:p>
    <w:bookmarkEnd w:id="4334"/>
    <w:bookmarkStart w:name="z4455" w:id="4335"/>
    <w:p>
      <w:pPr>
        <w:spacing w:after="0"/>
        <w:ind w:left="0"/>
        <w:jc w:val="both"/>
      </w:pPr>
      <w:r>
        <w:rPr>
          <w:rFonts w:ascii="Times New Roman"/>
          <w:b w:val="false"/>
          <w:i w:val="false"/>
          <w:color w:val="000000"/>
          <w:sz w:val="28"/>
        </w:rPr>
        <w:t>
      82. Эффективность любого нового процесса подтверждена при валидации, которую необходимо регулярно повторять в соответствии с планом, учитывающим график эксплуатации, а также при любом значительном изменении в процессе или оборудовании.</w:t>
      </w:r>
    </w:p>
    <w:bookmarkEnd w:id="4335"/>
    <w:bookmarkStart w:name="z4456" w:id="4336"/>
    <w:p>
      <w:pPr>
        <w:spacing w:after="0"/>
        <w:ind w:left="0"/>
        <w:jc w:val="both"/>
      </w:pPr>
      <w:r>
        <w:rPr>
          <w:rFonts w:ascii="Times New Roman"/>
          <w:b w:val="false"/>
          <w:i w:val="false"/>
          <w:color w:val="000000"/>
          <w:sz w:val="28"/>
        </w:rPr>
        <w:t>
      Стерилизация</w:t>
      </w:r>
    </w:p>
    <w:bookmarkEnd w:id="4336"/>
    <w:bookmarkStart w:name="z4457" w:id="4337"/>
    <w:p>
      <w:pPr>
        <w:spacing w:after="0"/>
        <w:ind w:left="0"/>
        <w:jc w:val="both"/>
      </w:pPr>
      <w:r>
        <w:rPr>
          <w:rFonts w:ascii="Times New Roman"/>
          <w:b w:val="false"/>
          <w:i w:val="false"/>
          <w:color w:val="000000"/>
          <w:sz w:val="28"/>
        </w:rPr>
        <w:t>
      83. Все процессы стерилизации проходят валидацию. Особое внимание необходимо, если применяемый метод стерилизации не описан в действующем издании соответствующей фармакопеи или используется для продукта, не являющегося простым водным или масляным раствором. Предпочтительным является метод термической стерилизации. В любом случае метод стерилизации соответствовует лицензии на производство и регистрационному досье.</w:t>
      </w:r>
    </w:p>
    <w:bookmarkEnd w:id="4337"/>
    <w:bookmarkStart w:name="z4458" w:id="4338"/>
    <w:p>
      <w:pPr>
        <w:spacing w:after="0"/>
        <w:ind w:left="0"/>
        <w:jc w:val="both"/>
      </w:pPr>
      <w:r>
        <w:rPr>
          <w:rFonts w:ascii="Times New Roman"/>
          <w:b w:val="false"/>
          <w:i w:val="false"/>
          <w:color w:val="000000"/>
          <w:sz w:val="28"/>
        </w:rPr>
        <w:t>
      84. Перед выбором любого процесса стерилизации необходимо продемонстрировать с 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графиком промежутки, но не реже 1 раза в год, а также всегда в случае внесения существенных изменений в оборудование. Необходимо хранить записи результатами.</w:t>
      </w:r>
    </w:p>
    <w:bookmarkEnd w:id="4338"/>
    <w:bookmarkStart w:name="z4459" w:id="4339"/>
    <w:p>
      <w:pPr>
        <w:spacing w:after="0"/>
        <w:ind w:left="0"/>
        <w:jc w:val="both"/>
      </w:pPr>
      <w:r>
        <w:rPr>
          <w:rFonts w:ascii="Times New Roman"/>
          <w:b w:val="false"/>
          <w:i w:val="false"/>
          <w:color w:val="000000"/>
          <w:sz w:val="28"/>
        </w:rPr>
        <w:t>
      85. Для эффективной стерилизации весь материал в целом подвергнут необходимой обработке, а процесс организован таким образом, чтобы гарантировать, что должная эффективность будет достигнута.</w:t>
      </w:r>
    </w:p>
    <w:bookmarkEnd w:id="4339"/>
    <w:bookmarkStart w:name="z4460" w:id="4340"/>
    <w:p>
      <w:pPr>
        <w:spacing w:after="0"/>
        <w:ind w:left="0"/>
        <w:jc w:val="both"/>
      </w:pPr>
      <w:r>
        <w:rPr>
          <w:rFonts w:ascii="Times New Roman"/>
          <w:b w:val="false"/>
          <w:i w:val="false"/>
          <w:color w:val="000000"/>
          <w:sz w:val="28"/>
        </w:rPr>
        <w:t>
      86. Для всех процессов стерилизации разработаны и проходят валидацию способы загрузки.</w:t>
      </w:r>
    </w:p>
    <w:bookmarkEnd w:id="4340"/>
    <w:bookmarkStart w:name="z4461" w:id="4341"/>
    <w:p>
      <w:pPr>
        <w:spacing w:after="0"/>
        <w:ind w:left="0"/>
        <w:jc w:val="both"/>
      </w:pPr>
      <w:r>
        <w:rPr>
          <w:rFonts w:ascii="Times New Roman"/>
          <w:b w:val="false"/>
          <w:i w:val="false"/>
          <w:color w:val="000000"/>
          <w:sz w:val="28"/>
        </w:rPr>
        <w:t>
      87. Применение биологических индикаторов рассматривают только как дополнительный метод контроля стерилизации. Биологические индикаторы необходимо хранить и использовать в соответствии с инструкциями производителя, а их качество контролировать методами позитивного контроля. В случае использования биологических индикаторов необходимо принять строгие меры, предотвращающие микробную контаминацию от самих индикаторов.</w:t>
      </w:r>
    </w:p>
    <w:bookmarkEnd w:id="4341"/>
    <w:bookmarkStart w:name="z4462" w:id="4342"/>
    <w:p>
      <w:pPr>
        <w:spacing w:after="0"/>
        <w:ind w:left="0"/>
        <w:jc w:val="both"/>
      </w:pPr>
      <w:r>
        <w:rPr>
          <w:rFonts w:ascii="Times New Roman"/>
          <w:b w:val="false"/>
          <w:i w:val="false"/>
          <w:color w:val="000000"/>
          <w:sz w:val="28"/>
        </w:rPr>
        <w:t>
      88. Следует четко определить меры, обеспечивающие разделение продукции, прошедшей и не прошедшей стерилизацию. На каждой корзине, лотке или другой емкости для продукции или компонентов четкая этикетка с наименованием материала, номером серии и указанием, прошел этот материал стерилизацию или нет. При необходимости могут быть использованы такие индикаторы, как автоклавная лента, для указания того, прошла ли серия (или часть серии) процесс стерилизации, однако они не дают достоверного подтверждения того, серия действительно стерильна.</w:t>
      </w:r>
    </w:p>
    <w:bookmarkEnd w:id="4342"/>
    <w:bookmarkStart w:name="z4463" w:id="4343"/>
    <w:p>
      <w:pPr>
        <w:spacing w:after="0"/>
        <w:ind w:left="0"/>
        <w:jc w:val="both"/>
      </w:pPr>
      <w:r>
        <w:rPr>
          <w:rFonts w:ascii="Times New Roman"/>
          <w:b w:val="false"/>
          <w:i w:val="false"/>
          <w:color w:val="000000"/>
          <w:sz w:val="28"/>
        </w:rPr>
        <w:t>
      89. Для каждого цикла стерилизации необходимо составлять записи. Они утверждены, что является частью процедуры выдачи разрешения на выпуск серии.</w:t>
      </w:r>
    </w:p>
    <w:bookmarkEnd w:id="4343"/>
    <w:bookmarkStart w:name="z4464" w:id="4344"/>
    <w:p>
      <w:pPr>
        <w:spacing w:after="0"/>
        <w:ind w:left="0"/>
        <w:jc w:val="both"/>
      </w:pPr>
      <w:r>
        <w:rPr>
          <w:rFonts w:ascii="Times New Roman"/>
          <w:b w:val="false"/>
          <w:i w:val="false"/>
          <w:color w:val="000000"/>
          <w:sz w:val="28"/>
        </w:rPr>
        <w:t>
      Термическая стерилизация</w:t>
      </w:r>
    </w:p>
    <w:bookmarkEnd w:id="4344"/>
    <w:bookmarkStart w:name="z4465" w:id="4345"/>
    <w:p>
      <w:pPr>
        <w:spacing w:after="0"/>
        <w:ind w:left="0"/>
        <w:jc w:val="both"/>
      </w:pPr>
      <w:r>
        <w:rPr>
          <w:rFonts w:ascii="Times New Roman"/>
          <w:b w:val="false"/>
          <w:i w:val="false"/>
          <w:color w:val="000000"/>
          <w:sz w:val="28"/>
        </w:rPr>
        <w:t>
      90. Каждый цикл термической стерилизации записан виде диаграммы в координатах времени и температуры в достаточно большом масштабе или зарегистрирован с помощью другого соответствующего оборудования, имеющего необходимую правильность и точность. Место расположения температурных датчиков, используемых для контроля и (или) записи, определено во время валидации и в случае необходимости также проверено с помощью другого независимого температурного датчика, расположенного в том же месте.</w:t>
      </w:r>
    </w:p>
    <w:bookmarkEnd w:id="4345"/>
    <w:bookmarkStart w:name="z4466" w:id="4346"/>
    <w:p>
      <w:pPr>
        <w:spacing w:after="0"/>
        <w:ind w:left="0"/>
        <w:jc w:val="both"/>
      </w:pPr>
      <w:r>
        <w:rPr>
          <w:rFonts w:ascii="Times New Roman"/>
          <w:b w:val="false"/>
          <w:i w:val="false"/>
          <w:color w:val="000000"/>
          <w:sz w:val="28"/>
        </w:rPr>
        <w:t>
      91. Допускается использовать химические и биологические индикаторы, но они не заменяют проведение физических измерений.</w:t>
      </w:r>
    </w:p>
    <w:bookmarkEnd w:id="4346"/>
    <w:bookmarkStart w:name="z4467" w:id="4347"/>
    <w:p>
      <w:pPr>
        <w:spacing w:after="0"/>
        <w:ind w:left="0"/>
        <w:jc w:val="both"/>
      </w:pPr>
      <w:r>
        <w:rPr>
          <w:rFonts w:ascii="Times New Roman"/>
          <w:b w:val="false"/>
          <w:i w:val="false"/>
          <w:color w:val="000000"/>
          <w:sz w:val="28"/>
        </w:rPr>
        <w:t>
      92. Предусмотрено достаточное время, чтобы весь объем загрузки достиг необходимой температуры до того, как будет начат отсчет времени стерилизации. Этот период определен для каждого типа стерилизуемой загрузки.</w:t>
      </w:r>
    </w:p>
    <w:bookmarkEnd w:id="4347"/>
    <w:bookmarkStart w:name="z4468" w:id="4348"/>
    <w:p>
      <w:pPr>
        <w:spacing w:after="0"/>
        <w:ind w:left="0"/>
        <w:jc w:val="both"/>
      </w:pPr>
      <w:r>
        <w:rPr>
          <w:rFonts w:ascii="Times New Roman"/>
          <w:b w:val="false"/>
          <w:i w:val="false"/>
          <w:color w:val="000000"/>
          <w:sz w:val="28"/>
        </w:rPr>
        <w:t>
      93. После завершения высокотемпературной фазы цикла термической стерилизации приняты меры предосторожности, предотвращающие контаминацию простерилизованной загрузки во время охлаждения. Любая охлаждающая жидкость или газ, контактирующие с продукцией, простерилизованы, кроме случаев, когда возможность использования негерметичных упаковок исключена и приведены соответствующие доказательства.</w:t>
      </w:r>
    </w:p>
    <w:bookmarkEnd w:id="4348"/>
    <w:bookmarkStart w:name="z4469" w:id="4349"/>
    <w:p>
      <w:pPr>
        <w:spacing w:after="0"/>
        <w:ind w:left="0"/>
        <w:jc w:val="both"/>
      </w:pPr>
      <w:r>
        <w:rPr>
          <w:rFonts w:ascii="Times New Roman"/>
          <w:b w:val="false"/>
          <w:i w:val="false"/>
          <w:color w:val="000000"/>
          <w:sz w:val="28"/>
        </w:rPr>
        <w:t>
      Стерилизация паром</w:t>
      </w:r>
    </w:p>
    <w:bookmarkEnd w:id="4349"/>
    <w:bookmarkStart w:name="z4470" w:id="4350"/>
    <w:p>
      <w:pPr>
        <w:spacing w:after="0"/>
        <w:ind w:left="0"/>
        <w:jc w:val="both"/>
      </w:pPr>
      <w:r>
        <w:rPr>
          <w:rFonts w:ascii="Times New Roman"/>
          <w:b w:val="false"/>
          <w:i w:val="false"/>
          <w:color w:val="000000"/>
          <w:sz w:val="28"/>
        </w:rPr>
        <w:t>
      94. При стерилизации паром следует контролировать температуру и давление. Как правило, средства управления независимы от средств контроля и записывающих устройств. Если для этой цели используются автоматические системы управления и контроля, они проходят валидацию, чтобы гарантировать их соответствие требованиям к критическому процессу. Нарушения в ходе процесса регистрируется системой и находиться под надзором оператора.</w:t>
      </w:r>
    </w:p>
    <w:bookmarkEnd w:id="4350"/>
    <w:bookmarkStart w:name="z4471" w:id="4351"/>
    <w:p>
      <w:pPr>
        <w:spacing w:after="0"/>
        <w:ind w:left="0"/>
        <w:jc w:val="both"/>
      </w:pPr>
      <w:r>
        <w:rPr>
          <w:rFonts w:ascii="Times New Roman"/>
          <w:b w:val="false"/>
          <w:i w:val="false"/>
          <w:color w:val="000000"/>
          <w:sz w:val="28"/>
        </w:rPr>
        <w:t>
      В ходе процесса стерилизации показания независимого датчика температуры следует постоянно сверять с данными диаграммы записывающего устройства. Для стерилизаторов, имеющих сток в дне камеры, может возникнуть необходимость регистрации температуры в этой точке в течение всего цикла стерилизации. Если в цикл стерилизации входит этап вакуумирования, то проверки камеры на герметичность следует проводить с установленной частотой.</w:t>
      </w:r>
    </w:p>
    <w:bookmarkEnd w:id="4351"/>
    <w:bookmarkStart w:name="z4472" w:id="4352"/>
    <w:p>
      <w:pPr>
        <w:spacing w:after="0"/>
        <w:ind w:left="0"/>
        <w:jc w:val="both"/>
      </w:pPr>
      <w:r>
        <w:rPr>
          <w:rFonts w:ascii="Times New Roman"/>
          <w:b w:val="false"/>
          <w:i w:val="false"/>
          <w:color w:val="000000"/>
          <w:sz w:val="28"/>
        </w:rPr>
        <w:t>
      95. Стерилизуемые предметы, не находящиеся в герметичных упаковках, завернуты в материал, пропускающий воздух и пар, но предотвращающий повторную контаминацию этих предметов после стерилизации. Необходимо обеспечить контакт всех частей загрузки со стерилизующим агентом при заданных температуре и времени.</w:t>
      </w:r>
    </w:p>
    <w:bookmarkEnd w:id="4352"/>
    <w:bookmarkStart w:name="z4473" w:id="4353"/>
    <w:p>
      <w:pPr>
        <w:spacing w:after="0"/>
        <w:ind w:left="0"/>
        <w:jc w:val="both"/>
      </w:pPr>
      <w:r>
        <w:rPr>
          <w:rFonts w:ascii="Times New Roman"/>
          <w:b w:val="false"/>
          <w:i w:val="false"/>
          <w:color w:val="000000"/>
          <w:sz w:val="28"/>
        </w:rPr>
        <w:t>
      96. Необходимо обеспечить, чтобы для стерилизации применялся пар надлежащего качества, не содержащий такого количества примесей, которое могло бы вызывать контаминацию продукции или оборудования.</w:t>
      </w:r>
    </w:p>
    <w:bookmarkEnd w:id="4353"/>
    <w:bookmarkStart w:name="z4474" w:id="4354"/>
    <w:p>
      <w:pPr>
        <w:spacing w:after="0"/>
        <w:ind w:left="0"/>
        <w:jc w:val="both"/>
      </w:pPr>
      <w:r>
        <w:rPr>
          <w:rFonts w:ascii="Times New Roman"/>
          <w:b w:val="false"/>
          <w:i w:val="false"/>
          <w:color w:val="000000"/>
          <w:sz w:val="28"/>
        </w:rPr>
        <w:t>
      Сухожаровая стерилизация</w:t>
      </w:r>
    </w:p>
    <w:bookmarkEnd w:id="4354"/>
    <w:bookmarkStart w:name="z4475" w:id="4355"/>
    <w:p>
      <w:pPr>
        <w:spacing w:after="0"/>
        <w:ind w:left="0"/>
        <w:jc w:val="both"/>
      </w:pPr>
      <w:r>
        <w:rPr>
          <w:rFonts w:ascii="Times New Roman"/>
          <w:b w:val="false"/>
          <w:i w:val="false"/>
          <w:color w:val="000000"/>
          <w:sz w:val="28"/>
        </w:rPr>
        <w:t>
      97. При сухожаровой стерилизации предусмотрены циркуляция воздуха внутри камеры и поддержание избыточного давления для предотвращения попадания внутрь нее нестерильного воздуха. Любой поступающий внутрь воздух проходить через фильтры высокой эффективности (НЕРА-фильтр). Если стерилизация предусматривает устранение пирогенов, то как часть валидации проведены испытания с преднамеренным использованием эндотоксинов.</w:t>
      </w:r>
    </w:p>
    <w:bookmarkEnd w:id="4355"/>
    <w:bookmarkStart w:name="z4476" w:id="4356"/>
    <w:p>
      <w:pPr>
        <w:spacing w:after="0"/>
        <w:ind w:left="0"/>
        <w:jc w:val="both"/>
      </w:pPr>
      <w:r>
        <w:rPr>
          <w:rFonts w:ascii="Times New Roman"/>
          <w:b w:val="false"/>
          <w:i w:val="false"/>
          <w:color w:val="000000"/>
          <w:sz w:val="28"/>
        </w:rPr>
        <w:t>
      Радиационная стерилизация</w:t>
      </w:r>
    </w:p>
    <w:bookmarkEnd w:id="4356"/>
    <w:bookmarkStart w:name="z4477" w:id="4357"/>
    <w:p>
      <w:pPr>
        <w:spacing w:after="0"/>
        <w:ind w:left="0"/>
        <w:jc w:val="both"/>
      </w:pPr>
      <w:r>
        <w:rPr>
          <w:rFonts w:ascii="Times New Roman"/>
          <w:b w:val="false"/>
          <w:i w:val="false"/>
          <w:color w:val="000000"/>
          <w:sz w:val="28"/>
        </w:rPr>
        <w:t>
      98. Радиационную стерилизацию используют главным образом для стерилизации термочувствительных материалов и продукции. Многие лекарственные средства и некоторые упаковочные материалы чувствительны к ионизирующему излучению, следовательно, этот метод допустим только тогда, когда было экспериментально подтверждено отсутствие вредного влияния на продукцию. Как правило, облучение ультрафиолетовым излучением не является приемлемым методом стерилизации.</w:t>
      </w:r>
    </w:p>
    <w:bookmarkEnd w:id="4357"/>
    <w:bookmarkStart w:name="z4478" w:id="4358"/>
    <w:p>
      <w:pPr>
        <w:spacing w:after="0"/>
        <w:ind w:left="0"/>
        <w:jc w:val="both"/>
      </w:pPr>
      <w:r>
        <w:rPr>
          <w:rFonts w:ascii="Times New Roman"/>
          <w:b w:val="false"/>
          <w:i w:val="false"/>
          <w:color w:val="000000"/>
          <w:sz w:val="28"/>
        </w:rPr>
        <w:t>
      99. Во время процесса радиационной стерилизации проводится измерение поглощенной дозы ионизирующего излучения. Для этого следует использовать дозиметры, показания которых не зависят от используемой мощности дозы излучения, но которые обеспечивают количественную регистрацию дозы излучения, поглощенную самой продукцией. Дозиметры размещаются среди загрузки в достаточном количестве и на достаточно близком расстоянии друг от друга, чтобы гарантировать наличие дозиметров во всех местах, подвергаемых облучению. Пластмассовые дозиметры следует применять лишь в пределах срока действия их калибровки. Показания дозиметров необходимо снимать в течение короткого отрезка времени после облучения.</w:t>
      </w:r>
    </w:p>
    <w:bookmarkEnd w:id="4358"/>
    <w:bookmarkStart w:name="z4479" w:id="4359"/>
    <w:p>
      <w:pPr>
        <w:spacing w:after="0"/>
        <w:ind w:left="0"/>
        <w:jc w:val="both"/>
      </w:pPr>
      <w:r>
        <w:rPr>
          <w:rFonts w:ascii="Times New Roman"/>
          <w:b w:val="false"/>
          <w:i w:val="false"/>
          <w:color w:val="000000"/>
          <w:sz w:val="28"/>
        </w:rPr>
        <w:t>
      100. В качестве средства дополнительного контроля могут использоваться биологические индикаторы.</w:t>
      </w:r>
    </w:p>
    <w:bookmarkEnd w:id="4359"/>
    <w:bookmarkStart w:name="z4480" w:id="4360"/>
    <w:p>
      <w:pPr>
        <w:spacing w:after="0"/>
        <w:ind w:left="0"/>
        <w:jc w:val="both"/>
      </w:pPr>
      <w:r>
        <w:rPr>
          <w:rFonts w:ascii="Times New Roman"/>
          <w:b w:val="false"/>
          <w:i w:val="false"/>
          <w:color w:val="000000"/>
          <w:sz w:val="28"/>
        </w:rPr>
        <w:t>
      101. Процедуры валидации гарантируют, что влияние разной плотности укладки стерилизуемой продукции учтено.</w:t>
      </w:r>
    </w:p>
    <w:bookmarkEnd w:id="4360"/>
    <w:bookmarkStart w:name="z4481" w:id="4361"/>
    <w:p>
      <w:pPr>
        <w:spacing w:after="0"/>
        <w:ind w:left="0"/>
        <w:jc w:val="both"/>
      </w:pPr>
      <w:r>
        <w:rPr>
          <w:rFonts w:ascii="Times New Roman"/>
          <w:b w:val="false"/>
          <w:i w:val="false"/>
          <w:color w:val="000000"/>
          <w:sz w:val="28"/>
        </w:rPr>
        <w:t>
      102. Процедуры обращения с материалами предотвращают перепутывание между облученными и необлученными материалами. На каждую упаковку наносятся чувствительные к излучению цветовые индикаторы, чтобы различать упаковки, прошедшие и не прошедшие облучение.</w:t>
      </w:r>
    </w:p>
    <w:bookmarkEnd w:id="4361"/>
    <w:bookmarkStart w:name="z4482" w:id="4362"/>
    <w:p>
      <w:pPr>
        <w:spacing w:after="0"/>
        <w:ind w:left="0"/>
        <w:jc w:val="both"/>
      </w:pPr>
      <w:r>
        <w:rPr>
          <w:rFonts w:ascii="Times New Roman"/>
          <w:b w:val="false"/>
          <w:i w:val="false"/>
          <w:color w:val="000000"/>
          <w:sz w:val="28"/>
        </w:rPr>
        <w:t>
      103. Суммарная поглощенная доза излучения набранная в течение времени, отведенного на процесс стерилизации.</w:t>
      </w:r>
    </w:p>
    <w:bookmarkEnd w:id="4362"/>
    <w:bookmarkStart w:name="z4483" w:id="4363"/>
    <w:p>
      <w:pPr>
        <w:spacing w:after="0"/>
        <w:ind w:left="0"/>
        <w:jc w:val="both"/>
      </w:pPr>
      <w:r>
        <w:rPr>
          <w:rFonts w:ascii="Times New Roman"/>
          <w:b w:val="false"/>
          <w:i w:val="false"/>
          <w:color w:val="000000"/>
          <w:sz w:val="28"/>
        </w:rPr>
        <w:t>
      Стерилизация оксидом этилена</w:t>
      </w:r>
    </w:p>
    <w:bookmarkEnd w:id="4363"/>
    <w:bookmarkStart w:name="z4484" w:id="4364"/>
    <w:p>
      <w:pPr>
        <w:spacing w:after="0"/>
        <w:ind w:left="0"/>
        <w:jc w:val="both"/>
      </w:pPr>
      <w:r>
        <w:rPr>
          <w:rFonts w:ascii="Times New Roman"/>
          <w:b w:val="false"/>
          <w:i w:val="false"/>
          <w:color w:val="000000"/>
          <w:sz w:val="28"/>
        </w:rPr>
        <w:t>
      104. Метод стерилизации оксидом этилена может быть использован только тогда, когда невозможно использование другого способа. Вовремя валидации процесса, отсутствует повреждающее влияние на продукцию, а предусмотренные для дегазации условия и время таковы, что количество остаточного газа и продуктов реакции будет находиться в допустимых пределах, установленных для данного вида продукции или материала.</w:t>
      </w:r>
    </w:p>
    <w:bookmarkEnd w:id="4364"/>
    <w:bookmarkStart w:name="z4485" w:id="4365"/>
    <w:p>
      <w:pPr>
        <w:spacing w:after="0"/>
        <w:ind w:left="0"/>
        <w:jc w:val="both"/>
      </w:pPr>
      <w:r>
        <w:rPr>
          <w:rFonts w:ascii="Times New Roman"/>
          <w:b w:val="false"/>
          <w:i w:val="false"/>
          <w:color w:val="000000"/>
          <w:sz w:val="28"/>
        </w:rPr>
        <w:t>
      105. Существенное значение имеет непосредственный контакт между газом и микроорганизмами. Следует принять меры предосторожности от включения микроорганизмов в материал (например, в кристаллы или высушенный белок). Вид и количество упаковочных материалов могут существенно повлиять на процесс.</w:t>
      </w:r>
    </w:p>
    <w:bookmarkEnd w:id="4365"/>
    <w:bookmarkStart w:name="z4486" w:id="4366"/>
    <w:p>
      <w:pPr>
        <w:spacing w:after="0"/>
        <w:ind w:left="0"/>
        <w:jc w:val="both"/>
      </w:pPr>
      <w:r>
        <w:rPr>
          <w:rFonts w:ascii="Times New Roman"/>
          <w:b w:val="false"/>
          <w:i w:val="false"/>
          <w:color w:val="000000"/>
          <w:sz w:val="28"/>
        </w:rPr>
        <w:t>
      106. Перед обработкой газом обеспечивается соответствие влажности и температуры материалов требованиям процесса. Требуемое для этого время, по возможности, минимальное.</w:t>
      </w:r>
    </w:p>
    <w:bookmarkEnd w:id="4366"/>
    <w:bookmarkStart w:name="z4487" w:id="4367"/>
    <w:p>
      <w:pPr>
        <w:spacing w:after="0"/>
        <w:ind w:left="0"/>
        <w:jc w:val="both"/>
      </w:pPr>
      <w:r>
        <w:rPr>
          <w:rFonts w:ascii="Times New Roman"/>
          <w:b w:val="false"/>
          <w:i w:val="false"/>
          <w:color w:val="000000"/>
          <w:sz w:val="28"/>
        </w:rPr>
        <w:t>
      107. Каждый цикл стерилизации контролируется с помощью соответствующих биологических индикаторов, необходимое количество которых равномерно распределено по всей загрузке. Полученная при этом информация составляет часть записей, относящихся к серии (досье на серию) готовой продукции.</w:t>
      </w:r>
    </w:p>
    <w:bookmarkEnd w:id="4367"/>
    <w:bookmarkStart w:name="z4488" w:id="4368"/>
    <w:p>
      <w:pPr>
        <w:spacing w:after="0"/>
        <w:ind w:left="0"/>
        <w:jc w:val="both"/>
      </w:pPr>
      <w:r>
        <w:rPr>
          <w:rFonts w:ascii="Times New Roman"/>
          <w:b w:val="false"/>
          <w:i w:val="false"/>
          <w:color w:val="000000"/>
          <w:sz w:val="28"/>
        </w:rPr>
        <w:t>
      108. Для каждого цикла стерилизации оформляются записи с указанием времени полного завершения цикла, давления, температуры и влажности в камере во время процесса, а также концентрации и общего количества использованного газа. Давление и температуру следует регистрировать на протяжении всего цикла на диаграмме. Эти записи составляют часть записей, относящихся серии (досье на серию) готовой продукции.</w:t>
      </w:r>
    </w:p>
    <w:bookmarkEnd w:id="4368"/>
    <w:bookmarkStart w:name="z4489" w:id="4369"/>
    <w:p>
      <w:pPr>
        <w:spacing w:after="0"/>
        <w:ind w:left="0"/>
        <w:jc w:val="both"/>
      </w:pPr>
      <w:r>
        <w:rPr>
          <w:rFonts w:ascii="Times New Roman"/>
          <w:b w:val="false"/>
          <w:i w:val="false"/>
          <w:color w:val="000000"/>
          <w:sz w:val="28"/>
        </w:rPr>
        <w:t>
      109. Загрузку после стерилизации следует хранить под контролем в условиях вентиляции, чтобы обеспечить снижение содержания остаточного газа и продуктов реакции до установленного предела. Этот процесс проходит валидацию.</w:t>
      </w:r>
    </w:p>
    <w:bookmarkEnd w:id="4369"/>
    <w:bookmarkStart w:name="z4490" w:id="4370"/>
    <w:p>
      <w:pPr>
        <w:spacing w:after="0"/>
        <w:ind w:left="0"/>
        <w:jc w:val="both"/>
      </w:pPr>
      <w:r>
        <w:rPr>
          <w:rFonts w:ascii="Times New Roman"/>
          <w:b w:val="false"/>
          <w:i w:val="false"/>
          <w:color w:val="000000"/>
          <w:sz w:val="28"/>
        </w:rPr>
        <w:t>
      Фильтрация лекарственных средств, которые не могут быть простерилизованы в окончательной упаковке</w:t>
      </w:r>
    </w:p>
    <w:bookmarkEnd w:id="4370"/>
    <w:bookmarkStart w:name="z4491" w:id="4371"/>
    <w:p>
      <w:pPr>
        <w:spacing w:after="0"/>
        <w:ind w:left="0"/>
        <w:jc w:val="both"/>
      </w:pPr>
      <w:r>
        <w:rPr>
          <w:rFonts w:ascii="Times New Roman"/>
          <w:b w:val="false"/>
          <w:i w:val="false"/>
          <w:color w:val="000000"/>
          <w:sz w:val="28"/>
        </w:rPr>
        <w:t>
      110. Проведение стерилизующей фильтрации не является достаточным условием стерилизации, если возможно проведение стерилизации продукции в окончательной упаковке. Предпочтительным является метод стерилизации паром. Если продукция не может быть простерилизована в окончательной упаковке, то растворы или жидкости могут быть профильтрованы через стерильный фильтр с номинальным размером пор 0,22 мкм (или менее) или через фильтр с аналогичной способностью задерживать микроорганизмы в предварительно простерилизованные контейнеры (упаковки). Такие фильтры могут удалять большинство бактерий и плесневых грибов, но не все вирусы или микоплазмы. Поэтому рассматривается возможность дополнения процесса фильтрации термической обработкой определенной степени.</w:t>
      </w:r>
    </w:p>
    <w:bookmarkEnd w:id="4371"/>
    <w:bookmarkStart w:name="z4492" w:id="4372"/>
    <w:p>
      <w:pPr>
        <w:spacing w:after="0"/>
        <w:ind w:left="0"/>
        <w:jc w:val="both"/>
      </w:pPr>
      <w:r>
        <w:rPr>
          <w:rFonts w:ascii="Times New Roman"/>
          <w:b w:val="false"/>
          <w:i w:val="false"/>
          <w:color w:val="000000"/>
          <w:sz w:val="28"/>
        </w:rPr>
        <w:t>
      111. В связи с тем, что при стерилизующей фильтрации по сравнению с другими процессами стерилизации существует потенциальный дополнительный риск, непосредственно перед фасовкой рекомендуется повторная фильтрация через дополнительный стерилизующий фильтр, задерживающий микроорганизмы. Последнюю стерилизующую фильтрацию необходимо осуществлять как можно ближе к месту фасовки.</w:t>
      </w:r>
    </w:p>
    <w:bookmarkEnd w:id="4372"/>
    <w:bookmarkStart w:name="z4493" w:id="4373"/>
    <w:p>
      <w:pPr>
        <w:spacing w:after="0"/>
        <w:ind w:left="0"/>
        <w:jc w:val="both"/>
      </w:pPr>
      <w:r>
        <w:rPr>
          <w:rFonts w:ascii="Times New Roman"/>
          <w:b w:val="false"/>
          <w:i w:val="false"/>
          <w:color w:val="000000"/>
          <w:sz w:val="28"/>
        </w:rPr>
        <w:t>
      112. Следует использовать фильтры с минимальным отделением волокон.</w:t>
      </w:r>
    </w:p>
    <w:bookmarkEnd w:id="4373"/>
    <w:bookmarkStart w:name="z4494" w:id="4374"/>
    <w:p>
      <w:pPr>
        <w:spacing w:after="0"/>
        <w:ind w:left="0"/>
        <w:jc w:val="both"/>
      </w:pPr>
      <w:r>
        <w:rPr>
          <w:rFonts w:ascii="Times New Roman"/>
          <w:b w:val="false"/>
          <w:i w:val="false"/>
          <w:color w:val="000000"/>
          <w:sz w:val="28"/>
        </w:rPr>
        <w:t>
      113. Перед использованием стерилизующего фильтра и сразу после его использования следует проверять его целостность таким методом, как "точка пузырька", методом диффузионного потока или испытанием под давлением. При валидации следует определять время, необходимое для фильтрации раствора заданного объема, и перепад давлений на фильтре, любые существенные отклонения от этих параметров во время текущего производства следует регистрировать и исследовать. Результаты проверок включены в состав записей, относящихся к серии (досье на серию) продукции. Сразу после использования следует подтверждать целостность критических газовых воздушных фильтров. Целостность других фильтров необходимо подтверждать через соответствующие интервалы времени.</w:t>
      </w:r>
    </w:p>
    <w:bookmarkEnd w:id="4374"/>
    <w:bookmarkStart w:name="z4495" w:id="4375"/>
    <w:p>
      <w:pPr>
        <w:spacing w:after="0"/>
        <w:ind w:left="0"/>
        <w:jc w:val="both"/>
      </w:pPr>
      <w:r>
        <w:rPr>
          <w:rFonts w:ascii="Times New Roman"/>
          <w:b w:val="false"/>
          <w:i w:val="false"/>
          <w:color w:val="000000"/>
          <w:sz w:val="28"/>
        </w:rPr>
        <w:t>
      114. Не допускается использовать один и тот же фильтр в течение более одного рабочего дня, за исключением случаев, когда возможность более длительного его использования подтверждена валидацией.</w:t>
      </w:r>
    </w:p>
    <w:bookmarkEnd w:id="4375"/>
    <w:bookmarkStart w:name="z4496" w:id="4376"/>
    <w:p>
      <w:pPr>
        <w:spacing w:after="0"/>
        <w:ind w:left="0"/>
        <w:jc w:val="both"/>
      </w:pPr>
      <w:r>
        <w:rPr>
          <w:rFonts w:ascii="Times New Roman"/>
          <w:b w:val="false"/>
          <w:i w:val="false"/>
          <w:color w:val="000000"/>
          <w:sz w:val="28"/>
        </w:rPr>
        <w:t>
      115. Фильтр не оказывает влияние на продукцию, задерживая ее ингредиенты или выделяя в нее какие-либо вещества.</w:t>
      </w:r>
    </w:p>
    <w:bookmarkEnd w:id="4376"/>
    <w:bookmarkStart w:name="z4497" w:id="4377"/>
    <w:p>
      <w:pPr>
        <w:spacing w:after="0"/>
        <w:ind w:left="0"/>
        <w:jc w:val="both"/>
      </w:pPr>
      <w:r>
        <w:rPr>
          <w:rFonts w:ascii="Times New Roman"/>
          <w:b w:val="false"/>
          <w:i w:val="false"/>
          <w:color w:val="000000"/>
          <w:sz w:val="28"/>
        </w:rPr>
        <w:t>
      Окончание процесса производства стерильной продукции</w:t>
      </w:r>
    </w:p>
    <w:bookmarkEnd w:id="4377"/>
    <w:bookmarkStart w:name="z4498" w:id="4378"/>
    <w:p>
      <w:pPr>
        <w:spacing w:after="0"/>
        <w:ind w:left="0"/>
        <w:jc w:val="both"/>
      </w:pPr>
      <w:r>
        <w:rPr>
          <w:rFonts w:ascii="Times New Roman"/>
          <w:b w:val="false"/>
          <w:i w:val="false"/>
          <w:color w:val="000000"/>
          <w:sz w:val="28"/>
        </w:rPr>
        <w:t>
      116. Частично укупоренные флаконы после завершения лиофильного высушивания находяться в зоне класса A до их полного укупоривания пробкой.</w:t>
      </w:r>
    </w:p>
    <w:bookmarkEnd w:id="4378"/>
    <w:bookmarkStart w:name="z4499" w:id="4379"/>
    <w:p>
      <w:pPr>
        <w:spacing w:after="0"/>
        <w:ind w:left="0"/>
        <w:jc w:val="both"/>
      </w:pPr>
      <w:r>
        <w:rPr>
          <w:rFonts w:ascii="Times New Roman"/>
          <w:b w:val="false"/>
          <w:i w:val="false"/>
          <w:color w:val="000000"/>
          <w:sz w:val="28"/>
        </w:rPr>
        <w:t>
      117. Контейнеры (первичные упаковки) укупорены соответствующими способами, которые прошли валидацию. При использовании метода запайки, например, стеклянных или пластмассовых ампул, вся продукция подлежит 100%-ному контролю на целостность. В других случаях контроль целостности продукции проводится установленными методами.</w:t>
      </w:r>
    </w:p>
    <w:bookmarkEnd w:id="4379"/>
    <w:bookmarkStart w:name="z4500" w:id="4380"/>
    <w:p>
      <w:pPr>
        <w:spacing w:after="0"/>
        <w:ind w:left="0"/>
        <w:jc w:val="both"/>
      </w:pPr>
      <w:r>
        <w:rPr>
          <w:rFonts w:ascii="Times New Roman"/>
          <w:b w:val="false"/>
          <w:i w:val="false"/>
          <w:color w:val="000000"/>
          <w:sz w:val="28"/>
        </w:rPr>
        <w:t>
      118. Система укупоривания флаконов, наполненных в асептических условиях, не является полностью целостной до тех пор, пока на укупоренном пробкой флаконе не будет обжат (закатан) алюминиевый колпачок (крышка). В связи с этим обжим колпачка после укупоривания пробкой следует выполнять как можно раньше.</w:t>
      </w:r>
    </w:p>
    <w:bookmarkEnd w:id="4380"/>
    <w:bookmarkStart w:name="z4501" w:id="4381"/>
    <w:p>
      <w:pPr>
        <w:spacing w:after="0"/>
        <w:ind w:left="0"/>
        <w:jc w:val="both"/>
      </w:pPr>
      <w:r>
        <w:rPr>
          <w:rFonts w:ascii="Times New Roman"/>
          <w:b w:val="false"/>
          <w:i w:val="false"/>
          <w:color w:val="000000"/>
          <w:sz w:val="28"/>
        </w:rPr>
        <w:t>
      119. Поскольку при обжиме колпачков может выделяться большое количество механических частиц, оборудование для обжима следует размещать отдельно и снабжать его системой вытяжки воздуха.</w:t>
      </w:r>
    </w:p>
    <w:bookmarkEnd w:id="4381"/>
    <w:bookmarkStart w:name="z4502" w:id="4382"/>
    <w:p>
      <w:pPr>
        <w:spacing w:after="0"/>
        <w:ind w:left="0"/>
        <w:jc w:val="both"/>
      </w:pPr>
      <w:r>
        <w:rPr>
          <w:rFonts w:ascii="Times New Roman"/>
          <w:b w:val="false"/>
          <w:i w:val="false"/>
          <w:color w:val="000000"/>
          <w:sz w:val="28"/>
        </w:rPr>
        <w:t>
      120. Обжим колпачков на флаконах может проводиться как часть асептического процесса с использованием простерилизованных колпачков или в условиях чистого помещения вне асептической зоны. В последнем случае флаконы защищены зоной класса А, пока не покинут асептическую зону, и в дальнейшем укупоренные пробками флаконы защищены путем подачи чистого воздуха класса А, пока на них не будут обжаты колпачки.</w:t>
      </w:r>
    </w:p>
    <w:bookmarkEnd w:id="4382"/>
    <w:bookmarkStart w:name="z4503" w:id="4383"/>
    <w:p>
      <w:pPr>
        <w:spacing w:after="0"/>
        <w:ind w:left="0"/>
        <w:jc w:val="both"/>
      </w:pPr>
      <w:r>
        <w:rPr>
          <w:rFonts w:ascii="Times New Roman"/>
          <w:b w:val="false"/>
          <w:i w:val="false"/>
          <w:color w:val="000000"/>
          <w:sz w:val="28"/>
        </w:rPr>
        <w:t>
      121. Флаконы без пробки или со смещенной пробкой следует удалять до обжима колпачков. Если при обжиме колпачков необходимо вмешательство человека, следует использовать соответствующую технологию для исключения прямого контакта с флаконами и минимизации микробной контаминации.</w:t>
      </w:r>
    </w:p>
    <w:bookmarkEnd w:id="4383"/>
    <w:bookmarkStart w:name="z4504" w:id="4384"/>
    <w:p>
      <w:pPr>
        <w:spacing w:after="0"/>
        <w:ind w:left="0"/>
        <w:jc w:val="both"/>
      </w:pPr>
      <w:r>
        <w:rPr>
          <w:rFonts w:ascii="Times New Roman"/>
          <w:b w:val="false"/>
          <w:i w:val="false"/>
          <w:color w:val="000000"/>
          <w:sz w:val="28"/>
        </w:rPr>
        <w:t>
      122. Эффективным средством защиты могут быть барьеры или изоляторы, ограничивающие доступ в рабочую зону, обеспечивающие требуемые условия и сводящие к минимуму прямой доступ человека к операции обжима.</w:t>
      </w:r>
    </w:p>
    <w:bookmarkEnd w:id="4384"/>
    <w:bookmarkStart w:name="z4505" w:id="4385"/>
    <w:p>
      <w:pPr>
        <w:spacing w:after="0"/>
        <w:ind w:left="0"/>
        <w:jc w:val="both"/>
      </w:pPr>
      <w:r>
        <w:rPr>
          <w:rFonts w:ascii="Times New Roman"/>
          <w:b w:val="false"/>
          <w:i w:val="false"/>
          <w:color w:val="000000"/>
          <w:sz w:val="28"/>
        </w:rPr>
        <w:t>
      123. Первичные упаковки, герметизированные под вакуумом (вакуумные упаковки), проверяются на сохранение вакуума после заранее определенного промежутка времени.</w:t>
      </w:r>
    </w:p>
    <w:bookmarkEnd w:id="4385"/>
    <w:bookmarkStart w:name="z4506" w:id="4386"/>
    <w:p>
      <w:pPr>
        <w:spacing w:after="0"/>
        <w:ind w:left="0"/>
        <w:jc w:val="both"/>
      </w:pPr>
      <w:r>
        <w:rPr>
          <w:rFonts w:ascii="Times New Roman"/>
          <w:b w:val="false"/>
          <w:i w:val="false"/>
          <w:color w:val="000000"/>
          <w:sz w:val="28"/>
        </w:rPr>
        <w:t>
      124. Первичные упаковки с продукцией для парентерального введения необходимо проверять индивидуально (поштучно) на наличие посторонних включений или других несоответствий по качеству. Визуальный контроль следует проводить при установленных уровнях освещенности и фоне рабочего поля. Следует регулярно проверять зрение операторов, выполняющих визуальный контроль (если операторы используют очки, то проверка зрения проводится в очках). В ходе визуального контроля продукции рекомендуется достаточно часто организовывать перерывы в работе операторов. При использовании других методов контроля процесс контроля необходимо валидировать, состояние оборудования следует периодически проверять. Результаты визуального контроля оформлены документально.</w:t>
      </w:r>
    </w:p>
    <w:bookmarkEnd w:id="4386"/>
    <w:bookmarkStart w:name="z4507" w:id="4387"/>
    <w:p>
      <w:pPr>
        <w:spacing w:after="0"/>
        <w:ind w:left="0"/>
        <w:jc w:val="both"/>
      </w:pPr>
      <w:r>
        <w:rPr>
          <w:rFonts w:ascii="Times New Roman"/>
          <w:b w:val="false"/>
          <w:i w:val="false"/>
          <w:color w:val="000000"/>
          <w:sz w:val="28"/>
        </w:rPr>
        <w:t>
      Контроль качества</w:t>
      </w:r>
    </w:p>
    <w:bookmarkEnd w:id="4387"/>
    <w:bookmarkStart w:name="z4508" w:id="4388"/>
    <w:p>
      <w:pPr>
        <w:spacing w:after="0"/>
        <w:ind w:left="0"/>
        <w:jc w:val="both"/>
      </w:pPr>
      <w:r>
        <w:rPr>
          <w:rFonts w:ascii="Times New Roman"/>
          <w:b w:val="false"/>
          <w:i w:val="false"/>
          <w:color w:val="000000"/>
          <w:sz w:val="28"/>
        </w:rPr>
        <w:t>
      125. Испытание готовых продуктов на стерильность необходимо рассматривать только как завершающий этап в серии контрольных мероприятий, гарантирующих стерильность. Методика испытания на стерильность валидирована для каждого продукта.</w:t>
      </w:r>
    </w:p>
    <w:bookmarkEnd w:id="4388"/>
    <w:bookmarkStart w:name="z4509" w:id="4389"/>
    <w:p>
      <w:pPr>
        <w:spacing w:after="0"/>
        <w:ind w:left="0"/>
        <w:jc w:val="both"/>
      </w:pPr>
      <w:r>
        <w:rPr>
          <w:rFonts w:ascii="Times New Roman"/>
          <w:b w:val="false"/>
          <w:i w:val="false"/>
          <w:color w:val="000000"/>
          <w:sz w:val="28"/>
        </w:rPr>
        <w:t>
      126. В случаях если получено разрешение на выпуск стерильной продукции по параметрам, предусмотренным системой выпуска по параметрам согласно приложению № 17 Стандарта надлежащей производственной практики, следует уделить особое внимание валидации и контролю всего технологического процесса.</w:t>
      </w:r>
    </w:p>
    <w:bookmarkEnd w:id="4389"/>
    <w:bookmarkStart w:name="z4510" w:id="4390"/>
    <w:p>
      <w:pPr>
        <w:spacing w:after="0"/>
        <w:ind w:left="0"/>
        <w:jc w:val="both"/>
      </w:pPr>
      <w:r>
        <w:rPr>
          <w:rFonts w:ascii="Times New Roman"/>
          <w:b w:val="false"/>
          <w:i w:val="false"/>
          <w:color w:val="000000"/>
          <w:sz w:val="28"/>
        </w:rPr>
        <w:t>
      127. Выборка образцов продукции, которые были отобраны для проведения испытания на стерильность, репрезентативная для всей серии и обязательно включает образцы, отобранные из тех частей серии, для которых предполагается наибольший риск контаминации, например:</w:t>
      </w:r>
    </w:p>
    <w:bookmarkEnd w:id="4390"/>
    <w:bookmarkStart w:name="z4511" w:id="4391"/>
    <w:p>
      <w:pPr>
        <w:spacing w:after="0"/>
        <w:ind w:left="0"/>
        <w:jc w:val="both"/>
      </w:pPr>
      <w:r>
        <w:rPr>
          <w:rFonts w:ascii="Times New Roman"/>
          <w:b w:val="false"/>
          <w:i w:val="false"/>
          <w:color w:val="000000"/>
          <w:sz w:val="28"/>
        </w:rPr>
        <w:t>
      a) для продуктов, наполненных в асептических условиях, образцы включают контейнеры (первичные упаковки), в которые происходило наполнение в начале и в конце производства серии, а также после любого значительного вмешательства;</w:t>
      </w:r>
    </w:p>
    <w:bookmarkEnd w:id="4391"/>
    <w:bookmarkStart w:name="z4512" w:id="4392"/>
    <w:p>
      <w:pPr>
        <w:spacing w:after="0"/>
        <w:ind w:left="0"/>
        <w:jc w:val="both"/>
      </w:pPr>
      <w:r>
        <w:rPr>
          <w:rFonts w:ascii="Times New Roman"/>
          <w:b w:val="false"/>
          <w:i w:val="false"/>
          <w:color w:val="000000"/>
          <w:sz w:val="28"/>
        </w:rPr>
        <w:t>
      b) для продуктов, прошедших термическую стерилизацию в окончательной упаковке, уделено внимание отбору проб из потенциально самых холодных частей загрузки.</w:t>
      </w:r>
    </w:p>
    <w:bookmarkEnd w:id="4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4514" w:id="4393"/>
    <w:p>
      <w:pPr>
        <w:spacing w:after="0"/>
        <w:ind w:left="0"/>
        <w:jc w:val="left"/>
      </w:pPr>
      <w:r>
        <w:rPr>
          <w:rFonts w:ascii="Times New Roman"/>
          <w:b/>
          <w:i w:val="false"/>
          <w:color w:val="000000"/>
        </w:rPr>
        <w:t xml:space="preserve"> Требования производству биологических (в том числе иммунобиологических) активных фармацевтических субстанций и лекарственных препаратов для медицинского применения</w:t>
      </w:r>
    </w:p>
    <w:bookmarkEnd w:id="4393"/>
    <w:bookmarkStart w:name="z4515" w:id="4394"/>
    <w:p>
      <w:pPr>
        <w:spacing w:after="0"/>
        <w:ind w:left="0"/>
        <w:jc w:val="both"/>
      </w:pPr>
      <w:r>
        <w:rPr>
          <w:rFonts w:ascii="Times New Roman"/>
          <w:b w:val="false"/>
          <w:i w:val="false"/>
          <w:color w:val="000000"/>
          <w:sz w:val="28"/>
        </w:rPr>
        <w:t>
      Область применения</w:t>
      </w:r>
    </w:p>
    <w:bookmarkEnd w:id="4394"/>
    <w:bookmarkStart w:name="z4516" w:id="4395"/>
    <w:p>
      <w:pPr>
        <w:spacing w:after="0"/>
        <w:ind w:left="0"/>
        <w:jc w:val="both"/>
      </w:pPr>
      <w:r>
        <w:rPr>
          <w:rFonts w:ascii="Times New Roman"/>
          <w:b w:val="false"/>
          <w:i w:val="false"/>
          <w:color w:val="000000"/>
          <w:sz w:val="28"/>
        </w:rPr>
        <w:t>
      Технология производства биологических (в том числе иммунобиологических) активных фармацевтических субстанций и лекарственных препаратов для медицинского применения (далее - биологические активные фармацевтические субстанции и лекарственные препараты) является критическим фактором, определяющим соответствующий регуляторный контроль. Поэтому активные фармацевтические субстанции и лекарственные препараты могут быть определены как биологические в значительной мере исходя из технологии их производства. Настоящее приложение служит руководством для всего спектра биологических активных фармацевтических субстанций и биологических лекарственных препаратов.</w:t>
      </w:r>
    </w:p>
    <w:bookmarkEnd w:id="4395"/>
    <w:bookmarkStart w:name="z4517" w:id="4396"/>
    <w:p>
      <w:pPr>
        <w:spacing w:after="0"/>
        <w:ind w:left="0"/>
        <w:jc w:val="both"/>
      </w:pPr>
      <w:r>
        <w:rPr>
          <w:rFonts w:ascii="Times New Roman"/>
          <w:b w:val="false"/>
          <w:i w:val="false"/>
          <w:color w:val="000000"/>
          <w:sz w:val="28"/>
        </w:rPr>
        <w:t>
      Настоящее приложение разделено на две основные части:</w:t>
      </w:r>
    </w:p>
    <w:bookmarkEnd w:id="4396"/>
    <w:bookmarkStart w:name="z4518" w:id="4397"/>
    <w:p>
      <w:pPr>
        <w:spacing w:after="0"/>
        <w:ind w:left="0"/>
        <w:jc w:val="both"/>
      </w:pPr>
      <w:r>
        <w:rPr>
          <w:rFonts w:ascii="Times New Roman"/>
          <w:b w:val="false"/>
          <w:i w:val="false"/>
          <w:color w:val="000000"/>
          <w:sz w:val="28"/>
        </w:rPr>
        <w:t>
      а) часть A содержит дополнительные правила производства биологических активных фармацевтических субстанций и лекарственных препаратов, начиная с контроля посевных культур и банков клеток и заканчивая заключительными операциями и проведением испытаний;</w:t>
      </w:r>
    </w:p>
    <w:bookmarkEnd w:id="4397"/>
    <w:bookmarkStart w:name="z4519" w:id="4398"/>
    <w:p>
      <w:pPr>
        <w:spacing w:after="0"/>
        <w:ind w:left="0"/>
        <w:jc w:val="both"/>
      </w:pPr>
      <w:r>
        <w:rPr>
          <w:rFonts w:ascii="Times New Roman"/>
          <w:b w:val="false"/>
          <w:i w:val="false"/>
          <w:color w:val="000000"/>
          <w:sz w:val="28"/>
        </w:rPr>
        <w:t>
      b) часть B содержит дополнительное руководство для отдельных типов биологических активных фармацевтических субстанций и лекарственных препаратов.</w:t>
      </w:r>
    </w:p>
    <w:bookmarkEnd w:id="4398"/>
    <w:bookmarkStart w:name="z4520" w:id="4399"/>
    <w:p>
      <w:pPr>
        <w:spacing w:after="0"/>
        <w:ind w:left="0"/>
        <w:jc w:val="both"/>
      </w:pPr>
      <w:r>
        <w:rPr>
          <w:rFonts w:ascii="Times New Roman"/>
          <w:b w:val="false"/>
          <w:i w:val="false"/>
          <w:color w:val="000000"/>
          <w:sz w:val="28"/>
        </w:rPr>
        <w:t>
      Настоящее приложение наряду с некоторыми другими приложениями содержит указания, дополняющие части I и II Стандарта надлежащей производственной практики. Область применения настоящего приложения содержит следующие аспекты:</w:t>
      </w:r>
    </w:p>
    <w:bookmarkEnd w:id="4399"/>
    <w:bookmarkStart w:name="z4521" w:id="4400"/>
    <w:p>
      <w:pPr>
        <w:spacing w:after="0"/>
        <w:ind w:left="0"/>
        <w:jc w:val="both"/>
      </w:pPr>
      <w:r>
        <w:rPr>
          <w:rFonts w:ascii="Times New Roman"/>
          <w:b w:val="false"/>
          <w:i w:val="false"/>
          <w:color w:val="000000"/>
          <w:sz w:val="28"/>
        </w:rPr>
        <w:t>
      a) стадия производства: до того момента, пока биологические активные фармацевтические субстанции не станут стерильными, основным документом для них является часть II Стандарта надлежащей производственной практики Стандарт для последующих стадий производства биологических лекарственных препаратов содержатся в части I Стандарта надлежащей производственной практики;</w:t>
      </w:r>
    </w:p>
    <w:bookmarkEnd w:id="4400"/>
    <w:bookmarkStart w:name="z4522" w:id="4401"/>
    <w:p>
      <w:pPr>
        <w:spacing w:after="0"/>
        <w:ind w:left="0"/>
        <w:jc w:val="both"/>
      </w:pPr>
      <w:r>
        <w:rPr>
          <w:rFonts w:ascii="Times New Roman"/>
          <w:b w:val="false"/>
          <w:i w:val="false"/>
          <w:color w:val="000000"/>
          <w:sz w:val="28"/>
        </w:rPr>
        <w:t>
      b) вид продукции: настоящее приложение является руководящим документом для всего спектра биологических лекарственных препаратов.</w:t>
      </w:r>
    </w:p>
    <w:bookmarkEnd w:id="4401"/>
    <w:bookmarkStart w:name="z4523" w:id="4402"/>
    <w:p>
      <w:pPr>
        <w:spacing w:after="0"/>
        <w:ind w:left="0"/>
        <w:jc w:val="both"/>
      </w:pPr>
      <w:r>
        <w:rPr>
          <w:rFonts w:ascii="Times New Roman"/>
          <w:b w:val="false"/>
          <w:i w:val="false"/>
          <w:color w:val="000000"/>
          <w:sz w:val="28"/>
        </w:rPr>
        <w:t>
      Указанные аспекты представлены в таблице, которая является только иллюстративной и не предназначена для точного описания области применения настоящего приложения. Так же, как и в соответствующей таблице в части II Стандарта надлежащей производственной практики, уровень требований усиливается по мере перехода от ранних к поздним стадиям производства биологических активных фармацевтических субстанций, однако принципы Стандарта надлежащей производственной практики соблюдаются всегда. Включение некоторых ранних стадий производства в область применения настоящего приложения не подразумевает, что эти стадии будут подлежать регулярным проверкам уполномоченными органами (организациями).</w:t>
      </w:r>
    </w:p>
    <w:bookmarkEnd w:id="4402"/>
    <w:bookmarkStart w:name="z4524" w:id="4403"/>
    <w:p>
      <w:pPr>
        <w:spacing w:after="0"/>
        <w:ind w:left="0"/>
        <w:jc w:val="both"/>
      </w:pPr>
      <w:r>
        <w:rPr>
          <w:rFonts w:ascii="Times New Roman"/>
          <w:b w:val="false"/>
          <w:i w:val="false"/>
          <w:color w:val="000000"/>
          <w:sz w:val="28"/>
        </w:rPr>
        <w:t>
      Антибиотики не являются биологическими лекарственными препаратами, однако требования настоящего приложения могут быть использованы на биологических стадиях их производства. Требования производству лекарственных препаратов, получаемых из фракционированной донорской крови или плазмы, установлены в приложении № 14 Стандарта надлежащей производственной практики, а для нетрансгенных растительных лекарственных препаратов - в приложении № 7 Стандарта надлежащей производственной практики.</w:t>
      </w:r>
    </w:p>
    <w:bookmarkEnd w:id="4403"/>
    <w:bookmarkStart w:name="z4525" w:id="4404"/>
    <w:p>
      <w:pPr>
        <w:spacing w:after="0"/>
        <w:ind w:left="0"/>
        <w:jc w:val="both"/>
      </w:pPr>
      <w:r>
        <w:rPr>
          <w:rFonts w:ascii="Times New Roman"/>
          <w:b w:val="false"/>
          <w:i w:val="false"/>
          <w:color w:val="000000"/>
          <w:sz w:val="28"/>
        </w:rPr>
        <w:t>
      В отношении исходного сырья могут применяться другие требования, если они предусмотрены специальным законодательством. В определенных случаях применяются следующие положения:</w:t>
      </w:r>
    </w:p>
    <w:bookmarkEnd w:id="4404"/>
    <w:bookmarkStart w:name="z4526" w:id="4405"/>
    <w:p>
      <w:pPr>
        <w:spacing w:after="0"/>
        <w:ind w:left="0"/>
        <w:jc w:val="both"/>
      </w:pPr>
      <w:r>
        <w:rPr>
          <w:rFonts w:ascii="Times New Roman"/>
          <w:b w:val="false"/>
          <w:i w:val="false"/>
          <w:color w:val="000000"/>
          <w:sz w:val="28"/>
        </w:rPr>
        <w:t>
      a) для тканей (клеток), используемых для промышленного производства продукции (лекарственных средств), применяется соответствующее законодательство. Такие ткани и клетки становятся биологическими активными фармацевтическими субстанциями для некоторых видов биологических лекарственных препаратов (например, лекарственных препаратов тканевой инженерии, служащих для частичной или полной замены отдельных тканей), для которых применяются требования Стандарта надлежащей производственной практики и другие требования к лекарственным средствам;</w:t>
      </w:r>
    </w:p>
    <w:bookmarkEnd w:id="4405"/>
    <w:bookmarkStart w:name="z4527" w:id="4406"/>
    <w:p>
      <w:pPr>
        <w:spacing w:after="0"/>
        <w:ind w:left="0"/>
        <w:jc w:val="both"/>
      </w:pPr>
      <w:r>
        <w:rPr>
          <w:rFonts w:ascii="Times New Roman"/>
          <w:b w:val="false"/>
          <w:i w:val="false"/>
          <w:color w:val="000000"/>
          <w:sz w:val="28"/>
        </w:rPr>
        <w:t>
      b) в отношении высокотехнологичных лекарственных средств (ATMP), в которых кровь или компоненты крови используются в качестве исходного сырья, применяется соответствующее законодательство, которое устанавливает требования к отбору доноров, качеству и безопасности при заборе, тестировании, обработке, хранению транспортированию человеческой крови и ее компонентов;</w:t>
      </w:r>
    </w:p>
    <w:bookmarkEnd w:id="4406"/>
    <w:bookmarkStart w:name="z4528" w:id="4407"/>
    <w:p>
      <w:pPr>
        <w:spacing w:after="0"/>
        <w:ind w:left="0"/>
        <w:jc w:val="both"/>
      </w:pPr>
      <w:r>
        <w:rPr>
          <w:rFonts w:ascii="Times New Roman"/>
          <w:b w:val="false"/>
          <w:i w:val="false"/>
          <w:color w:val="000000"/>
          <w:sz w:val="28"/>
        </w:rPr>
        <w:t>
      с) производство и контроль генетически модифицированных организмов соответствовуют требованиям законодательства.</w:t>
      </w:r>
    </w:p>
    <w:bookmarkEnd w:id="4407"/>
    <w:bookmarkStart w:name="z4529" w:id="4408"/>
    <w:p>
      <w:pPr>
        <w:spacing w:after="0"/>
        <w:ind w:left="0"/>
        <w:jc w:val="both"/>
      </w:pPr>
      <w:r>
        <w:rPr>
          <w:rFonts w:ascii="Times New Roman"/>
          <w:b w:val="false"/>
          <w:i w:val="false"/>
          <w:color w:val="000000"/>
          <w:sz w:val="28"/>
        </w:rPr>
        <w:t>
      Обеспечена и соблюдена соответствующая изоляция другие меры защиты на объектах, где осуществляется какая-либо работа с генетически модифицированными микроорганизмами. Для установления и соблюдения необходимого уровня биологической безопасности получают соответствующее разрешение уполномоченных органов (организаций), если это предусмотрено законодательством, при этом также не противоречит с требованиями Стандарта надлежащей производственной практики.</w:t>
      </w:r>
    </w:p>
    <w:bookmarkEnd w:id="4408"/>
    <w:bookmarkStart w:name="z4530" w:id="4409"/>
    <w:p>
      <w:pPr>
        <w:spacing w:after="0"/>
        <w:ind w:left="0"/>
        <w:jc w:val="both"/>
      </w:pPr>
      <w:r>
        <w:rPr>
          <w:rFonts w:ascii="Times New Roman"/>
          <w:b w:val="false"/>
          <w:i w:val="false"/>
          <w:color w:val="000000"/>
          <w:sz w:val="28"/>
        </w:rPr>
        <w:t>
      Таблица</w:t>
      </w:r>
    </w:p>
    <w:bookmarkEnd w:id="4409"/>
    <w:bookmarkStart w:name="z4531" w:id="4410"/>
    <w:p>
      <w:pPr>
        <w:spacing w:after="0"/>
        <w:ind w:left="0"/>
        <w:jc w:val="both"/>
      </w:pPr>
      <w:r>
        <w:rPr>
          <w:rFonts w:ascii="Times New Roman"/>
          <w:b w:val="false"/>
          <w:i w:val="false"/>
          <w:color w:val="000000"/>
          <w:sz w:val="28"/>
        </w:rPr>
        <w:t>
      Руководство по производственной деятельности в рамках области применения Требований к производству биологических (в том числе иммунобиологических) активных фармацевтических субстанций и лекарственных препаратов для медицинского применения</w:t>
      </w:r>
    </w:p>
    <w:bookmarkEnd w:id="4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источник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Стандарта надлежащей производственной практики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стадиям производства1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инсулин,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белки,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органов, тканей 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аллергенов,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жидкостей2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(или) первичная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нетрансгенные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(ATMP), иммунные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Вирусы 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поддержание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клеток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инактивация при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вакцины,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главного3 и рабочего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белки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клеток, главного и рабочего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и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вирусных посевных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Биотехнологи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поддержание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клеток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и рабочего банков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ферментация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моноклональные антитела,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клеток, главной и рабочей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аллергены, вакцины,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генной терапии (вирусные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невирусные векторы,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рекомбинантные белки,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 рабочий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трансгенные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(или) первичная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Растительного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рекомбинантные белки,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 рабочий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экстракция,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аллергены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трансгенные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растений4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очистка,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2" w:id="4411"/>
    <w:p>
      <w:pPr>
        <w:spacing w:after="0"/>
        <w:ind w:left="0"/>
        <w:jc w:val="both"/>
      </w:pPr>
      <w:r>
        <w:rPr>
          <w:rFonts w:ascii="Times New Roman"/>
          <w:b w:val="false"/>
          <w:i w:val="false"/>
          <w:color w:val="000000"/>
          <w:sz w:val="28"/>
        </w:rPr>
        <w:t>
      Усиление требований GMP</w:t>
      </w:r>
    </w:p>
    <w:bookmarkEnd w:id="4411"/>
    <w:bookmarkStart w:name="z4533" w:id="4412"/>
    <w:p>
      <w:pPr>
        <w:spacing w:after="0"/>
        <w:ind w:left="0"/>
        <w:jc w:val="both"/>
      </w:pPr>
      <w:r>
        <w:rPr>
          <w:rFonts w:ascii="Times New Roman"/>
          <w:b w:val="false"/>
          <w:i w:val="false"/>
          <w:color w:val="000000"/>
          <w:sz w:val="28"/>
        </w:rPr>
        <w:t>
      1 Серым отмечены стадии производства, к которым применяются требования Стандарта надлежащей производственной практики.</w:t>
      </w:r>
    </w:p>
    <w:bookmarkEnd w:id="4412"/>
    <w:bookmarkStart w:name="z4534" w:id="4413"/>
    <w:p>
      <w:pPr>
        <w:spacing w:after="0"/>
        <w:ind w:left="0"/>
        <w:jc w:val="both"/>
      </w:pPr>
      <w:r>
        <w:rPr>
          <w:rFonts w:ascii="Times New Roman"/>
          <w:b w:val="false"/>
          <w:i w:val="false"/>
          <w:color w:val="000000"/>
          <w:sz w:val="28"/>
        </w:rPr>
        <w:t>
      2 Границы, в которых применяются принципы Стандарта надлежащей производственной практики, определяются в соответствии с разделом В1 настоящего приложения.</w:t>
      </w:r>
    </w:p>
    <w:bookmarkEnd w:id="4413"/>
    <w:bookmarkStart w:name="z4535" w:id="4414"/>
    <w:p>
      <w:pPr>
        <w:spacing w:after="0"/>
        <w:ind w:left="0"/>
        <w:jc w:val="both"/>
      </w:pPr>
      <w:r>
        <w:rPr>
          <w:rFonts w:ascii="Times New Roman"/>
          <w:b w:val="false"/>
          <w:i w:val="false"/>
          <w:color w:val="000000"/>
          <w:sz w:val="28"/>
        </w:rPr>
        <w:t>
      3 Границы, в которых применяются принципы Стандарта надлежащей производственной практики, определяются в соответствии с разделом "Система посевной культуры и банка клеток".</w:t>
      </w:r>
    </w:p>
    <w:bookmarkEnd w:id="4414"/>
    <w:bookmarkStart w:name="z4536" w:id="4415"/>
    <w:p>
      <w:pPr>
        <w:spacing w:after="0"/>
        <w:ind w:left="0"/>
        <w:jc w:val="both"/>
      </w:pPr>
      <w:r>
        <w:rPr>
          <w:rFonts w:ascii="Times New Roman"/>
          <w:b w:val="false"/>
          <w:i w:val="false"/>
          <w:color w:val="000000"/>
          <w:sz w:val="28"/>
        </w:rPr>
        <w:t>
      4 Для выращивания, сбора и первичной обработки, которые осуществляются в полевых условиях, может применяться руководство по правилам надлежащего выращивания и сбора исходного сырья растительного происхождения.</w:t>
      </w:r>
    </w:p>
    <w:bookmarkEnd w:id="4415"/>
    <w:bookmarkStart w:name="z4537" w:id="4416"/>
    <w:p>
      <w:pPr>
        <w:spacing w:after="0"/>
        <w:ind w:left="0"/>
        <w:jc w:val="both"/>
      </w:pPr>
      <w:r>
        <w:rPr>
          <w:rFonts w:ascii="Times New Roman"/>
          <w:b w:val="false"/>
          <w:i w:val="false"/>
          <w:color w:val="000000"/>
          <w:sz w:val="28"/>
        </w:rPr>
        <w:t>
      5 Применяются принципы Стандарта надлежащей производственной практики, в соответствии с разделом "Область применения".</w:t>
      </w:r>
    </w:p>
    <w:bookmarkEnd w:id="4416"/>
    <w:bookmarkStart w:name="z4538" w:id="4417"/>
    <w:p>
      <w:pPr>
        <w:spacing w:after="0"/>
        <w:ind w:left="0"/>
        <w:jc w:val="both"/>
      </w:pPr>
      <w:r>
        <w:rPr>
          <w:rFonts w:ascii="Times New Roman"/>
          <w:b w:val="false"/>
          <w:i w:val="false"/>
          <w:color w:val="000000"/>
          <w:sz w:val="28"/>
        </w:rPr>
        <w:t xml:space="preserve">
      6 В случае вирусных векторов, основной контроль соответствует контролю при производстве вирусов (строка 2 таблицы). </w:t>
      </w:r>
    </w:p>
    <w:bookmarkEnd w:id="4417"/>
    <w:bookmarkStart w:name="z4539" w:id="4418"/>
    <w:p>
      <w:pPr>
        <w:spacing w:after="0"/>
        <w:ind w:left="0"/>
        <w:jc w:val="both"/>
      </w:pPr>
      <w:r>
        <w:rPr>
          <w:rFonts w:ascii="Times New Roman"/>
          <w:b w:val="false"/>
          <w:i w:val="false"/>
          <w:color w:val="000000"/>
          <w:sz w:val="28"/>
        </w:rPr>
        <w:t>
      7 Ткани (клетки) человека соответствуют требованиям законодательства.</w:t>
      </w:r>
    </w:p>
    <w:bookmarkEnd w:id="4418"/>
    <w:bookmarkStart w:name="z4540" w:id="4419"/>
    <w:p>
      <w:pPr>
        <w:spacing w:after="0"/>
        <w:ind w:left="0"/>
        <w:jc w:val="both"/>
      </w:pPr>
      <w:r>
        <w:rPr>
          <w:rFonts w:ascii="Times New Roman"/>
          <w:b w:val="false"/>
          <w:i w:val="false"/>
          <w:color w:val="000000"/>
          <w:sz w:val="28"/>
        </w:rPr>
        <w:t>
      Принцип</w:t>
      </w:r>
    </w:p>
    <w:bookmarkEnd w:id="4419"/>
    <w:bookmarkStart w:name="z4541" w:id="4420"/>
    <w:p>
      <w:pPr>
        <w:spacing w:after="0"/>
        <w:ind w:left="0"/>
        <w:jc w:val="both"/>
      </w:pPr>
      <w:r>
        <w:rPr>
          <w:rFonts w:ascii="Times New Roman"/>
          <w:b w:val="false"/>
          <w:i w:val="false"/>
          <w:color w:val="000000"/>
          <w:sz w:val="28"/>
        </w:rPr>
        <w:t>
      Производство биологических активных фармацевтических субстанций и лекарственных препаратов имеет свою специфику, определяемую характером продукции и технологией производства. Характер производства, контроля и применения биологических лекарственных препаратов требует особых мер предосторожности.</w:t>
      </w:r>
    </w:p>
    <w:bookmarkEnd w:id="4420"/>
    <w:bookmarkStart w:name="z4542" w:id="4421"/>
    <w:p>
      <w:pPr>
        <w:spacing w:after="0"/>
        <w:ind w:left="0"/>
        <w:jc w:val="both"/>
      </w:pPr>
      <w:r>
        <w:rPr>
          <w:rFonts w:ascii="Times New Roman"/>
          <w:b w:val="false"/>
          <w:i w:val="false"/>
          <w:color w:val="000000"/>
          <w:sz w:val="28"/>
        </w:rPr>
        <w:t>
      В отличие от обычных лекарственных средств, производимых с использованием химических и физических методов, способных демонстрировать высокую степень надежности, производство биологических активных фармацевтических субстанций и лекарственных препаратов включает в себя использование биологических процессов и материалов, таких как культивирование клеток или экстрагирование материала из живых организмов. Эти биологические процессы могут демонстрировать свойственную им изменчивость, что приводит к существенному диапазону побочных продуктов различной природы. Поэтому принципы управления рисками для качества особенно важны для данного класса материалов и соблюдаются при разработке методов контроля на всех стадиях производства для минимизации вариабельности и уменьшения возможности контаминации и перекрестной контаминации.</w:t>
      </w:r>
    </w:p>
    <w:bookmarkEnd w:id="4421"/>
    <w:bookmarkStart w:name="z4543" w:id="4422"/>
    <w:p>
      <w:pPr>
        <w:spacing w:after="0"/>
        <w:ind w:left="0"/>
        <w:jc w:val="both"/>
      </w:pPr>
      <w:r>
        <w:rPr>
          <w:rFonts w:ascii="Times New Roman"/>
          <w:b w:val="false"/>
          <w:i w:val="false"/>
          <w:color w:val="000000"/>
          <w:sz w:val="28"/>
        </w:rPr>
        <w:t xml:space="preserve">
      Материалы, питательные среды и условия культивирования целевых микроорганизмов, культур клеток, вирусов и т. п. во многом способствуют возможности роста контаминирующих агентов. Кроме того, многие лекарственные препараты имеют ограниченную устойчивость к широкому спектру методов очистки, в особенности к методам, предназначенным для инактивации или устранения посторонних вирусных контаминантов. Для сведения к минимуму возможности такой контаминации основное внимание следует уделять планированию технологического процесса, конструкции оборудования, помещений, систем обеспечения, условиям приготовления и добавления буферов и реагентов, отбору проб и обучению персонала. </w:t>
      </w:r>
    </w:p>
    <w:bookmarkEnd w:id="4422"/>
    <w:bookmarkStart w:name="z4544" w:id="4423"/>
    <w:p>
      <w:pPr>
        <w:spacing w:after="0"/>
        <w:ind w:left="0"/>
        <w:jc w:val="both"/>
      </w:pPr>
      <w:r>
        <w:rPr>
          <w:rFonts w:ascii="Times New Roman"/>
          <w:b w:val="false"/>
          <w:i w:val="false"/>
          <w:color w:val="000000"/>
          <w:sz w:val="28"/>
        </w:rPr>
        <w:t>
      Спецификации на продукцию (в частности спецификации в фармакопейных статьях, общих фармакопейных статьях, регистрационное досье) определяют допустимость определенного уровня бионагрузки (с указанием степени и стадии) для веществ и материалов, или требования к их стерильности. Производство также соответствует другим требованиям, изложенным в регистрационном досье либо в протоколе клинического исследования (например, количество генераций (удвоений, пассажей) между посевной культурой или банком клеток).</w:t>
      </w:r>
    </w:p>
    <w:bookmarkEnd w:id="4423"/>
    <w:bookmarkStart w:name="z4545" w:id="4424"/>
    <w:p>
      <w:pPr>
        <w:spacing w:after="0"/>
        <w:ind w:left="0"/>
        <w:jc w:val="both"/>
      </w:pPr>
      <w:r>
        <w:rPr>
          <w:rFonts w:ascii="Times New Roman"/>
          <w:b w:val="false"/>
          <w:i w:val="false"/>
          <w:color w:val="000000"/>
          <w:sz w:val="28"/>
        </w:rPr>
        <w:t>
      Для биологических материалов, которые не могут быть простерилизованы (например, путем фильтрации), производство осуществляется в асептических условиях для минимизации риска внесения контаминантов. Для регламентации определенных производственных методов, например для удаления или инактивации вирусов, следует руководствоваться соответствующими процедурами. Применение соответствующих контроля и мониторинга за состоянием производственной среды и, где возможно, системы уборки и стерилизации "на месте" вместе с использованием закрытых систем может значительно уменьшить риск случайной контаминации и перекрестной контаминации.</w:t>
      </w:r>
    </w:p>
    <w:bookmarkEnd w:id="4424"/>
    <w:bookmarkStart w:name="z4546" w:id="4425"/>
    <w:p>
      <w:pPr>
        <w:spacing w:after="0"/>
        <w:ind w:left="0"/>
        <w:jc w:val="both"/>
      </w:pPr>
      <w:r>
        <w:rPr>
          <w:rFonts w:ascii="Times New Roman"/>
          <w:b w:val="false"/>
          <w:i w:val="false"/>
          <w:color w:val="000000"/>
          <w:sz w:val="28"/>
        </w:rPr>
        <w:t>
      Контроль обычно включает в себя биологические аналитические методы, которые характеризуются более высокой степенью вариабельности, чем физико-химические методы. Поэтому при производстве биологических активных фармацевтических субстанций и</w:t>
      </w:r>
    </w:p>
    <w:bookmarkEnd w:id="4425"/>
    <w:bookmarkStart w:name="z4547" w:id="4426"/>
    <w:p>
      <w:pPr>
        <w:spacing w:after="0"/>
        <w:ind w:left="0"/>
        <w:jc w:val="both"/>
      </w:pPr>
      <w:r>
        <w:rPr>
          <w:rFonts w:ascii="Times New Roman"/>
          <w:b w:val="false"/>
          <w:i w:val="false"/>
          <w:color w:val="000000"/>
          <w:sz w:val="28"/>
        </w:rPr>
        <w:t>
      лекарственных препаратов ключевую роль играет надежный производственный процесс и особое значение имеет контроль в процессе производства.</w:t>
      </w:r>
    </w:p>
    <w:bookmarkEnd w:id="4426"/>
    <w:bookmarkStart w:name="z4548" w:id="4427"/>
    <w:p>
      <w:pPr>
        <w:spacing w:after="0"/>
        <w:ind w:left="0"/>
        <w:jc w:val="both"/>
      </w:pPr>
      <w:r>
        <w:rPr>
          <w:rFonts w:ascii="Times New Roman"/>
          <w:b w:val="false"/>
          <w:i w:val="false"/>
          <w:color w:val="000000"/>
          <w:sz w:val="28"/>
        </w:rPr>
        <w:t>
      Биологические лекарственные препараты, в состав которых входят ткани (клетки) донора (например, определенные высокотехнологичные лекарственные средства (ATMP)), соответствуют требованиям законодательства в части прослеживаемости, уведомления регуляторных органов о неблагоприятных реакциях и клинических случаях в ходе терапии, а также в части технических требований по идентификации, обработке, предохранению, хранению и транспортированию тканей (клеток) донора. Забор материалов и проведение испытаний проводится в соответствии с системой качества, для которой определены стандарты и технические требования. Кроме того, требования нормативных правовых актов распространяются на прослеживаемость в отношении донора (с соблюдением конфиденциальности донора) через стадии, осуществляемые в учреждении по забору (проверке) тканей, и до учреждения, где используется лекарственный препарат (в соответствии с требованиями нормативных правовых актов).</w:t>
      </w:r>
    </w:p>
    <w:bookmarkEnd w:id="4427"/>
    <w:bookmarkStart w:name="z4549" w:id="4428"/>
    <w:p>
      <w:pPr>
        <w:spacing w:after="0"/>
        <w:ind w:left="0"/>
        <w:jc w:val="both"/>
      </w:pPr>
      <w:r>
        <w:rPr>
          <w:rFonts w:ascii="Times New Roman"/>
          <w:b w:val="false"/>
          <w:i w:val="false"/>
          <w:color w:val="000000"/>
          <w:sz w:val="28"/>
        </w:rPr>
        <w:t>
      Биологические активные фармацевтические субстанции и лекарственные препараты соответствует требованиям действующих нормативных правовых актов в отношении уменьшения риска передачи возбудителя губчатой энцефалопатии животных и латентных вирусов через лекарственные препараты для медицинского применения.</w:t>
      </w:r>
    </w:p>
    <w:bookmarkEnd w:id="4428"/>
    <w:bookmarkStart w:name="z4550" w:id="4429"/>
    <w:p>
      <w:pPr>
        <w:spacing w:after="0"/>
        <w:ind w:left="0"/>
        <w:jc w:val="both"/>
      </w:pPr>
      <w:r>
        <w:rPr>
          <w:rFonts w:ascii="Times New Roman"/>
          <w:b w:val="false"/>
          <w:i w:val="false"/>
          <w:color w:val="000000"/>
          <w:sz w:val="28"/>
        </w:rPr>
        <w:t>
      Часть А. Общее руководство</w:t>
      </w:r>
    </w:p>
    <w:bookmarkEnd w:id="4429"/>
    <w:bookmarkStart w:name="z4551" w:id="4430"/>
    <w:p>
      <w:pPr>
        <w:spacing w:after="0"/>
        <w:ind w:left="0"/>
        <w:jc w:val="both"/>
      </w:pPr>
      <w:r>
        <w:rPr>
          <w:rFonts w:ascii="Times New Roman"/>
          <w:b w:val="false"/>
          <w:i w:val="false"/>
          <w:color w:val="000000"/>
          <w:sz w:val="28"/>
        </w:rPr>
        <w:t>
      Персонал</w:t>
      </w:r>
    </w:p>
    <w:bookmarkEnd w:id="4430"/>
    <w:bookmarkStart w:name="z4552" w:id="4431"/>
    <w:p>
      <w:pPr>
        <w:spacing w:after="0"/>
        <w:ind w:left="0"/>
        <w:jc w:val="both"/>
      </w:pPr>
      <w:r>
        <w:rPr>
          <w:rFonts w:ascii="Times New Roman"/>
          <w:b w:val="false"/>
          <w:i w:val="false"/>
          <w:color w:val="000000"/>
          <w:sz w:val="28"/>
        </w:rPr>
        <w:t>
      1. Персонал, работающий в зонах производства и контроля биологических активных фармацевтических субстанций и лекарственных препаратов (в том числе персонал, занятый очисткой, обслуживанием или контролем качества), проходить обучение и периодическое повторное обучение в соответствии со своими обязанностями и спецификой производимой продукции, включая все особые меры предосторожности для защиты продукции, персонала и окружающей среды.</w:t>
      </w:r>
    </w:p>
    <w:bookmarkEnd w:id="4431"/>
    <w:bookmarkStart w:name="z4553" w:id="4432"/>
    <w:p>
      <w:pPr>
        <w:spacing w:after="0"/>
        <w:ind w:left="0"/>
        <w:jc w:val="both"/>
      </w:pPr>
      <w:r>
        <w:rPr>
          <w:rFonts w:ascii="Times New Roman"/>
          <w:b w:val="false"/>
          <w:i w:val="false"/>
          <w:color w:val="000000"/>
          <w:sz w:val="28"/>
        </w:rPr>
        <w:t>
      2. Для обеспечения безопасности продукции принимается во внимание здоровье персонала. Сотрудники, занятые в производстве, техническом обслуживании, проведении испытаний и уходе за животными (в том числе контроле), при необходимости вакцинируются соответствующими специфическими вакцинами, а также проходить регулярные медицинские осмотры.</w:t>
      </w:r>
    </w:p>
    <w:bookmarkEnd w:id="4432"/>
    <w:bookmarkStart w:name="z4554" w:id="4433"/>
    <w:p>
      <w:pPr>
        <w:spacing w:after="0"/>
        <w:ind w:left="0"/>
        <w:jc w:val="both"/>
      </w:pPr>
      <w:r>
        <w:rPr>
          <w:rFonts w:ascii="Times New Roman"/>
          <w:b w:val="false"/>
          <w:i w:val="false"/>
          <w:color w:val="000000"/>
          <w:sz w:val="28"/>
        </w:rPr>
        <w:t>
      3. Любые заболевания персонала, которые могут неблагоприятно повлиять на качество продукта, препятствуют работе такого персонала в производственной зоне, а соответствующие записи сохраняются. В производстве вакцины БЦЖ и лекарственных препаратов туберкулина могут быть заняты только сотрудники, которые регулярно проходят проверку иммунного статуса или рентгенологическое обследование грудной клетки. Сотрудники проходят медицинский осмотр с учетом риска, которому они подвержены, медицинский осмотр требуется для персонала, работающего с опасными организмами.</w:t>
      </w:r>
    </w:p>
    <w:bookmarkEnd w:id="4433"/>
    <w:bookmarkStart w:name="z4555" w:id="4434"/>
    <w:p>
      <w:pPr>
        <w:spacing w:after="0"/>
        <w:ind w:left="0"/>
        <w:jc w:val="both"/>
      </w:pPr>
      <w:r>
        <w:rPr>
          <w:rFonts w:ascii="Times New Roman"/>
          <w:b w:val="false"/>
          <w:i w:val="false"/>
          <w:color w:val="000000"/>
          <w:sz w:val="28"/>
        </w:rPr>
        <w:t>
      4. С целью минимизации возможности перекрестной контаминации необходимо контролировать ограничение движения персонала (в том числе сотрудников службы контроля качества, специалистов по обслуживанию и уборке) на основе принципов управления рисками для качества. Как правило, не допускается переход сотрудников из зон, где возможен контакт с живыми микроорганизмами, генетически модифицированными организмами, токсинами или животными, в зоны, где проводятся работы с другой продукцией, инактивированной продукцией или другими организмами. Если подобных переходов избежать невозможно, приняты меры для контроля контаминации согласно принципам управления рисками для качества.</w:t>
      </w:r>
    </w:p>
    <w:bookmarkEnd w:id="4434"/>
    <w:bookmarkStart w:name="z4556" w:id="4435"/>
    <w:p>
      <w:pPr>
        <w:spacing w:after="0"/>
        <w:ind w:left="0"/>
        <w:jc w:val="both"/>
      </w:pPr>
      <w:r>
        <w:rPr>
          <w:rFonts w:ascii="Times New Roman"/>
          <w:b w:val="false"/>
          <w:i w:val="false"/>
          <w:color w:val="000000"/>
          <w:sz w:val="28"/>
        </w:rPr>
        <w:t>
      Помещения и оборудование</w:t>
      </w:r>
    </w:p>
    <w:bookmarkEnd w:id="4435"/>
    <w:bookmarkStart w:name="z4557" w:id="4436"/>
    <w:p>
      <w:pPr>
        <w:spacing w:after="0"/>
        <w:ind w:left="0"/>
        <w:jc w:val="both"/>
      </w:pPr>
      <w:r>
        <w:rPr>
          <w:rFonts w:ascii="Times New Roman"/>
          <w:b w:val="false"/>
          <w:i w:val="false"/>
          <w:color w:val="000000"/>
          <w:sz w:val="28"/>
        </w:rPr>
        <w:t>
      5. Являясь частью стратегии контроля, степень контроля производственной среды в отношении контаминации частицами и микроорганизмами в производственных помещениях соответствует виду активной фармацевтической субстанции, промежуточной и готовой продукции и стадии технологического процесса. При этом необходимо учитывать уровень контаминации исходных материалов и степень риска для готового продукта. В программу мониторинга производственной среды дополнительно включены методы для определения присутствия специфических микроорганизмов (например, организма-хозяина, дрожжевых, плесневых грибов, анаэробных микроорганизмов и т. п.), если на это указывает процесс управления рисками для качества.</w:t>
      </w:r>
    </w:p>
    <w:bookmarkEnd w:id="4436"/>
    <w:bookmarkStart w:name="z4558" w:id="4437"/>
    <w:p>
      <w:pPr>
        <w:spacing w:after="0"/>
        <w:ind w:left="0"/>
        <w:jc w:val="both"/>
      </w:pPr>
      <w:r>
        <w:rPr>
          <w:rFonts w:ascii="Times New Roman"/>
          <w:b w:val="false"/>
          <w:i w:val="false"/>
          <w:color w:val="000000"/>
          <w:sz w:val="28"/>
        </w:rPr>
        <w:t>
      6. Производственные и складские помещения спроектированы с учетом требований к классам чистоты, а процессы спланированы таким образом, чтобы предотвратить контаминацию продукции посторонними веществами. Предотвращение контаминации является более эффективным, чем ее обнаружение и устранение, хотя контаминация, вероятно, будет проявляться во время таких производственных процессов, как ферментация и культивирование клеточных культур. Контрольные измерения, включая контроль систем обеспечения и контроль производственной среды, проводятся в соответствии с принципами управления рисками для качества на участках, где проходят открытые процессы и, соответственно, продукция подвержена непосредственному воздействию производственной среды (например, во время добавления вспомогательных веществ, сред, буферов, газов, работ во время производства высокотехнологичных лекарственных средств (ATMP)). При выборе последовательных классов чистоты в производственных помещениях и соответствующих методов контроля принципы управления рисками для качества учитывает принципы, изложенные в соответствующих пунктах приложения № 1 Стандарта надлежащей производственной практики.</w:t>
      </w:r>
    </w:p>
    <w:bookmarkEnd w:id="4437"/>
    <w:bookmarkStart w:name="z4559" w:id="4438"/>
    <w:p>
      <w:pPr>
        <w:spacing w:after="0"/>
        <w:ind w:left="0"/>
        <w:jc w:val="both"/>
      </w:pPr>
      <w:r>
        <w:rPr>
          <w:rFonts w:ascii="Times New Roman"/>
          <w:b w:val="false"/>
          <w:i w:val="false"/>
          <w:color w:val="000000"/>
          <w:sz w:val="28"/>
        </w:rPr>
        <w:t>
      7. Работа с живыми клетками, устойчивыми к среде производственных помещений, осуществляется в специально предназначенных производственных помещениях. Если в производстве применяются патогенные микроорганизмы (например, 1 и 2 группы патогенности), то оно также осуществляется только в специально предназначенных для этого производственных помещениях.</w:t>
      </w:r>
    </w:p>
    <w:bookmarkEnd w:id="4438"/>
    <w:bookmarkStart w:name="z4560" w:id="4439"/>
    <w:p>
      <w:pPr>
        <w:spacing w:after="0"/>
        <w:ind w:left="0"/>
        <w:jc w:val="both"/>
      </w:pPr>
      <w:r>
        <w:rPr>
          <w:rFonts w:ascii="Times New Roman"/>
          <w:b w:val="false"/>
          <w:i w:val="false"/>
          <w:color w:val="000000"/>
          <w:sz w:val="28"/>
        </w:rPr>
        <w:t>
      8. Использование одного помещения для производства нескольких лекарственных препаратов может быть разрешено, если частью эффективной стратегии контроля, направленной на предотвращение перекрестной контаминации, являются следующие или эквивалентные им факторы и мероприятия (соответственно рассматриваемым типам продукции):</w:t>
      </w:r>
    </w:p>
    <w:bookmarkEnd w:id="4439"/>
    <w:bookmarkStart w:name="z4561" w:id="4440"/>
    <w:p>
      <w:pPr>
        <w:spacing w:after="0"/>
        <w:ind w:left="0"/>
        <w:jc w:val="both"/>
      </w:pPr>
      <w:r>
        <w:rPr>
          <w:rFonts w:ascii="Times New Roman"/>
          <w:b w:val="false"/>
          <w:i w:val="false"/>
          <w:color w:val="000000"/>
          <w:sz w:val="28"/>
        </w:rPr>
        <w:t>
       а) знание основных характеристик всех клеток, организмов и любых посторонних агентов (например, патогенность, возможность обнаружения, устойчивость, восприимчивость к инактивации), работа с которыми осуществляется в одних и тех же помещениях;</w:t>
      </w:r>
    </w:p>
    <w:bookmarkEnd w:id="4440"/>
    <w:bookmarkStart w:name="z4562" w:id="4441"/>
    <w:p>
      <w:pPr>
        <w:spacing w:after="0"/>
        <w:ind w:left="0"/>
        <w:jc w:val="both"/>
      </w:pPr>
      <w:r>
        <w:rPr>
          <w:rFonts w:ascii="Times New Roman"/>
          <w:b w:val="false"/>
          <w:i w:val="false"/>
          <w:color w:val="000000"/>
          <w:sz w:val="28"/>
        </w:rPr>
        <w:t>
      b) при производстве продукции из многочисленных маленьких серий, получаемых из различного исходного сырья (например, лекарственные препараты на основе клеточных технологий), на стадии разработки стратегии контроля учитывается такие факторы, как состояние здоровья доноров, с целью снижения риска полной потери продукции;</w:t>
      </w:r>
    </w:p>
    <w:bookmarkEnd w:id="4441"/>
    <w:bookmarkStart w:name="z4563" w:id="4442"/>
    <w:p>
      <w:pPr>
        <w:spacing w:after="0"/>
        <w:ind w:left="0"/>
        <w:jc w:val="both"/>
      </w:pPr>
      <w:r>
        <w:rPr>
          <w:rFonts w:ascii="Times New Roman"/>
          <w:b w:val="false"/>
          <w:i w:val="false"/>
          <w:color w:val="000000"/>
          <w:sz w:val="28"/>
        </w:rPr>
        <w:t>
      c) предотвращение попадания живых микроорганизмов и спор в смежные помещения или на оборудование путем определения всех потенциальных маршрутов перекрестной контаминации и использования одноразовых компонентов и соответствующих инженерных мероприятий (например, закрытых систем);</w:t>
      </w:r>
    </w:p>
    <w:bookmarkEnd w:id="4442"/>
    <w:bookmarkStart w:name="z4564" w:id="4443"/>
    <w:p>
      <w:pPr>
        <w:spacing w:after="0"/>
        <w:ind w:left="0"/>
        <w:jc w:val="both"/>
      </w:pPr>
      <w:r>
        <w:rPr>
          <w:rFonts w:ascii="Times New Roman"/>
          <w:b w:val="false"/>
          <w:i w:val="false"/>
          <w:color w:val="000000"/>
          <w:sz w:val="28"/>
        </w:rPr>
        <w:t>
      d) наличие мероприятий контроля по удалению микроорганизмов спор перед последующим производством другой продукции. Процедуры очистки и деконтаминации от микроорганизмов и спор отвалидированы (в том числе и для систем отопления, вентиляции и кондиционирования воздуха (HVAC));</w:t>
      </w:r>
    </w:p>
    <w:bookmarkEnd w:id="4443"/>
    <w:bookmarkStart w:name="z4565" w:id="4444"/>
    <w:p>
      <w:pPr>
        <w:spacing w:after="0"/>
        <w:ind w:left="0"/>
        <w:jc w:val="both"/>
      </w:pPr>
      <w:r>
        <w:rPr>
          <w:rFonts w:ascii="Times New Roman"/>
          <w:b w:val="false"/>
          <w:i w:val="false"/>
          <w:color w:val="000000"/>
          <w:sz w:val="28"/>
        </w:rPr>
        <w:t>
      e) если микроорганизмы являются устойчивыми к условиям производственной среды и в распоряжении имеются соответствующие методы, контроль производственной среды, специфический для получаемого микроорганизма, следует проводить в смежных зонах во время производства и после завершения очистки и деконтаминации. Также нужно принимать во внимание риски, связанные с использованием определенного контрольно-измерительного оборудования (например, для определения частиц в воздухе) в зонах, где проводятся работы с живыми (или) спорообразующими микроорганизмами;</w:t>
      </w:r>
    </w:p>
    <w:bookmarkEnd w:id="4444"/>
    <w:bookmarkStart w:name="z4566" w:id="4445"/>
    <w:p>
      <w:pPr>
        <w:spacing w:after="0"/>
        <w:ind w:left="0"/>
        <w:jc w:val="both"/>
      </w:pPr>
      <w:r>
        <w:rPr>
          <w:rFonts w:ascii="Times New Roman"/>
          <w:b w:val="false"/>
          <w:i w:val="false"/>
          <w:color w:val="000000"/>
          <w:sz w:val="28"/>
        </w:rPr>
        <w:t>
      f) продукция, оборудование, вспомогательное оборудование (например, для калибровки и валидации) и одноразовые материалы перемещаются в пределах предназначенных зон и удаляются из этих зон таким образом, чтобы предотвратить контаминацию других зон, другой продукции на различных стадиях производства (например, следует предотвратить контаминацию инактивированных продуктов или анатоксинов не инактивированными продуктами);</w:t>
      </w:r>
    </w:p>
    <w:bookmarkEnd w:id="4445"/>
    <w:bookmarkStart w:name="z4567" w:id="4446"/>
    <w:p>
      <w:pPr>
        <w:spacing w:after="0"/>
        <w:ind w:left="0"/>
        <w:jc w:val="both"/>
      </w:pPr>
      <w:r>
        <w:rPr>
          <w:rFonts w:ascii="Times New Roman"/>
          <w:b w:val="false"/>
          <w:i w:val="false"/>
          <w:color w:val="000000"/>
          <w:sz w:val="28"/>
        </w:rPr>
        <w:t>
      g) производство на основе принципа проведения однотипных циклов производства (кампаний).</w:t>
      </w:r>
    </w:p>
    <w:bookmarkEnd w:id="4446"/>
    <w:bookmarkStart w:name="z4568" w:id="4447"/>
    <w:p>
      <w:pPr>
        <w:spacing w:after="0"/>
        <w:ind w:left="0"/>
        <w:jc w:val="both"/>
      </w:pPr>
      <w:r>
        <w:rPr>
          <w:rFonts w:ascii="Times New Roman"/>
          <w:b w:val="false"/>
          <w:i w:val="false"/>
          <w:color w:val="000000"/>
          <w:sz w:val="28"/>
        </w:rPr>
        <w:t>
      9. Необходимость наличия специализированных помещений для финишной обработки (например, для приготовления, наполнения, упаковки) будет зависеть от перечисленных в пункте 8 настоящего Приложения факторов, а также от дополнительных факторов в отношении специфики биологического лекарственного препарата и характеристик другой продукции, включая любые небиологические продукты, производимые в тех же помещениях. На заключительных стадиях могут потребоваться другие меры контроля определенной последовательности добавления веществ, скорости перемешивания, времени и температуры, предельного времени воздействия света и герметизации (изоляции), а также в процедурах очистки в случае пролива (рассыпания).</w:t>
      </w:r>
    </w:p>
    <w:bookmarkEnd w:id="4447"/>
    <w:bookmarkStart w:name="z4569" w:id="4448"/>
    <w:p>
      <w:pPr>
        <w:spacing w:after="0"/>
        <w:ind w:left="0"/>
        <w:jc w:val="both"/>
      </w:pPr>
      <w:r>
        <w:rPr>
          <w:rFonts w:ascii="Times New Roman"/>
          <w:b w:val="false"/>
          <w:i w:val="false"/>
          <w:color w:val="000000"/>
          <w:sz w:val="28"/>
        </w:rPr>
        <w:t>
      10. Мероприятия и процедуры, необходимые для обеспечения безопасности производственной среды и персонала, не противоречит мероприятиям и процедурам, необходимым для обеспечения качества продукта.</w:t>
      </w:r>
    </w:p>
    <w:bookmarkEnd w:id="4448"/>
    <w:bookmarkStart w:name="z4570" w:id="4449"/>
    <w:p>
      <w:pPr>
        <w:spacing w:after="0"/>
        <w:ind w:left="0"/>
        <w:jc w:val="both"/>
      </w:pPr>
      <w:r>
        <w:rPr>
          <w:rFonts w:ascii="Times New Roman"/>
          <w:b w:val="false"/>
          <w:i w:val="false"/>
          <w:color w:val="000000"/>
          <w:sz w:val="28"/>
        </w:rPr>
        <w:t>
      11. Системы воздухоподготовки спроектированы, сконструированы и обслуживаются таким образом, чтобы исключить риск перекрестной контаминации между различными производственными зонами. Также может возникнуть необходимость в отдельных системах воздухоподготовки для определенных зон. Решение относительно использования систем вентиляции без рециркуляции принято на основании принципов управления рисками для качества.</w:t>
      </w:r>
    </w:p>
    <w:bookmarkEnd w:id="4449"/>
    <w:bookmarkStart w:name="z4571" w:id="4450"/>
    <w:p>
      <w:pPr>
        <w:spacing w:after="0"/>
        <w:ind w:left="0"/>
        <w:jc w:val="both"/>
      </w:pPr>
      <w:r>
        <w:rPr>
          <w:rFonts w:ascii="Times New Roman"/>
          <w:b w:val="false"/>
          <w:i w:val="false"/>
          <w:color w:val="000000"/>
          <w:sz w:val="28"/>
        </w:rPr>
        <w:t>
      12. Работу со стерильной продукцией необходимо осуществлять в зонах с избыточным давлением, но в особых зонах в точках локализации патогенных микроорганизмов следует создавать отрицательный перепад давления для предотвращения распространения контаминантов за пределы этих зон. Если для работы в асептических условиях с материалами, представляющими особый риск (например, с патогенными микроорганизмами), используются зоны с пониженным давлением или безопасные боксы, их следует окружать зонами соответствующего класса чистоты с избыточным давлением. Данные перепады давления четко определяются и находятся под постоянным контролем с соответствующими настройками аварийной сигнализации.</w:t>
      </w:r>
    </w:p>
    <w:bookmarkEnd w:id="4450"/>
    <w:bookmarkStart w:name="z4572" w:id="4451"/>
    <w:p>
      <w:pPr>
        <w:spacing w:after="0"/>
        <w:ind w:left="0"/>
        <w:jc w:val="both"/>
      </w:pPr>
      <w:r>
        <w:rPr>
          <w:rFonts w:ascii="Times New Roman"/>
          <w:b w:val="false"/>
          <w:i w:val="false"/>
          <w:color w:val="000000"/>
          <w:sz w:val="28"/>
        </w:rPr>
        <w:t>
      13. Конструкция оборудования, используемого для работы с живыми микроорганизмами и клетками, включая оборудование для отбора проб, исключает возможность контаминации во время проведения работ.</w:t>
      </w:r>
    </w:p>
    <w:bookmarkEnd w:id="4451"/>
    <w:bookmarkStart w:name="z4573" w:id="4452"/>
    <w:p>
      <w:pPr>
        <w:spacing w:after="0"/>
        <w:ind w:left="0"/>
        <w:jc w:val="both"/>
      </w:pPr>
      <w:r>
        <w:rPr>
          <w:rFonts w:ascii="Times New Roman"/>
          <w:b w:val="false"/>
          <w:i w:val="false"/>
          <w:color w:val="000000"/>
          <w:sz w:val="28"/>
        </w:rPr>
        <w:t>
      14. Конструкция, обеспечивающая первичную изоляцию, исключает риск утечки биологических агентов в непосредственное рабочее пространство, что подтверждено результатами тестирования с определенной периодичностью.</w:t>
      </w:r>
    </w:p>
    <w:bookmarkEnd w:id="4452"/>
    <w:bookmarkStart w:name="z4574" w:id="4453"/>
    <w:p>
      <w:pPr>
        <w:spacing w:after="0"/>
        <w:ind w:left="0"/>
        <w:jc w:val="both"/>
      </w:pPr>
      <w:r>
        <w:rPr>
          <w:rFonts w:ascii="Times New Roman"/>
          <w:b w:val="false"/>
          <w:i w:val="false"/>
          <w:color w:val="000000"/>
          <w:sz w:val="28"/>
        </w:rPr>
        <w:t>
      15. Рекомендуется по возможности использовать системы "очистки на месте" и "обработки паром на месте" ("стерилизации на месте"). Конструкция вентилей на ферментаторах предусматривает возможность их стерилизации паром.</w:t>
      </w:r>
    </w:p>
    <w:bookmarkEnd w:id="4453"/>
    <w:bookmarkStart w:name="z4575" w:id="4454"/>
    <w:p>
      <w:pPr>
        <w:spacing w:after="0"/>
        <w:ind w:left="0"/>
        <w:jc w:val="both"/>
      </w:pPr>
      <w:r>
        <w:rPr>
          <w:rFonts w:ascii="Times New Roman"/>
          <w:b w:val="false"/>
          <w:i w:val="false"/>
          <w:color w:val="000000"/>
          <w:sz w:val="28"/>
        </w:rPr>
        <w:t>
      16. Воздушные фильтры гидрофобные, срок их службы определен в процессе валидации путем проверки целостности с определенной периодичностью согласно соответствующим принципам управления рисками для качества.</w:t>
      </w:r>
    </w:p>
    <w:bookmarkEnd w:id="4454"/>
    <w:bookmarkStart w:name="z4576" w:id="4455"/>
    <w:p>
      <w:pPr>
        <w:spacing w:after="0"/>
        <w:ind w:left="0"/>
        <w:jc w:val="both"/>
      </w:pPr>
      <w:r>
        <w:rPr>
          <w:rFonts w:ascii="Times New Roman"/>
          <w:b w:val="false"/>
          <w:i w:val="false"/>
          <w:color w:val="000000"/>
          <w:sz w:val="28"/>
        </w:rPr>
        <w:t>
      17. Конструкция дренажных систем позволяет проводить эффективную нейтрализацию и деконтаминацию сточных вод для исключения риска перекрестной контаминации. Обеспечивается выполнение требований законодательства с целью минимизации рисков контаминации окружающей среды в соответствии рисками, связанными с биологической опасностью отходов производства.</w:t>
      </w:r>
    </w:p>
    <w:bookmarkEnd w:id="4455"/>
    <w:bookmarkStart w:name="z4577" w:id="4456"/>
    <w:p>
      <w:pPr>
        <w:spacing w:after="0"/>
        <w:ind w:left="0"/>
        <w:jc w:val="both"/>
      </w:pPr>
      <w:r>
        <w:rPr>
          <w:rFonts w:ascii="Times New Roman"/>
          <w:b w:val="false"/>
          <w:i w:val="false"/>
          <w:color w:val="000000"/>
          <w:sz w:val="28"/>
        </w:rPr>
        <w:t>
      18. Ввиду изменчивости свойств биологических лекарственных средств или процессов их производства необходимо отмеривать или взвешивать какое-либо соответствующее (критическое) исходное сырье (например, питательные среды и буферы) в ходе технологического процесса. В этих случаях в производственной зоне допускается хранение небольших запасов этого исходного сырья на протяжении срока, установленного на основании соответствующих критериев (например, длительность производства серии или длительность кампании).</w:t>
      </w:r>
    </w:p>
    <w:bookmarkEnd w:id="4456"/>
    <w:bookmarkStart w:name="z4578" w:id="4457"/>
    <w:p>
      <w:pPr>
        <w:spacing w:after="0"/>
        <w:ind w:left="0"/>
        <w:jc w:val="both"/>
      </w:pPr>
      <w:r>
        <w:rPr>
          <w:rFonts w:ascii="Times New Roman"/>
          <w:b w:val="false"/>
          <w:i w:val="false"/>
          <w:color w:val="000000"/>
          <w:sz w:val="28"/>
        </w:rPr>
        <w:t>
      Животные</w:t>
      </w:r>
    </w:p>
    <w:bookmarkEnd w:id="4457"/>
    <w:bookmarkStart w:name="z4579" w:id="4458"/>
    <w:p>
      <w:pPr>
        <w:spacing w:after="0"/>
        <w:ind w:left="0"/>
        <w:jc w:val="both"/>
      </w:pPr>
      <w:r>
        <w:rPr>
          <w:rFonts w:ascii="Times New Roman"/>
          <w:b w:val="false"/>
          <w:i w:val="false"/>
          <w:color w:val="000000"/>
          <w:sz w:val="28"/>
        </w:rPr>
        <w:t>
      19. Для производства биологических лекарственных препаратов используются разные виды животных. Выделяются следующие 2 большие группы источников:</w:t>
      </w:r>
    </w:p>
    <w:bookmarkEnd w:id="4458"/>
    <w:bookmarkStart w:name="z4580" w:id="4459"/>
    <w:p>
      <w:pPr>
        <w:spacing w:after="0"/>
        <w:ind w:left="0"/>
        <w:jc w:val="both"/>
      </w:pPr>
      <w:r>
        <w:rPr>
          <w:rFonts w:ascii="Times New Roman"/>
          <w:b w:val="false"/>
          <w:i w:val="false"/>
          <w:color w:val="000000"/>
          <w:sz w:val="28"/>
        </w:rPr>
        <w:t>
      a) живые животные, объединенные в группы, стада, стаи. Например, обезьяны (вакцина против полиомиелита), лошади, овцы и козы (иммунные сыворотки против ядов змей и столбняка), кошки (аллергены), кролики, мыши и хомяки (вакцина против бешенства), козы, крупный рогатый скот (трансгенные продукты);</w:t>
      </w:r>
    </w:p>
    <w:bookmarkEnd w:id="4459"/>
    <w:bookmarkStart w:name="z4581" w:id="4460"/>
    <w:p>
      <w:pPr>
        <w:spacing w:after="0"/>
        <w:ind w:left="0"/>
        <w:jc w:val="both"/>
      </w:pPr>
      <w:r>
        <w:rPr>
          <w:rFonts w:ascii="Times New Roman"/>
          <w:b w:val="false"/>
          <w:i w:val="false"/>
          <w:color w:val="000000"/>
          <w:sz w:val="28"/>
        </w:rPr>
        <w:t>
      b) ткани (клетки) животного происхождения, извлеченные из умерщвленных животных (овцы и свиньи), используемые для производства высокотехнологичных лекарственных средств (ATMP) или как сырье для ферментов, антикоагулянтов и гормонов.</w:t>
      </w:r>
    </w:p>
    <w:bookmarkEnd w:id="4460"/>
    <w:bookmarkStart w:name="z4582" w:id="4461"/>
    <w:p>
      <w:pPr>
        <w:spacing w:after="0"/>
        <w:ind w:left="0"/>
        <w:jc w:val="both"/>
      </w:pPr>
      <w:r>
        <w:rPr>
          <w:rFonts w:ascii="Times New Roman"/>
          <w:b w:val="false"/>
          <w:i w:val="false"/>
          <w:color w:val="000000"/>
          <w:sz w:val="28"/>
        </w:rPr>
        <w:t>
      Животные также используются для контроля качества в соответствии со спецификациями (пирогенность, токсичность, безвредность, специфическая активность).</w:t>
      </w:r>
    </w:p>
    <w:bookmarkEnd w:id="4461"/>
    <w:bookmarkStart w:name="z4583" w:id="4462"/>
    <w:p>
      <w:pPr>
        <w:spacing w:after="0"/>
        <w:ind w:left="0"/>
        <w:jc w:val="both"/>
      </w:pPr>
      <w:r>
        <w:rPr>
          <w:rFonts w:ascii="Times New Roman"/>
          <w:b w:val="false"/>
          <w:i w:val="false"/>
          <w:color w:val="000000"/>
          <w:sz w:val="28"/>
        </w:rPr>
        <w:t>
      20. В дополнение к выполнению нормативных требований в отношении губчатой энцефалопатии животных другие опасные агенты (возбудители зоонозов, антропозоонозов животных) контролируются и регистрируются согласно постоянно действующей программе мониторинга. Необходима консультация соответствующего специалиста для организации таких программ.</w:t>
      </w:r>
    </w:p>
    <w:bookmarkEnd w:id="4462"/>
    <w:bookmarkStart w:name="z4584" w:id="4463"/>
    <w:p>
      <w:pPr>
        <w:spacing w:after="0"/>
        <w:ind w:left="0"/>
        <w:jc w:val="both"/>
      </w:pPr>
      <w:r>
        <w:rPr>
          <w:rFonts w:ascii="Times New Roman"/>
          <w:b w:val="false"/>
          <w:i w:val="false"/>
          <w:color w:val="000000"/>
          <w:sz w:val="28"/>
        </w:rPr>
        <w:t>
      В случаях заболевания животных-доноров или животных, которые используются в качестве сырья, проводятся и регистрируются соответствующие исследования на предмет пригодности этих животных и пригодности животных, пребывавших в контакте с больным животным, для использования при производстве (в качестве исходных материалов или исходного сырья), контроле качества продукции и проведении испытаний на безопасность. Принята в форме письменного документа процедура ретроспективного анализа, позволяющая принимать решение относительно годности биологической активной фармацевтической субстанции или лекарственного препарата, в состав которого входит или при производстве которого использовался такой животный материал в качестве исходного сырья или материала. Для установления того, какая из донаций последней показала отрицательный результат на наличие заболевания, если применимо, проводится повторное тестирование образцов, сохраненных при предыдущем заборе материала от того же животного-донора (если таковые имеются), что влияет на процесс принятия данного решения. При определении периода изъятия животных из программы учитывается период выведения терапевтических агентов, использовавшихся для введения животным-донорам или животным, которые использовались в качестве сырья, оформляется документально.</w:t>
      </w:r>
    </w:p>
    <w:bookmarkEnd w:id="4463"/>
    <w:bookmarkStart w:name="z4585" w:id="4464"/>
    <w:p>
      <w:pPr>
        <w:spacing w:after="0"/>
        <w:ind w:left="0"/>
        <w:jc w:val="both"/>
      </w:pPr>
      <w:r>
        <w:rPr>
          <w:rFonts w:ascii="Times New Roman"/>
          <w:b w:val="false"/>
          <w:i w:val="false"/>
          <w:color w:val="000000"/>
          <w:sz w:val="28"/>
        </w:rPr>
        <w:t>
      21. Особое внимание следует уделять предотвращению и мониторингу инфекционных заболеваний у животных, которые используются в качестве сырья, и у животных-доноров. Принимаемые меры включают контроль источников, помещений, пастбища, контроль биологической безопасности, режимов проведения испытаний, контроль вспомогательных материалов и кормов для животных. Особенное значение данные проверки имеют для животных, свободных от специфических патогенов, в соответствии с требованиями нормативных актов. Определяют требования к содержанию и мониторингу здоровья других животных (например, живущих в стаях или стадах).</w:t>
      </w:r>
    </w:p>
    <w:bookmarkEnd w:id="4464"/>
    <w:bookmarkStart w:name="z4586" w:id="4465"/>
    <w:p>
      <w:pPr>
        <w:spacing w:after="0"/>
        <w:ind w:left="0"/>
        <w:jc w:val="both"/>
      </w:pPr>
      <w:r>
        <w:rPr>
          <w:rFonts w:ascii="Times New Roman"/>
          <w:b w:val="false"/>
          <w:i w:val="false"/>
          <w:color w:val="000000"/>
          <w:sz w:val="28"/>
        </w:rPr>
        <w:t>
      22. Для лекарственных препаратов, произведенных с использованием трансгенных животных, обеспечивает прослеживаемость исходных животных, использованных для создания трансгенных животных.</w:t>
      </w:r>
    </w:p>
    <w:bookmarkEnd w:id="4465"/>
    <w:bookmarkStart w:name="z4587" w:id="4466"/>
    <w:p>
      <w:pPr>
        <w:spacing w:after="0"/>
        <w:ind w:left="0"/>
        <w:jc w:val="both"/>
      </w:pPr>
      <w:r>
        <w:rPr>
          <w:rFonts w:ascii="Times New Roman"/>
          <w:b w:val="false"/>
          <w:i w:val="false"/>
          <w:color w:val="000000"/>
          <w:sz w:val="28"/>
        </w:rPr>
        <w:t>
      23. Особое внимание уделяется нормативным актам в отношении защиты животных, используемых в экспериментальных целях, в отношении вивариев, в которых содержатся животные, ухода за животными и карантина. Виварии, в которых содержатся животные, используемые для производства и контроля качества биологических активных фармацевтических субстанций и лекарственных препаратов, отделены от зон производства и контроля качества.</w:t>
      </w:r>
    </w:p>
    <w:bookmarkEnd w:id="4466"/>
    <w:bookmarkStart w:name="z4588" w:id="4467"/>
    <w:p>
      <w:pPr>
        <w:spacing w:after="0"/>
        <w:ind w:left="0"/>
        <w:jc w:val="both"/>
      </w:pPr>
      <w:r>
        <w:rPr>
          <w:rFonts w:ascii="Times New Roman"/>
          <w:b w:val="false"/>
          <w:i w:val="false"/>
          <w:color w:val="000000"/>
          <w:sz w:val="28"/>
        </w:rPr>
        <w:t>
      24. Для различных видов животных определяются основные показатели, которые затем контролируются и регистрируются. Показатели могут включать возраст, пол, вес и состояние здоровья животных.</w:t>
      </w:r>
    </w:p>
    <w:bookmarkEnd w:id="4467"/>
    <w:bookmarkStart w:name="z4589" w:id="4468"/>
    <w:p>
      <w:pPr>
        <w:spacing w:after="0"/>
        <w:ind w:left="0"/>
        <w:jc w:val="both"/>
      </w:pPr>
      <w:r>
        <w:rPr>
          <w:rFonts w:ascii="Times New Roman"/>
          <w:b w:val="false"/>
          <w:i w:val="false"/>
          <w:color w:val="000000"/>
          <w:sz w:val="28"/>
        </w:rPr>
        <w:t>
      25. Для предотвращения риска перепутывания и возможных опасностей, существует система идентификации в отношении животных, биологических агентов и проведенных испытаний.</w:t>
      </w:r>
    </w:p>
    <w:bookmarkEnd w:id="4468"/>
    <w:bookmarkStart w:name="z4590" w:id="4469"/>
    <w:p>
      <w:pPr>
        <w:spacing w:after="0"/>
        <w:ind w:left="0"/>
        <w:jc w:val="both"/>
      </w:pPr>
      <w:r>
        <w:rPr>
          <w:rFonts w:ascii="Times New Roman"/>
          <w:b w:val="false"/>
          <w:i w:val="false"/>
          <w:color w:val="000000"/>
          <w:sz w:val="28"/>
        </w:rPr>
        <w:t>
      Документация</w:t>
      </w:r>
    </w:p>
    <w:bookmarkEnd w:id="4469"/>
    <w:bookmarkStart w:name="z4591" w:id="4470"/>
    <w:p>
      <w:pPr>
        <w:spacing w:after="0"/>
        <w:ind w:left="0"/>
        <w:jc w:val="both"/>
      </w:pPr>
      <w:r>
        <w:rPr>
          <w:rFonts w:ascii="Times New Roman"/>
          <w:b w:val="false"/>
          <w:i w:val="false"/>
          <w:color w:val="000000"/>
          <w:sz w:val="28"/>
        </w:rPr>
        <w:t>
      26. Для исходных сырья и материалов для производства биологических лекарственных препаратов может потребоваться дополнительная информация об источнике, происхождении, цепи поставки, методе производства и применяемых методах контроля качества для обеспечения необходимого объема контроля, в том числе микробиологического контроля.</w:t>
      </w:r>
    </w:p>
    <w:bookmarkEnd w:id="4470"/>
    <w:bookmarkStart w:name="z4592" w:id="4471"/>
    <w:p>
      <w:pPr>
        <w:spacing w:after="0"/>
        <w:ind w:left="0"/>
        <w:jc w:val="both"/>
      </w:pPr>
      <w:r>
        <w:rPr>
          <w:rFonts w:ascii="Times New Roman"/>
          <w:b w:val="false"/>
          <w:i w:val="false"/>
          <w:color w:val="000000"/>
          <w:sz w:val="28"/>
        </w:rPr>
        <w:t>
      27. Для некоторых типов продукции может потребоваться специфическое описание материалов, входящих в серию, в частности, соматических клеток, используемых при производстве высокотехнологичных лекарственных средств (ATMP). В случаях аутологичного лекарственного препарата и лекарственного препарата от специально подобранного донора продукция рассматривается как одна серия.</w:t>
      </w:r>
    </w:p>
    <w:bookmarkEnd w:id="4471"/>
    <w:bookmarkStart w:name="z4593" w:id="4472"/>
    <w:p>
      <w:pPr>
        <w:spacing w:after="0"/>
        <w:ind w:left="0"/>
        <w:jc w:val="both"/>
      </w:pPr>
      <w:r>
        <w:rPr>
          <w:rFonts w:ascii="Times New Roman"/>
          <w:b w:val="false"/>
          <w:i w:val="false"/>
          <w:color w:val="000000"/>
          <w:sz w:val="28"/>
        </w:rPr>
        <w:t>
      28. Для лекарственных препаратов, при производстве которых используются клетки человека или ткани доноров, обеспечивает полную прослеживаемость, начиная от исходного сырья и материалов, в том числе содержащая информацию обо всех веществах, контактировавших с клетками или тканями, вплоть до подтверждения получения лекарственного препарата в месте его применения. В то же время обеспечивается анонимность пациентов и конфиденциальность информации об их здоровье. Соответствующие записи, обеспечивающие прослеживаемость лекарственного препарата, сохраняются на протяжении тридцати лет после даты окончания срока годности лекарственного препарата. Особое внимание уделяется обеспечению прослеживаемости специфических лекарственных препаратов для использования в особых случаях (например клетки от специально подобранного донора). Производство лекарственных средств с использованием компонентов крови в качестве исходного сырья или материалов соответствует требованиям законодательства. В соответствии с законодательством при производстве высокотехнологичных лекарственных средств (ATMP) обеспечивает прослеживаемость клеток человека, в том числе гемопоэтических стволовых клеток. Мероприятия, обеспечивающие прослеживаемость и хранение документации в течение необходимого периода, включаются в технические соглашения между вовлеченными в такую деятельность сторонами.</w:t>
      </w:r>
    </w:p>
    <w:bookmarkEnd w:id="4472"/>
    <w:bookmarkStart w:name="z4594" w:id="4473"/>
    <w:p>
      <w:pPr>
        <w:spacing w:after="0"/>
        <w:ind w:left="0"/>
        <w:jc w:val="both"/>
      </w:pPr>
      <w:r>
        <w:rPr>
          <w:rFonts w:ascii="Times New Roman"/>
          <w:b w:val="false"/>
          <w:i w:val="false"/>
          <w:color w:val="000000"/>
          <w:sz w:val="28"/>
        </w:rPr>
        <w:t>
      Производство</w:t>
      </w:r>
    </w:p>
    <w:bookmarkEnd w:id="4473"/>
    <w:bookmarkStart w:name="z4595" w:id="4474"/>
    <w:p>
      <w:pPr>
        <w:spacing w:after="0"/>
        <w:ind w:left="0"/>
        <w:jc w:val="both"/>
      </w:pPr>
      <w:r>
        <w:rPr>
          <w:rFonts w:ascii="Times New Roman"/>
          <w:b w:val="false"/>
          <w:i w:val="false"/>
          <w:color w:val="000000"/>
          <w:sz w:val="28"/>
        </w:rPr>
        <w:t>
      29. Учитывая возможную высокую изменчивость свойств биологических веществ и продуктов, необходимо обеспечить на разных этапах жизненного цикла продукции (например, на этапе разработки процесса) повышение надежности и устойчивости процесса, снижая тем самым его вариабельность и повышая воспроизводимость.</w:t>
      </w:r>
    </w:p>
    <w:bookmarkEnd w:id="4474"/>
    <w:bookmarkStart w:name="z4596" w:id="4475"/>
    <w:p>
      <w:pPr>
        <w:spacing w:after="0"/>
        <w:ind w:left="0"/>
        <w:jc w:val="both"/>
      </w:pPr>
      <w:r>
        <w:rPr>
          <w:rFonts w:ascii="Times New Roman"/>
          <w:b w:val="false"/>
          <w:i w:val="false"/>
          <w:color w:val="000000"/>
          <w:sz w:val="28"/>
        </w:rPr>
        <w:t>
      Повторная оценка проводится в процессе обзоров качества продукции.</w:t>
      </w:r>
    </w:p>
    <w:bookmarkEnd w:id="4475"/>
    <w:bookmarkStart w:name="z4597" w:id="4476"/>
    <w:p>
      <w:pPr>
        <w:spacing w:after="0"/>
        <w:ind w:left="0"/>
        <w:jc w:val="both"/>
      </w:pPr>
      <w:r>
        <w:rPr>
          <w:rFonts w:ascii="Times New Roman"/>
          <w:b w:val="false"/>
          <w:i w:val="false"/>
          <w:color w:val="000000"/>
          <w:sz w:val="28"/>
        </w:rPr>
        <w:t>
      30. Поскольку среды и реактивы в условиях культивирования обеспечивают рост клеток или микроорганизмов, которые, как правило, являются монокультурами, особое внимание уделяется стратегии контроля качества для гарантии предупреждения и минимизации бионагрузки и связанного с ней загрязнения метаболитами эндотоксинами. Для высокотехнологичных лекарственных средств (ATMP) на основе клеток, которые, как правило, производятся малыми сериями, риск перекрестной контаминации между клеточными лекарственными препаратами от разных доноров с различным состоянием здоровья контролируется согласно установленным требованиям и процедурам.</w:t>
      </w:r>
    </w:p>
    <w:bookmarkEnd w:id="4476"/>
    <w:bookmarkStart w:name="z4598" w:id="4477"/>
    <w:p>
      <w:pPr>
        <w:spacing w:after="0"/>
        <w:ind w:left="0"/>
        <w:jc w:val="both"/>
      </w:pPr>
      <w:r>
        <w:rPr>
          <w:rFonts w:ascii="Times New Roman"/>
          <w:b w:val="false"/>
          <w:i w:val="false"/>
          <w:color w:val="000000"/>
          <w:sz w:val="28"/>
        </w:rPr>
        <w:t>
      Исходное сырье и материалы</w:t>
      </w:r>
    </w:p>
    <w:bookmarkEnd w:id="4477"/>
    <w:bookmarkStart w:name="z4599" w:id="4478"/>
    <w:p>
      <w:pPr>
        <w:spacing w:after="0"/>
        <w:ind w:left="0"/>
        <w:jc w:val="both"/>
      </w:pPr>
      <w:r>
        <w:rPr>
          <w:rFonts w:ascii="Times New Roman"/>
          <w:b w:val="false"/>
          <w:i w:val="false"/>
          <w:color w:val="000000"/>
          <w:sz w:val="28"/>
        </w:rPr>
        <w:t>
      31. Следует четко определять источник, происхождение и пригодность биологических исходных сырья и материалов (например, криопротекторов, питающий клеток, реагентов, питательных сред, буферов, сывороток, ферментов, цитокинов, факторов роста) для последующего их использования. Если проведение необходимых испытаний занимает много времени, допускается начинать обработку исходного сырья до получения результатов этих испытаний, но для использования этих исходных материалов учитывает их влияние на другие серии в случае выявления несоответствия и оценены риски согласно принципам управления рисками для качества. В таких случаях выдача разрешения на выпуск серии готовой продукции зависит от удовлетворительных результатов испытаний исходного сырья. На основании требований к соответствующим стадиям производства проводиться идентификация всех исходных материалов. Дополнительные руководящие указания для биологических лекарственных препаратов приведены в части I Стандарта надлежащей производственной практики Стандарта надлежащей производственной практики, а для биологических активных фармацевтических субстанций в части II Стандарта надлежащей производственной практики.</w:t>
      </w:r>
    </w:p>
    <w:bookmarkEnd w:id="4478"/>
    <w:bookmarkStart w:name="z4600" w:id="4479"/>
    <w:p>
      <w:pPr>
        <w:spacing w:after="0"/>
        <w:ind w:left="0"/>
        <w:jc w:val="both"/>
      </w:pPr>
      <w:r>
        <w:rPr>
          <w:rFonts w:ascii="Times New Roman"/>
          <w:b w:val="false"/>
          <w:i w:val="false"/>
          <w:color w:val="000000"/>
          <w:sz w:val="28"/>
        </w:rPr>
        <w:t>
      32. При оценке рисков контаминации исходных сырья и материалов во время их прохождения по цепи поставки особое внимание следует уделять риску, связанному с губчатой энцефалопатией животных. Также уделяется внимание материалам, непосредственно контактирующим с технологическим оборудованием или продукцией (например, питательным средам, используемым для моделирования асептического процесса, и смазочным материалам, которые могут контактировать с продуктом).</w:t>
      </w:r>
    </w:p>
    <w:bookmarkEnd w:id="4479"/>
    <w:bookmarkStart w:name="z4601" w:id="4480"/>
    <w:p>
      <w:pPr>
        <w:spacing w:after="0"/>
        <w:ind w:left="0"/>
        <w:jc w:val="both"/>
      </w:pPr>
      <w:r>
        <w:rPr>
          <w:rFonts w:ascii="Times New Roman"/>
          <w:b w:val="false"/>
          <w:i w:val="false"/>
          <w:color w:val="000000"/>
          <w:sz w:val="28"/>
        </w:rPr>
        <w:t>
      33. Вследствие того, что риски внесения контаминации и соответствующие последствия для готового лекарственного препарата не зависят от стадии производства, установление стратегии контроля для защиты продукции, приготовления растворов, буферов и добавляемых компонентов основываются на принципах и руководящих указаниях, содержащихся в соответствующих пунктах приложения № 1 Стандарта надлежащей производственной практики. Особую важность имеют контрольные мероприятия, необходимые для проверки качества исходных материалов, а также для процесса асептического производства продукции на клеточной основе, где финишная стерилизация не является возможной, а способность удаления микробных побочных продуктов ограничена. Когда в регистрационном досье или протоколе клинических исследований установлен допустимый тип и уровень бионагрузки (например, на стадии получения активной фармацевтической субстанции), стратегия контроля предусматривает способы, которыми будет поддерживаться установленный уровень бионагрузки.</w:t>
      </w:r>
    </w:p>
    <w:bookmarkEnd w:id="4480"/>
    <w:bookmarkStart w:name="z4602" w:id="4481"/>
    <w:p>
      <w:pPr>
        <w:spacing w:after="0"/>
        <w:ind w:left="0"/>
        <w:jc w:val="both"/>
      </w:pPr>
      <w:r>
        <w:rPr>
          <w:rFonts w:ascii="Times New Roman"/>
          <w:b w:val="false"/>
          <w:i w:val="false"/>
          <w:color w:val="000000"/>
          <w:sz w:val="28"/>
        </w:rPr>
        <w:t>
      34. При необходимости стерилизации исходного сырья и материалов она по возможности проводятся термическим методом. При необходимости могут также использоваться другие соответствующие методы, использующиеся для инактивации биологических материалов (например, радиация и фильтрация).</w:t>
      </w:r>
    </w:p>
    <w:bookmarkEnd w:id="4481"/>
    <w:bookmarkStart w:name="z4603" w:id="4482"/>
    <w:p>
      <w:pPr>
        <w:spacing w:after="0"/>
        <w:ind w:left="0"/>
        <w:jc w:val="both"/>
      </w:pPr>
      <w:r>
        <w:rPr>
          <w:rFonts w:ascii="Times New Roman"/>
          <w:b w:val="false"/>
          <w:i w:val="false"/>
          <w:color w:val="000000"/>
          <w:sz w:val="28"/>
        </w:rPr>
        <w:t>
      35. Может потребоваться проведение других мероприятий, в частности, использование антибиотиков на ранних этапах производства с целью уменьшения бионагрузки, которая возможна при поставке живых тканей (клеток). Следует по возможности избегать таких мероприятий, но случае необходимости их использование обосновано, а их применение в технологическом процессе прекращается на стадии, указанной в регистрационном досье или протоколе клинических исследований.</w:t>
      </w:r>
    </w:p>
    <w:bookmarkEnd w:id="4482"/>
    <w:bookmarkStart w:name="z4604" w:id="4483"/>
    <w:p>
      <w:pPr>
        <w:spacing w:after="0"/>
        <w:ind w:left="0"/>
        <w:jc w:val="both"/>
      </w:pPr>
      <w:r>
        <w:rPr>
          <w:rFonts w:ascii="Times New Roman"/>
          <w:b w:val="false"/>
          <w:i w:val="false"/>
          <w:color w:val="000000"/>
          <w:sz w:val="28"/>
        </w:rPr>
        <w:t>
      36. Для тканей (клеток) человека, используемых в качестве исходных материалов для биологических лекарственных средств, необходимо учитывать следующие требования:</w:t>
      </w:r>
    </w:p>
    <w:bookmarkEnd w:id="4483"/>
    <w:bookmarkStart w:name="z4605" w:id="4484"/>
    <w:p>
      <w:pPr>
        <w:spacing w:after="0"/>
        <w:ind w:left="0"/>
        <w:jc w:val="both"/>
      </w:pPr>
      <w:r>
        <w:rPr>
          <w:rFonts w:ascii="Times New Roman"/>
          <w:b w:val="false"/>
          <w:i w:val="false"/>
          <w:color w:val="000000"/>
          <w:sz w:val="28"/>
        </w:rPr>
        <w:t>
      a) приобретение, донация и проведение испытаний регулируется законодательством. Учреждения, поставляющие исходное сырье, получают разрешение уполномоченных органов. Наличие необходимых разрешений проверяется в рамках системы управления поставками;</w:t>
      </w:r>
    </w:p>
    <w:bookmarkEnd w:id="4484"/>
    <w:bookmarkStart w:name="z4606" w:id="4485"/>
    <w:p>
      <w:pPr>
        <w:spacing w:after="0"/>
        <w:ind w:left="0"/>
        <w:jc w:val="both"/>
      </w:pPr>
      <w:r>
        <w:rPr>
          <w:rFonts w:ascii="Times New Roman"/>
          <w:b w:val="false"/>
          <w:i w:val="false"/>
          <w:color w:val="000000"/>
          <w:sz w:val="28"/>
        </w:rPr>
        <w:t>
      b) в случаях импортирования тканей (клеток) человека из других стран, соблюдаются соответствующие стандарты контроля качества и безопасности, эквивалентные нормативным правовым актам. Также соблюдаются установленные законодательством требования прослеживаемости и сообщений о серьезных нежелательных реакциях и серьезных нежелательных явлениях;</w:t>
      </w:r>
    </w:p>
    <w:bookmarkEnd w:id="4485"/>
    <w:bookmarkStart w:name="z4607" w:id="4486"/>
    <w:p>
      <w:pPr>
        <w:spacing w:after="0"/>
        <w:ind w:left="0"/>
        <w:jc w:val="both"/>
      </w:pPr>
      <w:r>
        <w:rPr>
          <w:rFonts w:ascii="Times New Roman"/>
          <w:b w:val="false"/>
          <w:i w:val="false"/>
          <w:color w:val="000000"/>
          <w:sz w:val="28"/>
        </w:rPr>
        <w:t>
      c) в некоторых случаях работа с тканями (клетками), используемыми в качестве исходных материалов для биологических лекарственных препаратов, производится в учреждениях по забору (проверке) тканей (например, для создания начальных клеточных банков или клеточных линий, предшествующих созданию главного банка клеток). В этих случаях, в соответствии с законодательством, ответственное лицо отвечает за эти этапы работы;</w:t>
      </w:r>
    </w:p>
    <w:bookmarkEnd w:id="4486"/>
    <w:bookmarkStart w:name="z4608" w:id="4487"/>
    <w:p>
      <w:pPr>
        <w:spacing w:after="0"/>
        <w:ind w:left="0"/>
        <w:jc w:val="both"/>
      </w:pPr>
      <w:r>
        <w:rPr>
          <w:rFonts w:ascii="Times New Roman"/>
          <w:b w:val="false"/>
          <w:i w:val="false"/>
          <w:color w:val="000000"/>
          <w:sz w:val="28"/>
        </w:rPr>
        <w:t>
      d) ответственное лицо в учреждении по забору (проверке) тканей выдает разрешение на использование тканей (клеток) перед их поставкой производителю лекарственного препарата, после чего применяются стандартные процедуры контроля исходных материалов. Результаты испытаний всех тканей (клеток), поставляемых учреждением по забору (проверке) тканей, представляются производителю лекарственного препарата. Данная информация используется для соответствующего разделения материалов и определения способов хранения. В случае необходимости возможна доставка тканей (клеток) производителю лекарственного препарата до получения результатов испытаний от учреждения по забору (проверке) тканей. Это возможно при наличии соответствующих мер контроля для предотвращения перекрестной контаминации тканями (клетками), на что было получено разрешение ответственного лица в учреждении по забору (проверке) тканей;</w:t>
      </w:r>
    </w:p>
    <w:bookmarkEnd w:id="4487"/>
    <w:bookmarkStart w:name="z4609" w:id="4488"/>
    <w:p>
      <w:pPr>
        <w:spacing w:after="0"/>
        <w:ind w:left="0"/>
        <w:jc w:val="both"/>
      </w:pPr>
      <w:r>
        <w:rPr>
          <w:rFonts w:ascii="Times New Roman"/>
          <w:b w:val="false"/>
          <w:i w:val="false"/>
          <w:color w:val="000000"/>
          <w:sz w:val="28"/>
        </w:rPr>
        <w:t>
      е) транспортирование тканей (клеток) человека к производственной площадке осуществляется в соответствии с письменным соглашением между ответственными сторонами. Производственные площадки имеют документальное подтверждение соблюдения соответствующих специфических условий хранения и транспортирования;</w:t>
      </w:r>
    </w:p>
    <w:bookmarkEnd w:id="4488"/>
    <w:bookmarkStart w:name="z4610" w:id="4489"/>
    <w:p>
      <w:pPr>
        <w:spacing w:after="0"/>
        <w:ind w:left="0"/>
        <w:jc w:val="both"/>
      </w:pPr>
      <w:r>
        <w:rPr>
          <w:rFonts w:ascii="Times New Roman"/>
          <w:b w:val="false"/>
          <w:i w:val="false"/>
          <w:color w:val="000000"/>
          <w:sz w:val="28"/>
        </w:rPr>
        <w:t>
      f) соблюдаются требования прослеживаемости, начиная с учреждения по забору (проверке) тканей до доставки получателю, включая материалы, находившиеся в контакте с тканями (клетками);</w:t>
      </w:r>
    </w:p>
    <w:bookmarkEnd w:id="4489"/>
    <w:bookmarkStart w:name="z4611" w:id="4490"/>
    <w:p>
      <w:pPr>
        <w:spacing w:after="0"/>
        <w:ind w:left="0"/>
        <w:jc w:val="both"/>
      </w:pPr>
      <w:r>
        <w:rPr>
          <w:rFonts w:ascii="Times New Roman"/>
          <w:b w:val="false"/>
          <w:i w:val="false"/>
          <w:color w:val="000000"/>
          <w:sz w:val="28"/>
        </w:rPr>
        <w:t>
      g) существует соглашение между ответственными сторонами (например, производителями, учреждениями по забору (проверке) тканей, спонсорами, держателями регистрационных удостоверений), которое определяет сферы ответственности каждой из сторон (включая указание ответственных и Уполномоченных лиц).</w:t>
      </w:r>
    </w:p>
    <w:bookmarkEnd w:id="4490"/>
    <w:bookmarkStart w:name="z4612" w:id="4491"/>
    <w:p>
      <w:pPr>
        <w:spacing w:after="0"/>
        <w:ind w:left="0"/>
        <w:jc w:val="both"/>
      </w:pPr>
      <w:r>
        <w:rPr>
          <w:rFonts w:ascii="Times New Roman"/>
          <w:b w:val="false"/>
          <w:i w:val="false"/>
          <w:color w:val="000000"/>
          <w:sz w:val="28"/>
        </w:rPr>
        <w:t>
      37. В отношении генной терапии необходимо учитывать следующие требования:</w:t>
      </w:r>
    </w:p>
    <w:bookmarkEnd w:id="4491"/>
    <w:bookmarkStart w:name="z4613" w:id="4492"/>
    <w:p>
      <w:pPr>
        <w:spacing w:after="0"/>
        <w:ind w:left="0"/>
        <w:jc w:val="both"/>
      </w:pPr>
      <w:r>
        <w:rPr>
          <w:rFonts w:ascii="Times New Roman"/>
          <w:b w:val="false"/>
          <w:i w:val="false"/>
          <w:color w:val="000000"/>
          <w:sz w:val="28"/>
        </w:rPr>
        <w:t>
      a) для продукции, произведенной с использованием вирусных векторов, исходные материалы являются компонентами, из которых получен вирусный вектор, то есть главный вирусный посевной материал или плазмиды, которые используются для трансфекции пакующих клеток, и главного банка клеток, используемого для линии пакующих клеток;</w:t>
      </w:r>
    </w:p>
    <w:bookmarkEnd w:id="4492"/>
    <w:bookmarkStart w:name="z4614" w:id="4493"/>
    <w:p>
      <w:pPr>
        <w:spacing w:after="0"/>
        <w:ind w:left="0"/>
        <w:jc w:val="both"/>
      </w:pPr>
      <w:r>
        <w:rPr>
          <w:rFonts w:ascii="Times New Roman"/>
          <w:b w:val="false"/>
          <w:i w:val="false"/>
          <w:color w:val="000000"/>
          <w:sz w:val="28"/>
        </w:rPr>
        <w:t>
      b) для продукции, произведенной с использованием плазмид, невирусных векторов и генетически модифицированных микроорганизмов, за исключением вирусов и вирусных векторов, исходными материалами являются компоненты, используемые для создания клеток-продуцентов, то есть плазмиды, бактерия-хозяин и главный банк рекомбинантных микроорганизмов;</w:t>
      </w:r>
    </w:p>
    <w:bookmarkEnd w:id="4493"/>
    <w:bookmarkStart w:name="z4615" w:id="4494"/>
    <w:p>
      <w:pPr>
        <w:spacing w:after="0"/>
        <w:ind w:left="0"/>
        <w:jc w:val="both"/>
      </w:pPr>
      <w:r>
        <w:rPr>
          <w:rFonts w:ascii="Times New Roman"/>
          <w:b w:val="false"/>
          <w:i w:val="false"/>
          <w:color w:val="000000"/>
          <w:sz w:val="28"/>
        </w:rPr>
        <w:t>
      c) для генетически модифицированных клеток исходными материалами являются компоненты, используемые для получения генетически модифицированных клеток, то есть исходные материалы для производства векторов, а также клетки человека или животных;</w:t>
      </w:r>
    </w:p>
    <w:bookmarkEnd w:id="4494"/>
    <w:bookmarkStart w:name="z4616" w:id="4495"/>
    <w:p>
      <w:pPr>
        <w:spacing w:after="0"/>
        <w:ind w:left="0"/>
        <w:jc w:val="both"/>
      </w:pPr>
      <w:r>
        <w:rPr>
          <w:rFonts w:ascii="Times New Roman"/>
          <w:b w:val="false"/>
          <w:i w:val="false"/>
          <w:color w:val="000000"/>
          <w:sz w:val="28"/>
        </w:rPr>
        <w:t>
      d) принципы настоящего Стандарта применяются, начиная от системы банка клеток, используемого для производства вектора или плазмиды, которые используются для переноса генов.</w:t>
      </w:r>
    </w:p>
    <w:bookmarkEnd w:id="4495"/>
    <w:bookmarkStart w:name="z4617" w:id="4496"/>
    <w:p>
      <w:pPr>
        <w:spacing w:after="0"/>
        <w:ind w:left="0"/>
        <w:jc w:val="both"/>
      </w:pPr>
      <w:r>
        <w:rPr>
          <w:rFonts w:ascii="Times New Roman"/>
          <w:b w:val="false"/>
          <w:i w:val="false"/>
          <w:color w:val="000000"/>
          <w:sz w:val="28"/>
        </w:rPr>
        <w:t>
      38. При производственных процессах, в которых клетки человеческого или животного происхождения используются в качестве питающих клеток, проводится соответствующий контроль источников, испытаний, транспортирования и хранения данных материалов, включая контроль в соответствии с требованиями законодательства.</w:t>
      </w:r>
    </w:p>
    <w:bookmarkEnd w:id="4496"/>
    <w:bookmarkStart w:name="z4618" w:id="4497"/>
    <w:p>
      <w:pPr>
        <w:spacing w:after="0"/>
        <w:ind w:left="0"/>
        <w:jc w:val="both"/>
      </w:pPr>
      <w:r>
        <w:rPr>
          <w:rFonts w:ascii="Times New Roman"/>
          <w:b w:val="false"/>
          <w:i w:val="false"/>
          <w:color w:val="000000"/>
          <w:sz w:val="28"/>
        </w:rPr>
        <w:t>
      Система посевной культуры и банка клеток</w:t>
      </w:r>
    </w:p>
    <w:bookmarkEnd w:id="4497"/>
    <w:bookmarkStart w:name="z4619" w:id="4498"/>
    <w:p>
      <w:pPr>
        <w:spacing w:after="0"/>
        <w:ind w:left="0"/>
        <w:jc w:val="both"/>
      </w:pPr>
      <w:r>
        <w:rPr>
          <w:rFonts w:ascii="Times New Roman"/>
          <w:b w:val="false"/>
          <w:i w:val="false"/>
          <w:color w:val="000000"/>
          <w:sz w:val="28"/>
        </w:rPr>
        <w:t>
      39. Для предотвращения нежелательного изменения свойств, которое может произойти вследствие многократных пересевов или большого числа генераций, производство биологических активных фармацевтических субстанций и лекарственных препаратов, получаемых из культур микроорганизмов, культур клеток или размножением в эмбрионах, тканях и органах животных, основано на системе главной и рабочей вирусных посевных культур и (или) банков клеток. Такая система неприменима ко всем типам высокотехнологичных лекарственных средств (ATMP).</w:t>
      </w:r>
    </w:p>
    <w:bookmarkEnd w:id="4498"/>
    <w:bookmarkStart w:name="z4620" w:id="4499"/>
    <w:p>
      <w:pPr>
        <w:spacing w:after="0"/>
        <w:ind w:left="0"/>
        <w:jc w:val="both"/>
      </w:pPr>
      <w:r>
        <w:rPr>
          <w:rFonts w:ascii="Times New Roman"/>
          <w:b w:val="false"/>
          <w:i w:val="false"/>
          <w:color w:val="000000"/>
          <w:sz w:val="28"/>
        </w:rPr>
        <w:t>
      40. Количество генераций (удвоений, пассажей) между посевной культурой или банком клеток и биологической активной фармацевтической субстанцией и лекарственным препаратом соответствует требованиям спецификаций в регистрационном досье или протоколе клинических исследований.</w:t>
      </w:r>
    </w:p>
    <w:bookmarkEnd w:id="4499"/>
    <w:bookmarkStart w:name="z4621" w:id="4500"/>
    <w:p>
      <w:pPr>
        <w:spacing w:after="0"/>
        <w:ind w:left="0"/>
        <w:jc w:val="both"/>
      </w:pPr>
      <w:r>
        <w:rPr>
          <w:rFonts w:ascii="Times New Roman"/>
          <w:b w:val="false"/>
          <w:i w:val="false"/>
          <w:color w:val="000000"/>
          <w:sz w:val="28"/>
        </w:rPr>
        <w:t>
      41. Создание систем посевных культур и банков клеток, включая главные и рабочие посевные культуры, является частью управления жизненным циклом продукции и проводиться в соответствующих условиях. Производственная среда находится под соответствующим контролем для обеспечения безопасности систем посевных культур и банков клеток, а также персонала, работающего с ними. При создании посевных культур и банков клеток не допускается одновременная работа с другими живыми или инфицирующими материалами (например, вирусами, линиями или штаммами клеток) в одной и той же зоне или одного и того же персонала. Доступна документация, позволяющая обеспечивать прослеживаемость стадий, предшествующих генерации главной посевной культуры или главного банка клеток, где применены только принципы настоящего Стандарта. Данная документация включает информацию относительно компонентов, использовавшихся во время разработки и возможно влияющих на безопасность продукции (например, реагенты биологического происхождения), от начального источника и до получения генно-инженерного продукта, если применимо.</w:t>
      </w:r>
    </w:p>
    <w:bookmarkEnd w:id="4500"/>
    <w:bookmarkStart w:name="z4622" w:id="4501"/>
    <w:p>
      <w:pPr>
        <w:spacing w:after="0"/>
        <w:ind w:left="0"/>
        <w:jc w:val="both"/>
      </w:pPr>
      <w:r>
        <w:rPr>
          <w:rFonts w:ascii="Times New Roman"/>
          <w:b w:val="false"/>
          <w:i w:val="false"/>
          <w:color w:val="000000"/>
          <w:sz w:val="28"/>
        </w:rPr>
        <w:t>
      42. После формирования главного и рабочего банков клеток и главной и рабочей посевных культур соблюдается процедуры по карантину и разрешению к использованию. Проведены соответствующие квалификация и испытания в отношении контаминантов. Их дальнейшая пригодность впоследствии подтверждена стабильностью характеристик и качеством последующих серий продукции. Доказательство стабильности и воспроизводимости посевных культур или банков клеток необходимо оформлять документально. Содержание записей позволяет проводить оценку тенденций (трендов).</w:t>
      </w:r>
    </w:p>
    <w:bookmarkEnd w:id="4501"/>
    <w:bookmarkStart w:name="z4623" w:id="4502"/>
    <w:p>
      <w:pPr>
        <w:spacing w:after="0"/>
        <w:ind w:left="0"/>
        <w:jc w:val="both"/>
      </w:pPr>
      <w:r>
        <w:rPr>
          <w:rFonts w:ascii="Times New Roman"/>
          <w:b w:val="false"/>
          <w:i w:val="false"/>
          <w:color w:val="000000"/>
          <w:sz w:val="28"/>
        </w:rPr>
        <w:t>
      43. Посевные культуры и банки клеток следует создавать, хранить использовать таким образом, чтобы риск их контаминации или изменения был минимальным (например, хранить в герметичных контейнерах в жидком азоте). В случае хранения различных посевных культур и банков клеток в одних и тех же зонах или с использованием одного и того же оборудования приняты меры по предотвращению перепутывания и перекрестной контаминации с учетом инфекционной природы материалов.</w:t>
      </w:r>
    </w:p>
    <w:bookmarkEnd w:id="4502"/>
    <w:bookmarkStart w:name="z4624" w:id="4503"/>
    <w:p>
      <w:pPr>
        <w:spacing w:after="0"/>
        <w:ind w:left="0"/>
        <w:jc w:val="both"/>
      </w:pPr>
      <w:r>
        <w:rPr>
          <w:rFonts w:ascii="Times New Roman"/>
          <w:b w:val="false"/>
          <w:i w:val="false"/>
          <w:color w:val="000000"/>
          <w:sz w:val="28"/>
        </w:rPr>
        <w:t>
      44. Лекарственные препараты на основе клеток зачастую производятся из клеточного запаса, полученного из ограниченного количества пассажей. В отличие от двухуровневой системы главных и рабочих банков клеток, количество производственных циклов на основе клеточного запаса ограничено количеством аликвот, полученных после роста, и не распространяется на весь жизненный цикл продукции. Протокол валидации учитывает изменения клеточного запаса.</w:t>
      </w:r>
    </w:p>
    <w:bookmarkEnd w:id="4503"/>
    <w:bookmarkStart w:name="z4625" w:id="4504"/>
    <w:p>
      <w:pPr>
        <w:spacing w:after="0"/>
        <w:ind w:left="0"/>
        <w:jc w:val="both"/>
      </w:pPr>
      <w:r>
        <w:rPr>
          <w:rFonts w:ascii="Times New Roman"/>
          <w:b w:val="false"/>
          <w:i w:val="false"/>
          <w:color w:val="000000"/>
          <w:sz w:val="28"/>
        </w:rPr>
        <w:t>
      45. Емкости для хранения герметично закрыты, четко маркированы; содержатся при соответствующей температуре. Необходимо вести документальный учет хранящихся емкостей. Температуру хранения непрерывно регистрируется, а в установках с жидким азотом контролирует его уровень. Отклонения параметров хранения от установленных пределов и любые предпринятые корректирующие и предупреждающие действия оформляются документально.</w:t>
      </w:r>
    </w:p>
    <w:bookmarkEnd w:id="4504"/>
    <w:bookmarkStart w:name="z4626" w:id="4505"/>
    <w:p>
      <w:pPr>
        <w:spacing w:after="0"/>
        <w:ind w:left="0"/>
        <w:jc w:val="both"/>
      </w:pPr>
      <w:r>
        <w:rPr>
          <w:rFonts w:ascii="Times New Roman"/>
          <w:b w:val="false"/>
          <w:i w:val="false"/>
          <w:color w:val="000000"/>
          <w:sz w:val="28"/>
        </w:rPr>
        <w:t>
      46. Рекомендуется разделять запасы на части и хранить раздельно во избежание полной утраты. Контроль месторасположения обеспечивает выполнение указанных требований.</w:t>
      </w:r>
    </w:p>
    <w:bookmarkEnd w:id="4505"/>
    <w:bookmarkStart w:name="z4627" w:id="4506"/>
    <w:p>
      <w:pPr>
        <w:spacing w:after="0"/>
        <w:ind w:left="0"/>
        <w:jc w:val="both"/>
      </w:pPr>
      <w:r>
        <w:rPr>
          <w:rFonts w:ascii="Times New Roman"/>
          <w:b w:val="false"/>
          <w:i w:val="false"/>
          <w:color w:val="000000"/>
          <w:sz w:val="28"/>
        </w:rPr>
        <w:t>
      47. Условия хранения и обработки запасов определяется согласно тем же самым процедурам и параметрам. После взятия контейнеров из хранилища посевной культуры (банка клеток) не допускается возвращать их в хранилище повторно.</w:t>
      </w:r>
    </w:p>
    <w:bookmarkEnd w:id="4506"/>
    <w:bookmarkStart w:name="z4628" w:id="4507"/>
    <w:p>
      <w:pPr>
        <w:spacing w:after="0"/>
        <w:ind w:left="0"/>
        <w:jc w:val="both"/>
      </w:pPr>
      <w:r>
        <w:rPr>
          <w:rFonts w:ascii="Times New Roman"/>
          <w:b w:val="false"/>
          <w:i w:val="false"/>
          <w:color w:val="000000"/>
          <w:sz w:val="28"/>
        </w:rPr>
        <w:t>
      Принципы работы</w:t>
      </w:r>
    </w:p>
    <w:bookmarkEnd w:id="4507"/>
    <w:bookmarkStart w:name="z4629" w:id="4508"/>
    <w:p>
      <w:pPr>
        <w:spacing w:after="0"/>
        <w:ind w:left="0"/>
        <w:jc w:val="both"/>
      </w:pPr>
      <w:r>
        <w:rPr>
          <w:rFonts w:ascii="Times New Roman"/>
          <w:b w:val="false"/>
          <w:i w:val="false"/>
          <w:color w:val="000000"/>
          <w:sz w:val="28"/>
        </w:rPr>
        <w:t>
      48. При управлении изменениями с установленной периодичностью рассматривается эффекты, включая кумулятивные эффекты изменений (например, в производственных процессах), влияющие на качество, безопасность и эффективность готового лекарственного препарата.</w:t>
      </w:r>
    </w:p>
    <w:bookmarkEnd w:id="4508"/>
    <w:bookmarkStart w:name="z4630" w:id="4509"/>
    <w:p>
      <w:pPr>
        <w:spacing w:after="0"/>
        <w:ind w:left="0"/>
        <w:jc w:val="both"/>
      </w:pPr>
      <w:r>
        <w:rPr>
          <w:rFonts w:ascii="Times New Roman"/>
          <w:b w:val="false"/>
          <w:i w:val="false"/>
          <w:color w:val="000000"/>
          <w:sz w:val="28"/>
        </w:rPr>
        <w:t>
      49. Критические операционные (технологические) или другие исходные параметры, влияющие на качество лекарственного препарата, определены, валидированы, документированы и поддерживается в соответствии с установленными требованиями.</w:t>
      </w:r>
    </w:p>
    <w:bookmarkEnd w:id="4509"/>
    <w:bookmarkStart w:name="z4631" w:id="4510"/>
    <w:p>
      <w:pPr>
        <w:spacing w:after="0"/>
        <w:ind w:left="0"/>
        <w:jc w:val="both"/>
      </w:pPr>
      <w:r>
        <w:rPr>
          <w:rFonts w:ascii="Times New Roman"/>
          <w:b w:val="false"/>
          <w:i w:val="false"/>
          <w:color w:val="000000"/>
          <w:sz w:val="28"/>
        </w:rPr>
        <w:t>
      50. Стратегия контроля поступления сырья и материалов в производственные зоны основывается на принципах управления рисками для качества. Для асептических процессов термостойкие сырье и материалы, попадающие в чистую или чистую и изолированную зону, по возможности, поступать в них через проходной автоклав или сухожаровой шкаф. Нетермостойкие сырье и материалы вносится через воздушные шлюзы с блокировкой дверей, подвергаясь процедурам эффективной санитарной обработки поверхности. Разрешается стерилизация предметов и материалов в другом месте при условии, что они содержат количество оберток, соответствующих числу стадий, необходимых для прохождения в чистую зону, и вносятся в нее через воздушный шлюз с соблюдением соответствующих мер предосторожности путем санитарной обработки поверхности.</w:t>
      </w:r>
    </w:p>
    <w:bookmarkEnd w:id="4510"/>
    <w:bookmarkStart w:name="z4632" w:id="4511"/>
    <w:p>
      <w:pPr>
        <w:spacing w:after="0"/>
        <w:ind w:left="0"/>
        <w:jc w:val="both"/>
      </w:pPr>
      <w:r>
        <w:rPr>
          <w:rFonts w:ascii="Times New Roman"/>
          <w:b w:val="false"/>
          <w:i w:val="false"/>
          <w:color w:val="000000"/>
          <w:sz w:val="28"/>
        </w:rPr>
        <w:t>
      51. Подтверждены ростовые свойства питательных сред с целью доказательства их пригодности для предполагаемого использования. Питательные среды, по возможности, стерилизоваться на месте. При плановой подаче газов, питательных сред, кислот или щелочей, пеногасителей и т. п. к ферментерам по возможности следует использовать стерилизующие фильтры, встроенные в линии подачи.</w:t>
      </w:r>
    </w:p>
    <w:bookmarkEnd w:id="4511"/>
    <w:bookmarkStart w:name="z4633" w:id="4512"/>
    <w:p>
      <w:pPr>
        <w:spacing w:after="0"/>
        <w:ind w:left="0"/>
        <w:jc w:val="both"/>
      </w:pPr>
      <w:r>
        <w:rPr>
          <w:rFonts w:ascii="Times New Roman"/>
          <w:b w:val="false"/>
          <w:i w:val="false"/>
          <w:color w:val="000000"/>
          <w:sz w:val="28"/>
        </w:rPr>
        <w:t>
      52. Добавление веществ или культур в ферментеры и другие сосуды, а также отбор проб из них необходимо проводить в тщательно контролируемых условиях для предотвращения контаминации. При внесении добавок или отборе проб необходимо контролировать правильность подсоединения сосудов.</w:t>
      </w:r>
    </w:p>
    <w:bookmarkEnd w:id="4512"/>
    <w:bookmarkStart w:name="z4634" w:id="4513"/>
    <w:p>
      <w:pPr>
        <w:spacing w:after="0"/>
        <w:ind w:left="0"/>
        <w:jc w:val="both"/>
      </w:pPr>
      <w:r>
        <w:rPr>
          <w:rFonts w:ascii="Times New Roman"/>
          <w:b w:val="false"/>
          <w:i w:val="false"/>
          <w:color w:val="000000"/>
          <w:sz w:val="28"/>
        </w:rPr>
        <w:t>
      53. При необходимости следует вести постоянный контроль некоторых производственных процессов (например, ферментации) с внесением результатов контроля в записи по производству серии. При производстве с использованием метода непрерывного культивирования следует обратить внимание на специальные требования к контролю качества, возникающие в результате выбора такого производственного метода.</w:t>
      </w:r>
    </w:p>
    <w:bookmarkEnd w:id="4513"/>
    <w:bookmarkStart w:name="z4635" w:id="4514"/>
    <w:p>
      <w:pPr>
        <w:spacing w:after="0"/>
        <w:ind w:left="0"/>
        <w:jc w:val="both"/>
      </w:pPr>
      <w:r>
        <w:rPr>
          <w:rFonts w:ascii="Times New Roman"/>
          <w:b w:val="false"/>
          <w:i w:val="false"/>
          <w:color w:val="000000"/>
          <w:sz w:val="28"/>
        </w:rPr>
        <w:t>
      54. Процессы центрифугирования и смешивания продуктов могут привести к образованию аэрозолей, поэтому во избежание перекрестной контаминации эти процессы следует проводить в изолированных зонах.</w:t>
      </w:r>
    </w:p>
    <w:bookmarkEnd w:id="4514"/>
    <w:bookmarkStart w:name="z4636" w:id="4515"/>
    <w:p>
      <w:pPr>
        <w:spacing w:after="0"/>
        <w:ind w:left="0"/>
        <w:jc w:val="both"/>
      </w:pPr>
      <w:r>
        <w:rPr>
          <w:rFonts w:ascii="Times New Roman"/>
          <w:b w:val="false"/>
          <w:i w:val="false"/>
          <w:color w:val="000000"/>
          <w:sz w:val="28"/>
        </w:rPr>
        <w:t>
      55. При случайной утечке, в особенности живых микроорганизмов, принимаются неотложные меры безопасности. Для каждого вида или группы микроорганизмов предусмотрены специальные мероприятия по деконтаминации. При использовании различных штаммов бактерий одного вида или очень похожих вирусов эта процедура может быть валидирована в отношении только одного штамма или вируса, при отсутствии существенных различий в устойчивости к соответствующему агенту (агентам) для деконтаминации.</w:t>
      </w:r>
    </w:p>
    <w:bookmarkEnd w:id="4515"/>
    <w:bookmarkStart w:name="z4637" w:id="4516"/>
    <w:p>
      <w:pPr>
        <w:spacing w:after="0"/>
        <w:ind w:left="0"/>
        <w:jc w:val="both"/>
      </w:pPr>
      <w:r>
        <w:rPr>
          <w:rFonts w:ascii="Times New Roman"/>
          <w:b w:val="false"/>
          <w:i w:val="false"/>
          <w:color w:val="000000"/>
          <w:sz w:val="28"/>
        </w:rPr>
        <w:t>
      56. Если материалы, используемые для производства и контроля, а также бумажные носители информации явно являются контаминированными (например, пролитыми жидкостями, аэрозолями или потенциально опасными микроорганизмами), они соответственно дезинфицируются и информация на бумажных носителях передается иными способами.</w:t>
      </w:r>
    </w:p>
    <w:bookmarkEnd w:id="4516"/>
    <w:bookmarkStart w:name="z4638" w:id="4517"/>
    <w:p>
      <w:pPr>
        <w:spacing w:after="0"/>
        <w:ind w:left="0"/>
        <w:jc w:val="both"/>
      </w:pPr>
      <w:r>
        <w:rPr>
          <w:rFonts w:ascii="Times New Roman"/>
          <w:b w:val="false"/>
          <w:i w:val="false"/>
          <w:color w:val="000000"/>
          <w:sz w:val="28"/>
        </w:rPr>
        <w:t>
      57. При инактивации или удалении вирусов в ходе производства необходимо принимать меры против повторной контаминации обработанной продукции со стороны необработанной продукции.</w:t>
      </w:r>
    </w:p>
    <w:bookmarkEnd w:id="4517"/>
    <w:bookmarkStart w:name="z4639" w:id="4518"/>
    <w:p>
      <w:pPr>
        <w:spacing w:after="0"/>
        <w:ind w:left="0"/>
        <w:jc w:val="both"/>
      </w:pPr>
      <w:r>
        <w:rPr>
          <w:rFonts w:ascii="Times New Roman"/>
          <w:b w:val="false"/>
          <w:i w:val="false"/>
          <w:color w:val="000000"/>
          <w:sz w:val="28"/>
        </w:rPr>
        <w:t>
      58. Для продуктов, инактивируемых при помощи добавления реагентов (например, микроорганизмы в процессе производства вакцин), процесс гарантирует полную инактивацию живых микроорганизмов. После тщательного смешивания культуры и инактивирующего агента учитывается все контактирующие с продуктом поверхности, пребывавшие в контакте с культурой.</w:t>
      </w:r>
    </w:p>
    <w:bookmarkEnd w:id="4518"/>
    <w:bookmarkStart w:name="z4640" w:id="4519"/>
    <w:p>
      <w:pPr>
        <w:spacing w:after="0"/>
        <w:ind w:left="0"/>
        <w:jc w:val="both"/>
      </w:pPr>
      <w:r>
        <w:rPr>
          <w:rFonts w:ascii="Times New Roman"/>
          <w:b w:val="false"/>
          <w:i w:val="false"/>
          <w:color w:val="000000"/>
          <w:sz w:val="28"/>
        </w:rPr>
        <w:t>
      59. При применении хроматографических методов используются разные виды оборудования. Принципы управления рисками для качества соблюдается при разработке стратегии контроля сорбентов, корпусов колонок и другого оборудования при их использовании для производства в режиме кампаний или в помещениях для производства нескольких лекарственных препаратов. Не рекомендуется использование одних и тех же сорбентов на разных технологических стадиях. Следует установить критерии приемлемости, условия работы, методы восстановления, срок службы и методы стерилизации или дезинфекции колонок.</w:t>
      </w:r>
    </w:p>
    <w:bookmarkEnd w:id="4519"/>
    <w:bookmarkStart w:name="z4641" w:id="4520"/>
    <w:p>
      <w:pPr>
        <w:spacing w:after="0"/>
        <w:ind w:left="0"/>
        <w:jc w:val="both"/>
      </w:pPr>
      <w:r>
        <w:rPr>
          <w:rFonts w:ascii="Times New Roman"/>
          <w:b w:val="false"/>
          <w:i w:val="false"/>
          <w:color w:val="000000"/>
          <w:sz w:val="28"/>
        </w:rPr>
        <w:t>
      60. Дополнительные инструкции относительно использования облученных оборудования и материалов приведены в приложении № 12 Стандарта надлежащей производственной практики.</w:t>
      </w:r>
    </w:p>
    <w:bookmarkEnd w:id="4520"/>
    <w:bookmarkStart w:name="z4642" w:id="4521"/>
    <w:p>
      <w:pPr>
        <w:spacing w:after="0"/>
        <w:ind w:left="0"/>
        <w:jc w:val="both"/>
      </w:pPr>
      <w:r>
        <w:rPr>
          <w:rFonts w:ascii="Times New Roman"/>
          <w:b w:val="false"/>
          <w:i w:val="false"/>
          <w:color w:val="000000"/>
          <w:sz w:val="28"/>
        </w:rPr>
        <w:t>
      61. Существует система, гарантирующая целостность и герметичность контейнеров после их наполнения, и предусмотрены процедуры на случай любых утечек или просыпаний (проливов) в случае, если продукт или промежуточный продукт представляют особый риск. Для операций по розливу и упаковке существуют процедуры по соблюдению условий, обеспечивающих поддержание продукта в установленных пределах (например, время и (или) температура).</w:t>
      </w:r>
    </w:p>
    <w:bookmarkEnd w:id="4521"/>
    <w:bookmarkStart w:name="z4643" w:id="4522"/>
    <w:p>
      <w:pPr>
        <w:spacing w:after="0"/>
        <w:ind w:left="0"/>
        <w:jc w:val="both"/>
      </w:pPr>
      <w:r>
        <w:rPr>
          <w:rFonts w:ascii="Times New Roman"/>
          <w:b w:val="false"/>
          <w:i w:val="false"/>
          <w:color w:val="000000"/>
          <w:sz w:val="28"/>
        </w:rPr>
        <w:t>
      62. Работа с контейнерами (ампулами, флаконами и др.), содержащими биологические агенты, проводится таким образом, чтобы избежать контаминации других лекарственных препаратов или проникновения живых агентов в производственную или окружающую среду. Для принятия решения относительно управления указанными рисками приняты во внимание жизнеспособность таких организмов и их биологическая классификация (группа патогенности).</w:t>
      </w:r>
    </w:p>
    <w:bookmarkEnd w:id="4522"/>
    <w:bookmarkStart w:name="z4644" w:id="4523"/>
    <w:p>
      <w:pPr>
        <w:spacing w:after="0"/>
        <w:ind w:left="0"/>
        <w:jc w:val="both"/>
      </w:pPr>
      <w:r>
        <w:rPr>
          <w:rFonts w:ascii="Times New Roman"/>
          <w:b w:val="false"/>
          <w:i w:val="false"/>
          <w:color w:val="000000"/>
          <w:sz w:val="28"/>
        </w:rPr>
        <w:t>
      63. Уделяется должное внимание подготовке, печати, хранению и нанесению этикеток на упаковку, в том числе нанесению на первичную (внутренюю) и вторичную (потребительскую) упаковку специфической информации для пациент-специфических препаратов (продуктов) или об использовании методов генетической инженерии. В случае если высокотехнологичные лекарственные средства (ATMP) предназначены для аутологичного применения, на этикетке указывается уникальный идентификатор пациента и надпись: "Только для аутологичного применения". Если вторичная (потребительская) упаковка отсутствует, данная информация указывается на первичной (внутренней) упаковке.</w:t>
      </w:r>
    </w:p>
    <w:bookmarkEnd w:id="4523"/>
    <w:bookmarkStart w:name="z4645" w:id="4524"/>
    <w:p>
      <w:pPr>
        <w:spacing w:after="0"/>
        <w:ind w:left="0"/>
        <w:jc w:val="both"/>
      </w:pPr>
      <w:r>
        <w:rPr>
          <w:rFonts w:ascii="Times New Roman"/>
          <w:b w:val="false"/>
          <w:i w:val="false"/>
          <w:color w:val="000000"/>
          <w:sz w:val="28"/>
        </w:rPr>
        <w:t>
      64. В случае использования сверхнизких температур хранения подтверждается устойчивость маркировки к используемым температурам.</w:t>
      </w:r>
    </w:p>
    <w:bookmarkEnd w:id="4524"/>
    <w:bookmarkStart w:name="z4646" w:id="4525"/>
    <w:p>
      <w:pPr>
        <w:spacing w:after="0"/>
        <w:ind w:left="0"/>
        <w:jc w:val="both"/>
      </w:pPr>
      <w:r>
        <w:rPr>
          <w:rFonts w:ascii="Times New Roman"/>
          <w:b w:val="false"/>
          <w:i w:val="false"/>
          <w:color w:val="000000"/>
          <w:sz w:val="28"/>
        </w:rPr>
        <w:t>
      65. Когда информация о состоянии здоровья донора (человека или животного), имеющая значение для качества продукции, становится доступной после закупки, это учитывается в процедурах отзыва.</w:t>
      </w:r>
    </w:p>
    <w:bookmarkEnd w:id="4525"/>
    <w:bookmarkStart w:name="z4647" w:id="4526"/>
    <w:p>
      <w:pPr>
        <w:spacing w:after="0"/>
        <w:ind w:left="0"/>
        <w:jc w:val="both"/>
      </w:pPr>
      <w:r>
        <w:rPr>
          <w:rFonts w:ascii="Times New Roman"/>
          <w:b w:val="false"/>
          <w:i w:val="false"/>
          <w:color w:val="000000"/>
          <w:sz w:val="28"/>
        </w:rPr>
        <w:t>
      Контроль качества</w:t>
      </w:r>
    </w:p>
    <w:bookmarkEnd w:id="4526"/>
    <w:bookmarkStart w:name="z4648" w:id="4527"/>
    <w:p>
      <w:pPr>
        <w:spacing w:after="0"/>
        <w:ind w:left="0"/>
        <w:jc w:val="both"/>
      </w:pPr>
      <w:r>
        <w:rPr>
          <w:rFonts w:ascii="Times New Roman"/>
          <w:b w:val="false"/>
          <w:i w:val="false"/>
          <w:color w:val="000000"/>
          <w:sz w:val="28"/>
        </w:rPr>
        <w:t>
      66. Контроль в процессе производства является более важным для обеспечения стабильности качества биологических активных фармацевтических субстанций и лекарственных препаратов, чем для других лекарственных препаратов. Межоперационный контроль осуществляется на соответствующих стадиях производства с целью контроля условий, являющихся важными для качества готового продукта.</w:t>
      </w:r>
    </w:p>
    <w:bookmarkEnd w:id="4527"/>
    <w:bookmarkStart w:name="z4649" w:id="4528"/>
    <w:p>
      <w:pPr>
        <w:spacing w:after="0"/>
        <w:ind w:left="0"/>
        <w:jc w:val="both"/>
      </w:pPr>
      <w:r>
        <w:rPr>
          <w:rFonts w:ascii="Times New Roman"/>
          <w:b w:val="false"/>
          <w:i w:val="false"/>
          <w:color w:val="000000"/>
          <w:sz w:val="28"/>
        </w:rPr>
        <w:t>
      67. В случаях, когда промежуточные продукты могут храниться длительное время (дни, недели или дольше), рассмотрена возможность включения в текущую программу испытания стабильности серий готовой продукции, которые произведены из промежуточных продуктов с максимальным периодом хранения в процессе производства.</w:t>
      </w:r>
    </w:p>
    <w:bookmarkEnd w:id="4528"/>
    <w:bookmarkStart w:name="z4650" w:id="4529"/>
    <w:p>
      <w:pPr>
        <w:spacing w:after="0"/>
        <w:ind w:left="0"/>
        <w:jc w:val="both"/>
      </w:pPr>
      <w:r>
        <w:rPr>
          <w:rFonts w:ascii="Times New Roman"/>
          <w:b w:val="false"/>
          <w:i w:val="false"/>
          <w:color w:val="000000"/>
          <w:sz w:val="28"/>
        </w:rPr>
        <w:t>
      68. Для определенных типов клеток (например, аутологичные клетки, используемые в производстве высокотехнологичных лекарственных средств (ATMP)), которые могут быть доступными в ограниченных количествах и в случае, если это допускается регистрационным досье, проведение испытаний и порядок хранения контрольных образцов могут быть изменены, что оформляется документально.</w:t>
      </w:r>
    </w:p>
    <w:bookmarkEnd w:id="4529"/>
    <w:bookmarkStart w:name="z4651" w:id="4530"/>
    <w:p>
      <w:pPr>
        <w:spacing w:after="0"/>
        <w:ind w:left="0"/>
        <w:jc w:val="both"/>
      </w:pPr>
      <w:r>
        <w:rPr>
          <w:rFonts w:ascii="Times New Roman"/>
          <w:b w:val="false"/>
          <w:i w:val="false"/>
          <w:color w:val="000000"/>
          <w:sz w:val="28"/>
        </w:rPr>
        <w:t>
      69. В отношении клеточных высокотехнологичных лекарственных средств тесты на стерильность проводится на культурах клеток или банках клеток, свободных от антибиотиков, для получения доказательства отсутствия контаминации бактериями и грибами, а также для возможности обнаружения организмов, требующих специальных условий культивирования (при необходимости).</w:t>
      </w:r>
    </w:p>
    <w:bookmarkEnd w:id="4530"/>
    <w:bookmarkStart w:name="z4652" w:id="4531"/>
    <w:p>
      <w:pPr>
        <w:spacing w:after="0"/>
        <w:ind w:left="0"/>
        <w:jc w:val="both"/>
      </w:pPr>
      <w:r>
        <w:rPr>
          <w:rFonts w:ascii="Times New Roman"/>
          <w:b w:val="false"/>
          <w:i w:val="false"/>
          <w:color w:val="000000"/>
          <w:sz w:val="28"/>
        </w:rPr>
        <w:t>
      70. Соответствующая стратегия контроля осуществляется для производства биологических лекарственных препаратов с коротким сроком годности (до 14 дней), для которых требуется выпуск серии еще до окончания проведения испытаний качества всей партии готовой продукции (например, исследование стерильности). Такой контроль основан на глубоком понимании свойств лекарственного препарата и производственного процесса и принимается во внимание контроль и характерные свойства исходного сырья и материалов. Необходимо наличие четкого и полного описания всей процедуры выпуска, включающего перечень обязанностей отдельных сотрудников, вовлеченных в оценку производственных и аналитических данных. проводится непрерывная оценка эффективности системы обеспечения качества, включая ведение записей, позволяющих оценивать тенденции (тренды). Предусмотрены альтернативные методы (например, быстрые микробиологические методы) получения соответствующих результатов, позволяющих проводить предварительное подтверждение соответствия серий в случаях, если невозможно провести испытания готового лекарственного препарата из-за его короткого срока годности. Процедура подтверждения соответствия и выпуска серии может проводиться путем осуществления двух и более стадий:</w:t>
      </w:r>
    </w:p>
    <w:bookmarkEnd w:id="4531"/>
    <w:bookmarkStart w:name="z4653" w:id="4532"/>
    <w:p>
      <w:pPr>
        <w:spacing w:after="0"/>
        <w:ind w:left="0"/>
        <w:jc w:val="both"/>
      </w:pPr>
      <w:r>
        <w:rPr>
          <w:rFonts w:ascii="Times New Roman"/>
          <w:b w:val="false"/>
          <w:i w:val="false"/>
          <w:color w:val="000000"/>
          <w:sz w:val="28"/>
        </w:rPr>
        <w:t>
      а) оценка ответственным лицом записей, касающихся процесса производства серии, и результатов мониторинга производственной среды (при необходимости), которые включают условия производства, все отклонения от стандартных процедур и существующие аналитические результаты для первичного разрешения серии продукта к выпуску Уполномоченным лицом;</w:t>
      </w:r>
    </w:p>
    <w:bookmarkEnd w:id="4532"/>
    <w:bookmarkStart w:name="z4654" w:id="4533"/>
    <w:p>
      <w:pPr>
        <w:spacing w:after="0"/>
        <w:ind w:left="0"/>
        <w:jc w:val="both"/>
      </w:pPr>
      <w:r>
        <w:rPr>
          <w:rFonts w:ascii="Times New Roman"/>
          <w:b w:val="false"/>
          <w:i w:val="false"/>
          <w:color w:val="000000"/>
          <w:sz w:val="28"/>
        </w:rPr>
        <w:t>
      b) оценка Уполномоченным лицом результатов окончательных аналитических испытаний и другой доступной информации для заключительного подтверждения соответствия серии установленным требованиям.</w:t>
      </w:r>
    </w:p>
    <w:bookmarkEnd w:id="4533"/>
    <w:bookmarkStart w:name="z4655" w:id="4534"/>
    <w:p>
      <w:pPr>
        <w:spacing w:after="0"/>
        <w:ind w:left="0"/>
        <w:jc w:val="both"/>
      </w:pPr>
      <w:r>
        <w:rPr>
          <w:rFonts w:ascii="Times New Roman"/>
          <w:b w:val="false"/>
          <w:i w:val="false"/>
          <w:color w:val="000000"/>
          <w:sz w:val="28"/>
        </w:rPr>
        <w:t>
      Предусмотрена процедура, описывающая необходимые мероприятия (включая взаимодействие с медицинскими работниками), в случае получения результатов испытаний, выходящих за границы спецификаций. Такие случаи расследуются в полном объеме. Соответствующие корректирующие и предупреждающие действия, направленные на предотвращение возможности повторения таких случаев, регистрируются в форме письменного документа.</w:t>
      </w:r>
    </w:p>
    <w:bookmarkEnd w:id="4534"/>
    <w:bookmarkStart w:name="z4656" w:id="4535"/>
    <w:p>
      <w:pPr>
        <w:spacing w:after="0"/>
        <w:ind w:left="0"/>
        <w:jc w:val="both"/>
      </w:pPr>
      <w:r>
        <w:rPr>
          <w:rFonts w:ascii="Times New Roman"/>
          <w:b w:val="false"/>
          <w:i w:val="false"/>
          <w:color w:val="000000"/>
          <w:sz w:val="28"/>
        </w:rPr>
        <w:t>
      Часть B. Специальное руководство по отдельным типам продукции</w:t>
      </w:r>
    </w:p>
    <w:bookmarkEnd w:id="4535"/>
    <w:bookmarkStart w:name="z4657" w:id="4536"/>
    <w:p>
      <w:pPr>
        <w:spacing w:after="0"/>
        <w:ind w:left="0"/>
        <w:jc w:val="both"/>
      </w:pPr>
      <w:r>
        <w:rPr>
          <w:rFonts w:ascii="Times New Roman"/>
          <w:b w:val="false"/>
          <w:i w:val="false"/>
          <w:color w:val="000000"/>
          <w:sz w:val="28"/>
        </w:rPr>
        <w:t>
      B1. Лекарственные препараты животного происхождения</w:t>
      </w:r>
    </w:p>
    <w:bookmarkEnd w:id="4536"/>
    <w:bookmarkStart w:name="z4658" w:id="4537"/>
    <w:p>
      <w:pPr>
        <w:spacing w:after="0"/>
        <w:ind w:left="0"/>
        <w:jc w:val="both"/>
      </w:pPr>
      <w:r>
        <w:rPr>
          <w:rFonts w:ascii="Times New Roman"/>
          <w:b w:val="false"/>
          <w:i w:val="false"/>
          <w:color w:val="000000"/>
          <w:sz w:val="28"/>
        </w:rPr>
        <w:t>
      Настоящая часть применяется в отношении материалов животного происхождения, в том числе материалов, полученных из таких учреждений, как скотобойни. Поскольку цепи поставки могут быть обширными и сложными, применяются средства контроля, основанные на принципах управления рисками для качества. При этом необходимо учитывать фармакопейные требования, включая проведение соответствующих испытаний на определенных стадиях. Ведется соответствующая документация, обеспечивающая прослеживаемость цепи поставки с четким указанием роли каждого участника цепи поставки, включая, как правило, достаточно подробное описание схемы поставок.</w:t>
      </w:r>
    </w:p>
    <w:bookmarkEnd w:id="4537"/>
    <w:bookmarkStart w:name="z4659" w:id="4538"/>
    <w:p>
      <w:pPr>
        <w:spacing w:after="0"/>
        <w:ind w:left="0"/>
        <w:jc w:val="both"/>
      </w:pPr>
      <w:r>
        <w:rPr>
          <w:rFonts w:ascii="Times New Roman"/>
          <w:b w:val="false"/>
          <w:i w:val="false"/>
          <w:color w:val="000000"/>
          <w:sz w:val="28"/>
        </w:rPr>
        <w:t>
      1. Необходимо наличие программ мониторинга опасных для человека болезней животных (ветеринарное освидетельствование). При оценке факторов риска принимаются во внимание сообщения от заслуживающих доверие источников относительно распространенности заболевания на территории государства. Одной из организаций, осуществляющих мониторинг заболеваемости животных в мире, является Международное эпизоотическое бюро. Сообщения сопровождается информацией о проверке состояния здоровья животных и программе (программах) контроля на государственном и местном уровнях. Последнее включает в себя мероприятия по контролю источников (например, фермы или загоны для скота), из которых получены животные, и контролю во время транспортирования животных на скотобойню.</w:t>
      </w:r>
    </w:p>
    <w:bookmarkEnd w:id="4538"/>
    <w:bookmarkStart w:name="z4660" w:id="4539"/>
    <w:p>
      <w:pPr>
        <w:spacing w:after="0"/>
        <w:ind w:left="0"/>
        <w:jc w:val="both"/>
      </w:pPr>
      <w:r>
        <w:rPr>
          <w:rFonts w:ascii="Times New Roman"/>
          <w:b w:val="false"/>
          <w:i w:val="false"/>
          <w:color w:val="000000"/>
          <w:sz w:val="28"/>
        </w:rPr>
        <w:t>
      2. Скотобойни соответствуют требованиям законодательства при использовании их в качестве поставщиков тканей животных. Приняты во внимание отчеты уполномоченных органов, подтверждающие соблюдение требований безопасности и качества кормов, и соответствие законодательству относительно животных и растений.</w:t>
      </w:r>
    </w:p>
    <w:bookmarkEnd w:id="4539"/>
    <w:bookmarkStart w:name="z4661" w:id="4540"/>
    <w:p>
      <w:pPr>
        <w:spacing w:after="0"/>
        <w:ind w:left="0"/>
        <w:jc w:val="both"/>
      </w:pPr>
      <w:r>
        <w:rPr>
          <w:rFonts w:ascii="Times New Roman"/>
          <w:b w:val="false"/>
          <w:i w:val="false"/>
          <w:color w:val="000000"/>
          <w:sz w:val="28"/>
        </w:rPr>
        <w:t>
      3. Мероприятия по контролю исходного сырья и материалов в таких организациях, как скотобойни, включает в себя определенные элементы системы управления качеством для обеспечения удовлетворительного уровня профессиональной подготовки персонала, прослеживаемости материалов, контроля и стабильности. Применяются меры, не предусмотренные законодательством при условии, что они обеспечивают соответствующий уровень контроля.</w:t>
      </w:r>
    </w:p>
    <w:bookmarkEnd w:id="4540"/>
    <w:bookmarkStart w:name="z4662" w:id="4541"/>
    <w:p>
      <w:pPr>
        <w:spacing w:after="0"/>
        <w:ind w:left="0"/>
        <w:jc w:val="both"/>
      </w:pPr>
      <w:r>
        <w:rPr>
          <w:rFonts w:ascii="Times New Roman"/>
          <w:b w:val="false"/>
          <w:i w:val="false"/>
          <w:color w:val="000000"/>
          <w:sz w:val="28"/>
        </w:rPr>
        <w:t>
      4. Предусмотрены мероприятия по контролю исходного сырья и материалов, обеспечивающие предотвращение вмешательств, влияющих на качество материалов, или, по меньшей мере, предоставляющие информацию о проведении таких мероприятий при продвижении исходных материалов или сырья по производственной цепочке или цепочке поставки. Указанные мероприятия проводится в отношении перемещения материалов от мест первичного сбора, проведения частичной и полной очистки до мест хранения, накопления, размещения и нахождения у посредников. Следует вести детальную регистрацию проведенных мероприятий в рамках системы, обеспечивающей прослеживаемость продукции, включая регистрацию любых нарушений, связанных с ними расследований и принятых мер.</w:t>
      </w:r>
    </w:p>
    <w:bookmarkEnd w:id="4541"/>
    <w:bookmarkStart w:name="z4663" w:id="4542"/>
    <w:p>
      <w:pPr>
        <w:spacing w:after="0"/>
        <w:ind w:left="0"/>
        <w:jc w:val="both"/>
      </w:pPr>
      <w:r>
        <w:rPr>
          <w:rFonts w:ascii="Times New Roman"/>
          <w:b w:val="false"/>
          <w:i w:val="false"/>
          <w:color w:val="000000"/>
          <w:sz w:val="28"/>
        </w:rPr>
        <w:t>
      5. Проводится постоянные аудиты поставщиков исходного сырья и материалов, подтверждающие соблюдение требований контроля материалов на разных стадиях производства. В наличии полная документация о расследованиях происшествий, проведенных с тщательностью, соответствующей значимости происшествий. Существует системы, обеспечивающие проведение эффективных корректирующих и предупреждающих действий.</w:t>
      </w:r>
    </w:p>
    <w:bookmarkEnd w:id="4542"/>
    <w:bookmarkStart w:name="z4664" w:id="4543"/>
    <w:p>
      <w:pPr>
        <w:spacing w:after="0"/>
        <w:ind w:left="0"/>
        <w:jc w:val="both"/>
      </w:pPr>
      <w:r>
        <w:rPr>
          <w:rFonts w:ascii="Times New Roman"/>
          <w:b w:val="false"/>
          <w:i w:val="false"/>
          <w:color w:val="000000"/>
          <w:sz w:val="28"/>
        </w:rPr>
        <w:t>
      6. Ткани (клетки) и органы, используемые для производства ксеногенных клеточных лекарственных препаратов, получены исключительно от животных, которые содержатся в неволе изолированно от других животных и выращены специально для этих целей. Не допускается использование тканей (клеток) и органов диких животных или животных со скотобоен, а также тканей животных-основателей (животный организм, несущий чужеродный ген). Следует вести наблюдение и документацию относительно состояния здоровья животных.</w:t>
      </w:r>
    </w:p>
    <w:bookmarkEnd w:id="4543"/>
    <w:bookmarkStart w:name="z4665" w:id="4544"/>
    <w:p>
      <w:pPr>
        <w:spacing w:after="0"/>
        <w:ind w:left="0"/>
        <w:jc w:val="both"/>
      </w:pPr>
      <w:r>
        <w:rPr>
          <w:rFonts w:ascii="Times New Roman"/>
          <w:b w:val="false"/>
          <w:i w:val="false"/>
          <w:color w:val="000000"/>
          <w:sz w:val="28"/>
        </w:rPr>
        <w:t>
      7. При ксеногенной клеточной терапии соблюдаются соответствующие рекомендации относительно поставки и испытаний клеток животных. Требования относительно ксеногенных лекарственных препаратов предусматриваются соответствующими актами.</w:t>
      </w:r>
    </w:p>
    <w:bookmarkEnd w:id="4544"/>
    <w:bookmarkStart w:name="z4666" w:id="4545"/>
    <w:p>
      <w:pPr>
        <w:spacing w:after="0"/>
        <w:ind w:left="0"/>
        <w:jc w:val="both"/>
      </w:pPr>
      <w:r>
        <w:rPr>
          <w:rFonts w:ascii="Times New Roman"/>
          <w:b w:val="false"/>
          <w:i w:val="false"/>
          <w:color w:val="000000"/>
          <w:sz w:val="28"/>
        </w:rPr>
        <w:t>
      B2. Лекарственные препараты аллергенов</w:t>
      </w:r>
    </w:p>
    <w:bookmarkEnd w:id="4545"/>
    <w:bookmarkStart w:name="z4667" w:id="4546"/>
    <w:p>
      <w:pPr>
        <w:spacing w:after="0"/>
        <w:ind w:left="0"/>
        <w:jc w:val="both"/>
      </w:pPr>
      <w:r>
        <w:rPr>
          <w:rFonts w:ascii="Times New Roman"/>
          <w:b w:val="false"/>
          <w:i w:val="false"/>
          <w:color w:val="000000"/>
          <w:sz w:val="28"/>
        </w:rPr>
        <w:t>
      Материалы могут быть произведены путем извлечения из естественных источников или с использованием технологии рекомбинантной ДНК:</w:t>
      </w:r>
    </w:p>
    <w:bookmarkEnd w:id="4546"/>
    <w:bookmarkStart w:name="z4668" w:id="4547"/>
    <w:p>
      <w:pPr>
        <w:spacing w:after="0"/>
        <w:ind w:left="0"/>
        <w:jc w:val="both"/>
      </w:pPr>
      <w:r>
        <w:rPr>
          <w:rFonts w:ascii="Times New Roman"/>
          <w:b w:val="false"/>
          <w:i w:val="false"/>
          <w:color w:val="000000"/>
          <w:sz w:val="28"/>
        </w:rPr>
        <w:t>
      1. Для гарантии соответствия поставки исходных материалов существует их описание, включающее в себя необходимые сведения (например, общепринятое и научное название, происхождение, природа, пределы содержания контаминантов, метод забора таких материалов). Животные материалы получены от здоровых животных. Для колоний (например, клещей, животных), которые используются для экстракции аллергенов, существует соответствующая система контроля, обеспечивающая биологическую безопасность. Лекарственные препараты аллергенов хранятся в соответствующих условиях, обеспечивающих их качество.</w:t>
      </w:r>
    </w:p>
    <w:bookmarkEnd w:id="4547"/>
    <w:bookmarkStart w:name="z4669" w:id="4548"/>
    <w:p>
      <w:pPr>
        <w:spacing w:after="0"/>
        <w:ind w:left="0"/>
        <w:jc w:val="both"/>
      </w:pPr>
      <w:r>
        <w:rPr>
          <w:rFonts w:ascii="Times New Roman"/>
          <w:b w:val="false"/>
          <w:i w:val="false"/>
          <w:color w:val="000000"/>
          <w:sz w:val="28"/>
        </w:rPr>
        <w:t>
      2. Стадии технологического процесса, включающие в себя предварительную обработку, экстракцию, фильтрацию, диализ, концентрирование или лиофилизацию, детально описаны валидированы.</w:t>
      </w:r>
    </w:p>
    <w:bookmarkEnd w:id="4548"/>
    <w:bookmarkStart w:name="z4670" w:id="4549"/>
    <w:p>
      <w:pPr>
        <w:spacing w:after="0"/>
        <w:ind w:left="0"/>
        <w:jc w:val="both"/>
      </w:pPr>
      <w:r>
        <w:rPr>
          <w:rFonts w:ascii="Times New Roman"/>
          <w:b w:val="false"/>
          <w:i w:val="false"/>
          <w:color w:val="000000"/>
          <w:sz w:val="28"/>
        </w:rPr>
        <w:t>
      3. Процессы модификации, используемые для производства модифицированных экстрактов аллергенов (например, аллергоидов, конъюгатов), описаны в соответствующей документации. Промежуточные продукты в технологическом процессе идентифицирируются и контролируются.</w:t>
      </w:r>
    </w:p>
    <w:bookmarkEnd w:id="4549"/>
    <w:bookmarkStart w:name="z4671" w:id="4550"/>
    <w:p>
      <w:pPr>
        <w:spacing w:after="0"/>
        <w:ind w:left="0"/>
        <w:jc w:val="both"/>
      </w:pPr>
      <w:r>
        <w:rPr>
          <w:rFonts w:ascii="Times New Roman"/>
          <w:b w:val="false"/>
          <w:i w:val="false"/>
          <w:color w:val="000000"/>
          <w:sz w:val="28"/>
        </w:rPr>
        <w:t>
      4. Смеси экстрактов аллергенов приготовлены из отдельных экстрактов исходных материалов, полученных из одного источника. Каждый отдельный экстракт определен как отдельная активная фармацевтическая субстанция.</w:t>
      </w:r>
    </w:p>
    <w:bookmarkEnd w:id="4550"/>
    <w:bookmarkStart w:name="z4672" w:id="4551"/>
    <w:p>
      <w:pPr>
        <w:spacing w:after="0"/>
        <w:ind w:left="0"/>
        <w:jc w:val="both"/>
      </w:pPr>
      <w:r>
        <w:rPr>
          <w:rFonts w:ascii="Times New Roman"/>
          <w:b w:val="false"/>
          <w:i w:val="false"/>
          <w:color w:val="000000"/>
          <w:sz w:val="28"/>
        </w:rPr>
        <w:t>
      B3. Лекарственные препараты иммунных сывороток животных</w:t>
      </w:r>
    </w:p>
    <w:bookmarkEnd w:id="4551"/>
    <w:bookmarkStart w:name="z4673" w:id="4552"/>
    <w:p>
      <w:pPr>
        <w:spacing w:after="0"/>
        <w:ind w:left="0"/>
        <w:jc w:val="both"/>
      </w:pPr>
      <w:r>
        <w:rPr>
          <w:rFonts w:ascii="Times New Roman"/>
          <w:b w:val="false"/>
          <w:i w:val="false"/>
          <w:color w:val="000000"/>
          <w:sz w:val="28"/>
        </w:rPr>
        <w:t>
      1. Особое внимание уделяется контролю антигенов биологического происхождения для гарантии их качества, постоянства отсутствия побочных агентов. Подготовка материалов, используемых для иммунизации животных (например, использование (введение) антигенов, гаптен-носителей, адъювантов, стабилизирующих агентов), и хранение таких материалов непосредственно перед иммунизацией производится в соответствии с процедурами, принятыми в форме письменного документа.</w:t>
      </w:r>
    </w:p>
    <w:bookmarkEnd w:id="4552"/>
    <w:bookmarkStart w:name="z4674" w:id="4553"/>
    <w:p>
      <w:pPr>
        <w:spacing w:after="0"/>
        <w:ind w:left="0"/>
        <w:jc w:val="both"/>
      </w:pPr>
      <w:r>
        <w:rPr>
          <w:rFonts w:ascii="Times New Roman"/>
          <w:b w:val="false"/>
          <w:i w:val="false"/>
          <w:color w:val="000000"/>
          <w:sz w:val="28"/>
        </w:rPr>
        <w:t>
      2. Процедуры иммунизации, исследования крови и забора крови проводится в соответствии с регистрационным досье.</w:t>
      </w:r>
    </w:p>
    <w:bookmarkEnd w:id="4553"/>
    <w:bookmarkStart w:name="z4675" w:id="4554"/>
    <w:p>
      <w:pPr>
        <w:spacing w:after="0"/>
        <w:ind w:left="0"/>
        <w:jc w:val="both"/>
      </w:pPr>
      <w:r>
        <w:rPr>
          <w:rFonts w:ascii="Times New Roman"/>
          <w:b w:val="false"/>
          <w:i w:val="false"/>
          <w:color w:val="000000"/>
          <w:sz w:val="28"/>
        </w:rPr>
        <w:t>
      3. Условия производства лекарственных препаратов из субфрагментов антител (например, участки связывания антигена Fab и F(ab’)2) и любые дальнейшие модификации соответствуют валидированным и утвержденным параметрам. Если ферменты, используемые при производстве, состоят из нескольких компонентов, обеспечивается их стабильность.</w:t>
      </w:r>
    </w:p>
    <w:bookmarkEnd w:id="4554"/>
    <w:bookmarkStart w:name="z4676" w:id="4555"/>
    <w:p>
      <w:pPr>
        <w:spacing w:after="0"/>
        <w:ind w:left="0"/>
        <w:jc w:val="both"/>
      </w:pPr>
      <w:r>
        <w:rPr>
          <w:rFonts w:ascii="Times New Roman"/>
          <w:b w:val="false"/>
          <w:i w:val="false"/>
          <w:color w:val="000000"/>
          <w:sz w:val="28"/>
        </w:rPr>
        <w:t>
      B4. Вакцины</w:t>
      </w:r>
    </w:p>
    <w:bookmarkEnd w:id="4555"/>
    <w:bookmarkStart w:name="z4677" w:id="4556"/>
    <w:p>
      <w:pPr>
        <w:spacing w:after="0"/>
        <w:ind w:left="0"/>
        <w:jc w:val="both"/>
      </w:pPr>
      <w:r>
        <w:rPr>
          <w:rFonts w:ascii="Times New Roman"/>
          <w:b w:val="false"/>
          <w:i w:val="false"/>
          <w:color w:val="000000"/>
          <w:sz w:val="28"/>
        </w:rPr>
        <w:t>
      1. При использовании эмбрионов птиц обеспечивается здоровье всех стай, используемых для их получения (для стай, свободных от специфических патогенов, и для здоровых стай).</w:t>
      </w:r>
    </w:p>
    <w:bookmarkEnd w:id="4556"/>
    <w:bookmarkStart w:name="z4678" w:id="4557"/>
    <w:p>
      <w:pPr>
        <w:spacing w:after="0"/>
        <w:ind w:left="0"/>
        <w:jc w:val="both"/>
      </w:pPr>
      <w:r>
        <w:rPr>
          <w:rFonts w:ascii="Times New Roman"/>
          <w:b w:val="false"/>
          <w:i w:val="false"/>
          <w:color w:val="000000"/>
          <w:sz w:val="28"/>
        </w:rPr>
        <w:t>
      2. Проводится валидация целостности контейнеров, используемых для хранения промежуточных продуктов, и времени их хранения.</w:t>
      </w:r>
    </w:p>
    <w:bookmarkEnd w:id="4557"/>
    <w:bookmarkStart w:name="z4679" w:id="4558"/>
    <w:p>
      <w:pPr>
        <w:spacing w:after="0"/>
        <w:ind w:left="0"/>
        <w:jc w:val="both"/>
      </w:pPr>
      <w:r>
        <w:rPr>
          <w:rFonts w:ascii="Times New Roman"/>
          <w:b w:val="false"/>
          <w:i w:val="false"/>
          <w:color w:val="000000"/>
          <w:sz w:val="28"/>
        </w:rPr>
        <w:t>
      3. В зонах, содержащих живые биологические агенты, запрещается открывание сосудов, содержащих инактивированные лекарственные препараты, и отбор проб из них.</w:t>
      </w:r>
    </w:p>
    <w:bookmarkEnd w:id="4558"/>
    <w:bookmarkStart w:name="z4680" w:id="4559"/>
    <w:p>
      <w:pPr>
        <w:spacing w:after="0"/>
        <w:ind w:left="0"/>
        <w:jc w:val="both"/>
      </w:pPr>
      <w:r>
        <w:rPr>
          <w:rFonts w:ascii="Times New Roman"/>
          <w:b w:val="false"/>
          <w:i w:val="false"/>
          <w:color w:val="000000"/>
          <w:sz w:val="28"/>
        </w:rPr>
        <w:t>
      4. Последовательность прибавления активных компонентов, адъювантов и вспомогательных веществ в процессе производства промежуточного или готового продукта соответствует технологическим инструкциям.</w:t>
      </w:r>
    </w:p>
    <w:bookmarkEnd w:id="4559"/>
    <w:bookmarkStart w:name="z4681" w:id="4560"/>
    <w:p>
      <w:pPr>
        <w:spacing w:after="0"/>
        <w:ind w:left="0"/>
        <w:jc w:val="both"/>
      </w:pPr>
      <w:r>
        <w:rPr>
          <w:rFonts w:ascii="Times New Roman"/>
          <w:b w:val="false"/>
          <w:i w:val="false"/>
          <w:color w:val="000000"/>
          <w:sz w:val="28"/>
        </w:rPr>
        <w:t>
      5. В случае использования для производства или испытаний микроорганизмов, которым присвоен высший уровень биологической опасности (например, пандемические штаммы), обеспечивает необходимые меры изоляции. Получено документальное подтверждение разрешения на проведение указанных мероприятий от соответствующего уполномоченного органа. Указанная документация принята в форме письменного документа и доступна для проверки.</w:t>
      </w:r>
    </w:p>
    <w:bookmarkEnd w:id="4560"/>
    <w:bookmarkStart w:name="z4682" w:id="4561"/>
    <w:p>
      <w:pPr>
        <w:spacing w:after="0"/>
        <w:ind w:left="0"/>
        <w:jc w:val="both"/>
      </w:pPr>
      <w:r>
        <w:rPr>
          <w:rFonts w:ascii="Times New Roman"/>
          <w:b w:val="false"/>
          <w:i w:val="false"/>
          <w:color w:val="000000"/>
          <w:sz w:val="28"/>
        </w:rPr>
        <w:t>
      B5. Рекомбинантные продукты</w:t>
      </w:r>
    </w:p>
    <w:bookmarkEnd w:id="4561"/>
    <w:bookmarkStart w:name="z4683" w:id="4562"/>
    <w:p>
      <w:pPr>
        <w:spacing w:after="0"/>
        <w:ind w:left="0"/>
        <w:jc w:val="both"/>
      </w:pPr>
      <w:r>
        <w:rPr>
          <w:rFonts w:ascii="Times New Roman"/>
          <w:b w:val="false"/>
          <w:i w:val="false"/>
          <w:color w:val="000000"/>
          <w:sz w:val="28"/>
        </w:rPr>
        <w:t>
      1. Для обеспечения постоянства свойств лекарственного препарата, содержащего допустимые примеси в определенном диапазоне, соблюдаются валидированные условия технологических процессов при росте клеток, экспрессии белка и очистке. Для обеспечения отсутствия вирусной контаминации в определенных типах клеток, используемых в производстве, могут потребоваться дополнительные меры. Для лекарственных препаратов, производство которых предусматривает многократные сборы клеток при культивировании, его продолжительность находится в утвержденных пределах.</w:t>
      </w:r>
    </w:p>
    <w:bookmarkEnd w:id="4562"/>
    <w:bookmarkStart w:name="z4684" w:id="4563"/>
    <w:p>
      <w:pPr>
        <w:spacing w:after="0"/>
        <w:ind w:left="0"/>
        <w:jc w:val="both"/>
      </w:pPr>
      <w:r>
        <w:rPr>
          <w:rFonts w:ascii="Times New Roman"/>
          <w:b w:val="false"/>
          <w:i w:val="false"/>
          <w:color w:val="000000"/>
          <w:sz w:val="28"/>
        </w:rPr>
        <w:t>
      2. Процессы очистки от нежелательных белков хозяина-продуцента, нуклеиновых кислот, углеводов, вирусов и других примесей проводится в рамках определенных валидированных пределов.</w:t>
      </w:r>
    </w:p>
    <w:bookmarkEnd w:id="4563"/>
    <w:bookmarkStart w:name="z4685" w:id="4564"/>
    <w:p>
      <w:pPr>
        <w:spacing w:after="0"/>
        <w:ind w:left="0"/>
        <w:jc w:val="both"/>
      </w:pPr>
      <w:r>
        <w:rPr>
          <w:rFonts w:ascii="Times New Roman"/>
          <w:b w:val="false"/>
          <w:i w:val="false"/>
          <w:color w:val="000000"/>
          <w:sz w:val="28"/>
        </w:rPr>
        <w:t>
      B6. Лекарственные препараты моноклональных антител</w:t>
      </w:r>
    </w:p>
    <w:bookmarkEnd w:id="4564"/>
    <w:bookmarkStart w:name="z4686" w:id="4565"/>
    <w:p>
      <w:pPr>
        <w:spacing w:after="0"/>
        <w:ind w:left="0"/>
        <w:jc w:val="both"/>
      </w:pPr>
      <w:r>
        <w:rPr>
          <w:rFonts w:ascii="Times New Roman"/>
          <w:b w:val="false"/>
          <w:i w:val="false"/>
          <w:color w:val="000000"/>
          <w:sz w:val="28"/>
        </w:rPr>
        <w:t>
      1. Моноклональные антитела могут быть произведены из мышиных или человеческих гибридом или с помощью технологий рекомбинантной ДНК. Для обеспечения безопасности и качества лекарственного препарата проводится соответствующие мероприятия по контролю в отношении исходных клеток (в том числе питающих клеток, в случае их использования) и исходных материалов, используемых для создания гибридомы (линии клеток). Следует удостовериться, что данные мероприятия проводятся в утвержденных пределах. Особое внимание следует уделять доказательству отсутствия вирусов в лекарственном препарате. Для доказательства пригодности лекарственных препаратов, произведенных на одной и той же технологической основе, возможно использование данных, полученных при испытании одного из них.</w:t>
      </w:r>
    </w:p>
    <w:bookmarkEnd w:id="4565"/>
    <w:bookmarkStart w:name="z4687" w:id="4566"/>
    <w:p>
      <w:pPr>
        <w:spacing w:after="0"/>
        <w:ind w:left="0"/>
        <w:jc w:val="both"/>
      </w:pPr>
      <w:r>
        <w:rPr>
          <w:rFonts w:ascii="Times New Roman"/>
          <w:b w:val="false"/>
          <w:i w:val="false"/>
          <w:color w:val="000000"/>
          <w:sz w:val="28"/>
        </w:rPr>
        <w:t>
      2. Проведена проверка того, что критерии на промежуточных и конечной стадии производственного процесса контролируются и находятся в утвержденных пределах.</w:t>
      </w:r>
    </w:p>
    <w:bookmarkEnd w:id="4566"/>
    <w:bookmarkStart w:name="z4688" w:id="4567"/>
    <w:p>
      <w:pPr>
        <w:spacing w:after="0"/>
        <w:ind w:left="0"/>
        <w:jc w:val="both"/>
      </w:pPr>
      <w:r>
        <w:rPr>
          <w:rFonts w:ascii="Times New Roman"/>
          <w:b w:val="false"/>
          <w:i w:val="false"/>
          <w:color w:val="000000"/>
          <w:sz w:val="28"/>
        </w:rPr>
        <w:t>
      3. Производственные условия для приготовления субфрагментов антител (например, Fab, F(ab’)2, scFv) и любых других модификаций (например, для введения радиоактивных меток, конъюгации, химического связывания) соответствует валидированным параметрам.</w:t>
      </w:r>
    </w:p>
    <w:bookmarkEnd w:id="4567"/>
    <w:bookmarkStart w:name="z4689" w:id="4568"/>
    <w:p>
      <w:pPr>
        <w:spacing w:after="0"/>
        <w:ind w:left="0"/>
        <w:jc w:val="both"/>
      </w:pPr>
      <w:r>
        <w:rPr>
          <w:rFonts w:ascii="Times New Roman"/>
          <w:b w:val="false"/>
          <w:i w:val="false"/>
          <w:color w:val="000000"/>
          <w:sz w:val="28"/>
        </w:rPr>
        <w:t>
      B7. Лекарственные препараты трансгенных животных</w:t>
      </w:r>
    </w:p>
    <w:bookmarkEnd w:id="4568"/>
    <w:bookmarkStart w:name="z4690" w:id="4569"/>
    <w:p>
      <w:pPr>
        <w:spacing w:after="0"/>
        <w:ind w:left="0"/>
        <w:jc w:val="both"/>
      </w:pPr>
      <w:r>
        <w:rPr>
          <w:rFonts w:ascii="Times New Roman"/>
          <w:b w:val="false"/>
          <w:i w:val="false"/>
          <w:color w:val="000000"/>
          <w:sz w:val="28"/>
        </w:rPr>
        <w:t>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соблюдаются повышенные требования для доказательства постоянства всех свойств лекарственного препарата от серии к серии.</w:t>
      </w:r>
    </w:p>
    <w:bookmarkEnd w:id="4569"/>
    <w:bookmarkStart w:name="z4691" w:id="4570"/>
    <w:p>
      <w:pPr>
        <w:spacing w:after="0"/>
        <w:ind w:left="0"/>
        <w:jc w:val="both"/>
      </w:pPr>
      <w:r>
        <w:rPr>
          <w:rFonts w:ascii="Times New Roman"/>
          <w:b w:val="false"/>
          <w:i w:val="false"/>
          <w:color w:val="000000"/>
          <w:sz w:val="28"/>
        </w:rPr>
        <w:t>
      1. Для производства биологических лекарственных препаратов могут использоваться различные виды животных, в том числе могут проводиться забор и очистка биологических жидкостей (например, молока). Животные имеют четкую и уникальную маркировку. Предусмотрены дублирующие меры на случай утраты первичного идентифицирующего маркера.</w:t>
      </w:r>
    </w:p>
    <w:bookmarkEnd w:id="4570"/>
    <w:bookmarkStart w:name="z4692" w:id="4571"/>
    <w:p>
      <w:pPr>
        <w:spacing w:after="0"/>
        <w:ind w:left="0"/>
        <w:jc w:val="both"/>
      </w:pPr>
      <w:r>
        <w:rPr>
          <w:rFonts w:ascii="Times New Roman"/>
          <w:b w:val="false"/>
          <w:i w:val="false"/>
          <w:color w:val="000000"/>
          <w:sz w:val="28"/>
        </w:rPr>
        <w:t>
      2. Условия содержания и ухода за животными обеспечивают наименьший возможный контакт животных с патогенными агентами и зоонозами. Разработаны соответствующие меры защиты окружающей среды. Разработана программа наблюдения за здоровьем животных с соответствующим внесением записей в документацию. Также расследуются любые инциденты и определено их влияние на возможность дальнейшего использования животного и ранее полученных серий продукции. Любые лекарственные препараты, применявшиеся для лечения животных, не приведут к контаминации производимого лекарственного препарата.</w:t>
      </w:r>
    </w:p>
    <w:bookmarkEnd w:id="4571"/>
    <w:bookmarkStart w:name="z4693" w:id="4572"/>
    <w:p>
      <w:pPr>
        <w:spacing w:after="0"/>
        <w:ind w:left="0"/>
        <w:jc w:val="both"/>
      </w:pPr>
      <w:r>
        <w:rPr>
          <w:rFonts w:ascii="Times New Roman"/>
          <w:b w:val="false"/>
          <w:i w:val="false"/>
          <w:color w:val="000000"/>
          <w:sz w:val="28"/>
        </w:rPr>
        <w:t>
      3. Существует документация с родословной от животного-основателя до животных, использующихся для производства. Запрещается смешивание материалов, полученных из разных трансгенных линий животных, так как они происходят от разных животных-основателей.</w:t>
      </w:r>
    </w:p>
    <w:bookmarkEnd w:id="4572"/>
    <w:bookmarkStart w:name="z4694" w:id="4573"/>
    <w:p>
      <w:pPr>
        <w:spacing w:after="0"/>
        <w:ind w:left="0"/>
        <w:jc w:val="both"/>
      </w:pPr>
      <w:r>
        <w:rPr>
          <w:rFonts w:ascii="Times New Roman"/>
          <w:b w:val="false"/>
          <w:i w:val="false"/>
          <w:color w:val="000000"/>
          <w:sz w:val="28"/>
        </w:rPr>
        <w:t xml:space="preserve">
      4. Условия, при которых производится забор материалов, соответствует регистрационному досье и протоколу клинических исследований. График забора материала и условия, при которых животные исключаются из процесса производства лекарственного препарата, соответствуют утвержденным процедурам и критериям приемлемости. </w:t>
      </w:r>
    </w:p>
    <w:bookmarkEnd w:id="4573"/>
    <w:bookmarkStart w:name="z4695" w:id="4574"/>
    <w:p>
      <w:pPr>
        <w:spacing w:after="0"/>
        <w:ind w:left="0"/>
        <w:jc w:val="both"/>
      </w:pPr>
      <w:r>
        <w:rPr>
          <w:rFonts w:ascii="Times New Roman"/>
          <w:b w:val="false"/>
          <w:i w:val="false"/>
          <w:color w:val="000000"/>
          <w:sz w:val="28"/>
        </w:rPr>
        <w:t>
      B8. Лекарственные препараты трансгенных растений</w:t>
      </w:r>
    </w:p>
    <w:bookmarkEnd w:id="4574"/>
    <w:bookmarkStart w:name="z4696" w:id="4575"/>
    <w:p>
      <w:pPr>
        <w:spacing w:after="0"/>
        <w:ind w:left="0"/>
        <w:jc w:val="both"/>
      </w:pPr>
      <w:r>
        <w:rPr>
          <w:rFonts w:ascii="Times New Roman"/>
          <w:b w:val="false"/>
          <w:i w:val="false"/>
          <w:color w:val="000000"/>
          <w:sz w:val="28"/>
        </w:rPr>
        <w:t>
      Обеспечение постоянства исходного материала, полученного из трансгенного источника, является более проблематичным, чем при использовании стандартных нетрансгенных биотехнологических источников. Следовательно, соблюдаются повышенные требования для доказательства постоянства всех свойств лекарственного препарата от серии к серии.</w:t>
      </w:r>
    </w:p>
    <w:bookmarkEnd w:id="4575"/>
    <w:bookmarkStart w:name="z4697" w:id="4576"/>
    <w:p>
      <w:pPr>
        <w:spacing w:after="0"/>
        <w:ind w:left="0"/>
        <w:jc w:val="both"/>
      </w:pPr>
      <w:r>
        <w:rPr>
          <w:rFonts w:ascii="Times New Roman"/>
          <w:b w:val="false"/>
          <w:i w:val="false"/>
          <w:color w:val="000000"/>
          <w:sz w:val="28"/>
        </w:rPr>
        <w:t>
      1. Для предотвращения контаминации главных и рабочих трансгенных банков посторонними материалами растительного происхождения и соответствующими посторонними агентами могут понадобиться дополнительные меры, предшествующие мероприятиями или следующие за мероприятиями, указанными в части А настоящего приложения. Проводится контроль стабильности гена на протяжении определенного количества генераций.</w:t>
      </w:r>
    </w:p>
    <w:bookmarkEnd w:id="4576"/>
    <w:bookmarkStart w:name="z4698" w:id="4577"/>
    <w:p>
      <w:pPr>
        <w:spacing w:after="0"/>
        <w:ind w:left="0"/>
        <w:jc w:val="both"/>
      </w:pPr>
      <w:r>
        <w:rPr>
          <w:rFonts w:ascii="Times New Roman"/>
          <w:b w:val="false"/>
          <w:i w:val="false"/>
          <w:color w:val="000000"/>
          <w:sz w:val="28"/>
        </w:rPr>
        <w:t>
      2. Для обеспечения постоянства сбора урожая от разных культур растений, такие растения имеют четкую и уникальную маркировку, и указывают их основные характеристики. В частности, состояние здоровья растений, входящих в культуру, контролироваться с определенной периодичностью на протяжении периода их выращивания.</w:t>
      </w:r>
    </w:p>
    <w:bookmarkEnd w:id="4577"/>
    <w:bookmarkStart w:name="z4699" w:id="4578"/>
    <w:p>
      <w:pPr>
        <w:spacing w:after="0"/>
        <w:ind w:left="0"/>
        <w:jc w:val="both"/>
      </w:pPr>
      <w:r>
        <w:rPr>
          <w:rFonts w:ascii="Times New Roman"/>
          <w:b w:val="false"/>
          <w:i w:val="false"/>
          <w:color w:val="000000"/>
          <w:sz w:val="28"/>
        </w:rPr>
        <w:t>
      3. Установлены меры предосторожности для защиты культур. По возможности следует минимизировать их контаминацию микробиологическими агентами и перекрестную контаминацию растениями другого вида. Приняты меры для предотвращения контаминации лекарственного препарата такими материалами, как пестициды и удобрения. Разработана программа мониторинга с соответствующим внесением записей в документацию, также расследуются любые инциденты и определено их влияние на возможность дальнейшего использования культуры в производственном процессе.</w:t>
      </w:r>
    </w:p>
    <w:bookmarkEnd w:id="4578"/>
    <w:bookmarkStart w:name="z4700" w:id="4579"/>
    <w:p>
      <w:pPr>
        <w:spacing w:after="0"/>
        <w:ind w:left="0"/>
        <w:jc w:val="both"/>
      </w:pPr>
      <w:r>
        <w:rPr>
          <w:rFonts w:ascii="Times New Roman"/>
          <w:b w:val="false"/>
          <w:i w:val="false"/>
          <w:color w:val="000000"/>
          <w:sz w:val="28"/>
        </w:rPr>
        <w:t>
      4. Четко определены условия, определяющие случаи, при которых растения исключены из производственного процесса. Устанfвливают пределы приемлемости для материалов (например, основных белков), которые мешают процедуре очистки продукции. Подтверждено, что результаты находятся в пределах утвержденных норм.</w:t>
      </w:r>
    </w:p>
    <w:bookmarkEnd w:id="4579"/>
    <w:bookmarkStart w:name="z4701" w:id="4580"/>
    <w:p>
      <w:pPr>
        <w:spacing w:after="0"/>
        <w:ind w:left="0"/>
        <w:jc w:val="both"/>
      </w:pPr>
      <w:r>
        <w:rPr>
          <w:rFonts w:ascii="Times New Roman"/>
          <w:b w:val="false"/>
          <w:i w:val="false"/>
          <w:color w:val="000000"/>
          <w:sz w:val="28"/>
        </w:rPr>
        <w:t>
      5. Документально оформлены условия окружающей среды (температура, дождь), которые влияют на качественные характеристики лекарственного препарата, а также на производственный выход рекомбинантного белка (от времени посева, на протяжении культивирования и до момента сбора и промежуточного хранения собранных материалов). При оформлении этой документации учитывается принципы, указанные в Правилах надлежащего выращивания и сбора растений в соответствии с законодательством.</w:t>
      </w:r>
    </w:p>
    <w:bookmarkEnd w:id="4580"/>
    <w:bookmarkStart w:name="z4702" w:id="4581"/>
    <w:p>
      <w:pPr>
        <w:spacing w:after="0"/>
        <w:ind w:left="0"/>
        <w:jc w:val="both"/>
      </w:pPr>
      <w:r>
        <w:rPr>
          <w:rFonts w:ascii="Times New Roman"/>
          <w:b w:val="false"/>
          <w:i w:val="false"/>
          <w:color w:val="000000"/>
          <w:sz w:val="28"/>
        </w:rPr>
        <w:t>
      B9. Лекарственные препараты генной терапии</w:t>
      </w:r>
    </w:p>
    <w:bookmarkEnd w:id="4581"/>
    <w:bookmarkStart w:name="z4703" w:id="4582"/>
    <w:p>
      <w:pPr>
        <w:spacing w:after="0"/>
        <w:ind w:left="0"/>
        <w:jc w:val="both"/>
      </w:pPr>
      <w:r>
        <w:rPr>
          <w:rFonts w:ascii="Times New Roman"/>
          <w:b w:val="false"/>
          <w:i w:val="false"/>
          <w:color w:val="000000"/>
          <w:sz w:val="28"/>
        </w:rPr>
        <w:t>
      Существует несколько типов лекарственных препаратов генной терапии (лекарственные препараты генной терапии, содержащие последовательность рекомбинантных нуклеиновых кислот или генетически модифицированный микроорганизм или вирус, и лекарственные препараты генной терапии, содержащие генетически модифицированные клетки), которые охватываются настоящим разделом. В отношении лекарственных препаратов генной терапии на основе клеток применяются некоторые положения, изложенные в разделе В10 части В настоящего приложения.</w:t>
      </w:r>
    </w:p>
    <w:bookmarkEnd w:id="4582"/>
    <w:bookmarkStart w:name="z4704" w:id="4583"/>
    <w:p>
      <w:pPr>
        <w:spacing w:after="0"/>
        <w:ind w:left="0"/>
        <w:jc w:val="both"/>
      </w:pPr>
      <w:r>
        <w:rPr>
          <w:rFonts w:ascii="Times New Roman"/>
          <w:b w:val="false"/>
          <w:i w:val="false"/>
          <w:color w:val="000000"/>
          <w:sz w:val="28"/>
        </w:rPr>
        <w:t>
      1. Вследствие того, что клетки, используемые для производства лекарственных препаратов генной терапии, получены от людей (аутологичные или аллогенные) или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предусмотрены особые мероприятия. Для таких исходных материалов, а также для криопротекторов, питательных сред, клеток и векторов надежность контрольных и испытательных мероприятий основана на принципах управления рисками для качества и соответствует регистрационному досье. Созданные клеточные линии для производства вирусных векторов и проведения контрольных и испытательных мероприятий также основываются на принципах управления рисками для качества. При необходимости, используются вирусные посевные культуры и системы банков клеток.</w:t>
      </w:r>
    </w:p>
    <w:bookmarkEnd w:id="4583"/>
    <w:bookmarkStart w:name="z4705" w:id="4584"/>
    <w:p>
      <w:pPr>
        <w:spacing w:after="0"/>
        <w:ind w:left="0"/>
        <w:jc w:val="both"/>
      </w:pPr>
      <w:r>
        <w:rPr>
          <w:rFonts w:ascii="Times New Roman"/>
          <w:b w:val="false"/>
          <w:i w:val="false"/>
          <w:color w:val="000000"/>
          <w:sz w:val="28"/>
        </w:rPr>
        <w:t>
      2. На возможное содержание примесей, посторонних агентов и перекрестную контаминацию влияют такие факторы, как природа генетического материала, тип вектора (вирусный или невирусный) и тип клеток, что учтено при разработке общей стратегии минимизации риска. На основе указанной стратегии разрабатывается технологический процесс, спроектированы производственные и складские помещения и оборудование, разработаны процедуры уборки и деконтаминации, а также упаковки, маркировки и реализации.</w:t>
      </w:r>
    </w:p>
    <w:bookmarkEnd w:id="4584"/>
    <w:bookmarkStart w:name="z4706" w:id="4585"/>
    <w:p>
      <w:pPr>
        <w:spacing w:after="0"/>
        <w:ind w:left="0"/>
        <w:jc w:val="both"/>
      </w:pPr>
      <w:r>
        <w:rPr>
          <w:rFonts w:ascii="Times New Roman"/>
          <w:b w:val="false"/>
          <w:i w:val="false"/>
          <w:color w:val="000000"/>
          <w:sz w:val="28"/>
        </w:rPr>
        <w:t>
      3. Производство и испытание лекарственных препаратов генной терапии требуют решения специфических вопросов безопасности и качества готового лекарственного препарата и вопросов безопасности пациентов и персонала. Применяется подход, основанный на управлении рисками, для обеспечения безопасности персонала, окружающей среды и пациентов, а также приняты меры контроля в соответствии с установленным статусом биологической опасности. Меры по обеспечению безопасности соответствует требованиям законодательства, при необходимости, требованиям международного права.</w:t>
      </w:r>
    </w:p>
    <w:bookmarkEnd w:id="4585"/>
    <w:bookmarkStart w:name="z4707" w:id="4586"/>
    <w:p>
      <w:pPr>
        <w:spacing w:after="0"/>
        <w:ind w:left="0"/>
        <w:jc w:val="both"/>
      </w:pPr>
      <w:r>
        <w:rPr>
          <w:rFonts w:ascii="Times New Roman"/>
          <w:b w:val="false"/>
          <w:i w:val="false"/>
          <w:color w:val="000000"/>
          <w:sz w:val="28"/>
        </w:rPr>
        <w:t>
      4. Передвижение персонала (включая персонал, занятый контролем качества, и обслуживающий персонал) и потоки материалов, включая те, которые хранят и испытывают (например, исходные материалы, образцы для внутрипроизводственного контроля, образцы готового лекарственного препарата и пробы производственной среды) организованы на основе принципов управления рисками для качества. По возможности при этом используют однонаправленные потоки. Учитывается перемещение между зонами, содержащими различные генетически модифицированные организмы, и зонами, содержащими генетически немодифицированные организмы.</w:t>
      </w:r>
    </w:p>
    <w:bookmarkEnd w:id="4586"/>
    <w:bookmarkStart w:name="z4708" w:id="4587"/>
    <w:p>
      <w:pPr>
        <w:spacing w:after="0"/>
        <w:ind w:left="0"/>
        <w:jc w:val="both"/>
      </w:pPr>
      <w:r>
        <w:rPr>
          <w:rFonts w:ascii="Times New Roman"/>
          <w:b w:val="false"/>
          <w:i w:val="false"/>
          <w:color w:val="000000"/>
          <w:sz w:val="28"/>
        </w:rPr>
        <w:t>
      5. При проектировании помещений и оборудования учтены все возможные специальные процедуры, требующиеся для деконтаминации или очистки от организмов, которые используются при производстве лекарственного препарата. По возможности, программа мониторинга состояния производственной среды дополнена методами определения присутствия специфических микроорганизмов, культивирование которых производилось.</w:t>
      </w:r>
    </w:p>
    <w:bookmarkEnd w:id="4587"/>
    <w:bookmarkStart w:name="z4709" w:id="4588"/>
    <w:p>
      <w:pPr>
        <w:spacing w:after="0"/>
        <w:ind w:left="0"/>
        <w:jc w:val="both"/>
      </w:pPr>
      <w:r>
        <w:rPr>
          <w:rFonts w:ascii="Times New Roman"/>
          <w:b w:val="false"/>
          <w:i w:val="false"/>
          <w:color w:val="000000"/>
          <w:sz w:val="28"/>
        </w:rPr>
        <w:t>
      6. При использовании вирусных векторов с ограниченной способностью к репликации принимаются меры по предотвращению попадания вирусов дикого типа, которое приводит к возникновению рекомбинантных векторов, способных к репликации.</w:t>
      </w:r>
    </w:p>
    <w:bookmarkEnd w:id="4588"/>
    <w:bookmarkStart w:name="z4710" w:id="4589"/>
    <w:p>
      <w:pPr>
        <w:spacing w:after="0"/>
        <w:ind w:left="0"/>
        <w:jc w:val="both"/>
      </w:pPr>
      <w:r>
        <w:rPr>
          <w:rFonts w:ascii="Times New Roman"/>
          <w:b w:val="false"/>
          <w:i w:val="false"/>
          <w:color w:val="000000"/>
          <w:sz w:val="28"/>
        </w:rPr>
        <w:t>
      7. Предусмотрен план аварийных мероприятий на случай непредвиденного выброса живых микроорганизмов. Указанный план включает в себя описание методов и процедур по изоляции микроорганизмов, защите операторов, уборке, проведению деконтаминации и безопасному возобновлению эксплуатации. Оценено влияние выброса на лекарственные препараты, находящиеся в непосредственной близости, и на любые другие лекарственные препараты, находящиеся в зонах, подверженных такому выбросу.</w:t>
      </w:r>
    </w:p>
    <w:bookmarkEnd w:id="4589"/>
    <w:bookmarkStart w:name="z4711" w:id="4590"/>
    <w:p>
      <w:pPr>
        <w:spacing w:after="0"/>
        <w:ind w:left="0"/>
        <w:jc w:val="both"/>
      </w:pPr>
      <w:r>
        <w:rPr>
          <w:rFonts w:ascii="Times New Roman"/>
          <w:b w:val="false"/>
          <w:i w:val="false"/>
          <w:color w:val="000000"/>
          <w:sz w:val="28"/>
        </w:rPr>
        <w:t>
      8. Предусмотрены меры для отделения помещений для производства вирусных векторов от других зон. Эффективность мер, используемых для разделения, доказана. Везде, при необходимости, следует использовать закрытые системы. Предотвращен выброс вирусного материала при отборе образцов, введении добавок и передаче материалов.</w:t>
      </w:r>
    </w:p>
    <w:bookmarkEnd w:id="4590"/>
    <w:bookmarkStart w:name="z4712" w:id="4591"/>
    <w:p>
      <w:pPr>
        <w:spacing w:after="0"/>
        <w:ind w:left="0"/>
        <w:jc w:val="both"/>
      </w:pPr>
      <w:r>
        <w:rPr>
          <w:rFonts w:ascii="Times New Roman"/>
          <w:b w:val="false"/>
          <w:i w:val="false"/>
          <w:color w:val="000000"/>
          <w:sz w:val="28"/>
        </w:rPr>
        <w:t>
      9. Не допускается сопутствующее производство различных векторов генной терапии в одной и той же зоне. Одновременное производство невирусных векторов на одном участке контролируется согласно принципам управления рисками для качества. Показана эффективность процедур перехода между кампаниями.</w:t>
      </w:r>
    </w:p>
    <w:bookmarkEnd w:id="4591"/>
    <w:bookmarkStart w:name="z4713" w:id="4592"/>
    <w:p>
      <w:pPr>
        <w:spacing w:after="0"/>
        <w:ind w:left="0"/>
        <w:jc w:val="both"/>
      </w:pPr>
      <w:r>
        <w:rPr>
          <w:rFonts w:ascii="Times New Roman"/>
          <w:b w:val="false"/>
          <w:i w:val="false"/>
          <w:color w:val="000000"/>
          <w:sz w:val="28"/>
        </w:rPr>
        <w:t>
      10. Для обеспечения прослеживаемости лекарственного препарата от начальных стадий (плазмиды, целевые гены и регуляторные последовательности, банки клеток, а также запас вирусных или невирусных векторов) и до готового лекарственного препарата в наличии детальное описание производства векторов и генетически модифицированных клеток.</w:t>
      </w:r>
    </w:p>
    <w:bookmarkEnd w:id="4592"/>
    <w:bookmarkStart w:name="z4714" w:id="4593"/>
    <w:p>
      <w:pPr>
        <w:spacing w:after="0"/>
        <w:ind w:left="0"/>
        <w:jc w:val="both"/>
      </w:pPr>
      <w:r>
        <w:rPr>
          <w:rFonts w:ascii="Times New Roman"/>
          <w:b w:val="false"/>
          <w:i w:val="false"/>
          <w:color w:val="000000"/>
          <w:sz w:val="28"/>
        </w:rPr>
        <w:t>
      11. Перевозка лекарственных препаратов, содержащих или состоящих из генетически модифицированных организмов, осуществляется в соответствии с требованиями законодательства.</w:t>
      </w:r>
    </w:p>
    <w:bookmarkEnd w:id="4593"/>
    <w:bookmarkStart w:name="z4715" w:id="4594"/>
    <w:p>
      <w:pPr>
        <w:spacing w:after="0"/>
        <w:ind w:left="0"/>
        <w:jc w:val="both"/>
      </w:pPr>
      <w:r>
        <w:rPr>
          <w:rFonts w:ascii="Times New Roman"/>
          <w:b w:val="false"/>
          <w:i w:val="false"/>
          <w:color w:val="000000"/>
          <w:sz w:val="28"/>
        </w:rPr>
        <w:t>
      12. К переносу генов в клетки-реципиенты, который проводится вне организма, предъявляются следующие требования:</w:t>
      </w:r>
    </w:p>
    <w:bookmarkEnd w:id="4594"/>
    <w:bookmarkStart w:name="z4716" w:id="4595"/>
    <w:p>
      <w:pPr>
        <w:spacing w:after="0"/>
        <w:ind w:left="0"/>
        <w:jc w:val="both"/>
      </w:pPr>
      <w:r>
        <w:rPr>
          <w:rFonts w:ascii="Times New Roman"/>
          <w:b w:val="false"/>
          <w:i w:val="false"/>
          <w:color w:val="000000"/>
          <w:sz w:val="28"/>
        </w:rPr>
        <w:t>
      а) процесс переноса происходить в помещениях, предназначенных для данных действий и имеющих соответствующий уровень изоляции;</w:t>
      </w:r>
    </w:p>
    <w:bookmarkEnd w:id="4595"/>
    <w:bookmarkStart w:name="z4717" w:id="4596"/>
    <w:p>
      <w:pPr>
        <w:spacing w:after="0"/>
        <w:ind w:left="0"/>
        <w:jc w:val="both"/>
      </w:pPr>
      <w:r>
        <w:rPr>
          <w:rFonts w:ascii="Times New Roman"/>
          <w:b w:val="false"/>
          <w:i w:val="false"/>
          <w:color w:val="000000"/>
          <w:sz w:val="28"/>
        </w:rPr>
        <w:t>
      b) необходимо принять меры (включая требования пункта 10 части А настоящего приложения) для уменьшения возможности перекрестной контаминации и перепутывания клеток, полученных от разных пациентов. Предусмотрено использование валидированных процедур очистки. Одновременное использование разных вирусных векторов контролируется в соответствии с принципами управления рисками для качества. Не разрешается использование некоторых вирусных векторов (например, ретро- и лентивирусов) для производства генетически модифицированных клеток до доказательства отсутствия в них постороннего вектора, способного к репликации;</w:t>
      </w:r>
    </w:p>
    <w:bookmarkEnd w:id="4596"/>
    <w:bookmarkStart w:name="z4718" w:id="4597"/>
    <w:p>
      <w:pPr>
        <w:spacing w:after="0"/>
        <w:ind w:left="0"/>
        <w:jc w:val="both"/>
      </w:pPr>
      <w:r>
        <w:rPr>
          <w:rFonts w:ascii="Times New Roman"/>
          <w:b w:val="false"/>
          <w:i w:val="false"/>
          <w:color w:val="000000"/>
          <w:sz w:val="28"/>
        </w:rPr>
        <w:t>
      c) требования прослеживаемости соблюдаются. Необходимо четкое определение серии продукции, начиная от клеточного сырья и заканчивая контейнером с готовым лекарственным препаратом;</w:t>
      </w:r>
    </w:p>
    <w:bookmarkEnd w:id="4597"/>
    <w:bookmarkStart w:name="z4719" w:id="4598"/>
    <w:p>
      <w:pPr>
        <w:spacing w:after="0"/>
        <w:ind w:left="0"/>
        <w:jc w:val="both"/>
      </w:pPr>
      <w:r>
        <w:rPr>
          <w:rFonts w:ascii="Times New Roman"/>
          <w:b w:val="false"/>
          <w:i w:val="false"/>
          <w:color w:val="000000"/>
          <w:sz w:val="28"/>
        </w:rPr>
        <w:t>
      d) физико-химические свойства лекарственных препаратов, при производстве которых используются небиологические средства доставки гена, исследуются и документально подтверждаются.</w:t>
      </w:r>
    </w:p>
    <w:bookmarkEnd w:id="4598"/>
    <w:bookmarkStart w:name="z4720" w:id="4599"/>
    <w:p>
      <w:pPr>
        <w:spacing w:after="0"/>
        <w:ind w:left="0"/>
        <w:jc w:val="both"/>
      </w:pPr>
      <w:r>
        <w:rPr>
          <w:rFonts w:ascii="Times New Roman"/>
          <w:b w:val="false"/>
          <w:i w:val="false"/>
          <w:color w:val="000000"/>
          <w:sz w:val="28"/>
        </w:rPr>
        <w:t>
      B10. Лекарственные препараты терапии соматическими клетками и лекарственные препараты тканевой инженерии</w:t>
      </w:r>
    </w:p>
    <w:bookmarkEnd w:id="4599"/>
    <w:bookmarkStart w:name="z4721" w:id="4600"/>
    <w:p>
      <w:pPr>
        <w:spacing w:after="0"/>
        <w:ind w:left="0"/>
        <w:jc w:val="both"/>
      </w:pPr>
      <w:r>
        <w:rPr>
          <w:rFonts w:ascii="Times New Roman"/>
          <w:b w:val="false"/>
          <w:i w:val="false"/>
          <w:color w:val="000000"/>
          <w:sz w:val="28"/>
        </w:rPr>
        <w:t>
      Для лекарственных препаратов генетически модифицированных клеток, которые не определены как лекарственные препараты генной терапии, могут также применяться некоторые положения раздела В9 настоящего приложения.</w:t>
      </w:r>
    </w:p>
    <w:bookmarkEnd w:id="4600"/>
    <w:bookmarkStart w:name="z4722" w:id="4601"/>
    <w:p>
      <w:pPr>
        <w:spacing w:after="0"/>
        <w:ind w:left="0"/>
        <w:jc w:val="both"/>
      </w:pPr>
      <w:r>
        <w:rPr>
          <w:rFonts w:ascii="Times New Roman"/>
          <w:b w:val="false"/>
          <w:i w:val="false"/>
          <w:color w:val="000000"/>
          <w:sz w:val="28"/>
        </w:rPr>
        <w:t>
      1. Для производства лекарственных препаратов по возможности использованы разрешенные источники (например, разрешенные лекарственные средства или медицинские изделия с маркировкой СЕ, обозначающей соответствие европейским стандартам) дополнительных материалов (в частности, клеточных продуктов, биомолекул, биоматериалов, поддерживающих систем, матриц).</w:t>
      </w:r>
    </w:p>
    <w:bookmarkEnd w:id="4601"/>
    <w:bookmarkStart w:name="z4723" w:id="4602"/>
    <w:p>
      <w:pPr>
        <w:spacing w:after="0"/>
        <w:ind w:left="0"/>
        <w:jc w:val="both"/>
      </w:pPr>
      <w:r>
        <w:rPr>
          <w:rFonts w:ascii="Times New Roman"/>
          <w:b w:val="false"/>
          <w:i w:val="false"/>
          <w:color w:val="000000"/>
          <w:sz w:val="28"/>
        </w:rPr>
        <w:t>
      2. В случаях, когда изделия (в том числе изделия, производимые на заказ) являются составной частью готовой продукции, соблюдаются следующие требования:</w:t>
      </w:r>
    </w:p>
    <w:bookmarkEnd w:id="4602"/>
    <w:bookmarkStart w:name="z4724" w:id="4603"/>
    <w:p>
      <w:pPr>
        <w:spacing w:after="0"/>
        <w:ind w:left="0"/>
        <w:jc w:val="both"/>
      </w:pPr>
      <w:r>
        <w:rPr>
          <w:rFonts w:ascii="Times New Roman"/>
          <w:b w:val="false"/>
          <w:i w:val="false"/>
          <w:color w:val="000000"/>
          <w:sz w:val="28"/>
        </w:rPr>
        <w:t>
      a) принято в форме письменного документа соглашение между производителем лекарственного препарата и производителем медицинского изделия, в котором содержатся достаточная информация о медицинском изделии, чтобы избежать изменения его свойств во время производства высокотехнологичного лекарственного средства (ATMP). Указанное соглашение содержат требование о контроле изменений, предложенных для медицинского изделия;</w:t>
      </w:r>
    </w:p>
    <w:bookmarkEnd w:id="4603"/>
    <w:bookmarkStart w:name="z4725" w:id="4604"/>
    <w:p>
      <w:pPr>
        <w:spacing w:after="0"/>
        <w:ind w:left="0"/>
        <w:jc w:val="both"/>
      </w:pPr>
      <w:r>
        <w:rPr>
          <w:rFonts w:ascii="Times New Roman"/>
          <w:b w:val="false"/>
          <w:i w:val="false"/>
          <w:color w:val="000000"/>
          <w:sz w:val="28"/>
        </w:rPr>
        <w:t>
      b) указанное соглашение предусматривает обмен информацией об отклонениях, имевших место при производстве медицинского изделия.</w:t>
      </w:r>
    </w:p>
    <w:bookmarkEnd w:id="4604"/>
    <w:bookmarkStart w:name="z4726" w:id="4605"/>
    <w:p>
      <w:pPr>
        <w:spacing w:after="0"/>
        <w:ind w:left="0"/>
        <w:jc w:val="both"/>
      </w:pPr>
      <w:r>
        <w:rPr>
          <w:rFonts w:ascii="Times New Roman"/>
          <w:b w:val="false"/>
          <w:i w:val="false"/>
          <w:color w:val="000000"/>
          <w:sz w:val="28"/>
        </w:rPr>
        <w:t>
      3. Вследствие того, что соматические клетки получены от людей (аутологичные или аллогенные) или животных (ксеногенные), существует повышенный риск их контаминации побочными агентами. Для изоляции аутологичных материалов, полученных от инфицированных доноров, предусмотрены особые мероприятия. Обеспечена надежность контрольных и испытательных мероприятий для таких исходных материалов.</w:t>
      </w:r>
    </w:p>
    <w:bookmarkEnd w:id="4605"/>
    <w:bookmarkStart w:name="z4727" w:id="4606"/>
    <w:p>
      <w:pPr>
        <w:spacing w:after="0"/>
        <w:ind w:left="0"/>
        <w:jc w:val="both"/>
      </w:pPr>
      <w:r>
        <w:rPr>
          <w:rFonts w:ascii="Times New Roman"/>
          <w:b w:val="false"/>
          <w:i w:val="false"/>
          <w:color w:val="000000"/>
          <w:sz w:val="28"/>
        </w:rPr>
        <w:t>
      4. При невозможности проведения стерилизации готового лекарственного препарата при помощи стандартных методов (например,</w:t>
      </w:r>
    </w:p>
    <w:bookmarkEnd w:id="4606"/>
    <w:bookmarkStart w:name="z4728" w:id="4607"/>
    <w:p>
      <w:pPr>
        <w:spacing w:after="0"/>
        <w:ind w:left="0"/>
        <w:jc w:val="both"/>
      </w:pPr>
      <w:r>
        <w:rPr>
          <w:rFonts w:ascii="Times New Roman"/>
          <w:b w:val="false"/>
          <w:i w:val="false"/>
          <w:color w:val="000000"/>
          <w:sz w:val="28"/>
        </w:rPr>
        <w:t>
      фильтрацией), стадии технологического процесса проводятся асептических условиях.</w:t>
      </w:r>
    </w:p>
    <w:bookmarkEnd w:id="4607"/>
    <w:bookmarkStart w:name="z4729" w:id="4608"/>
    <w:p>
      <w:pPr>
        <w:spacing w:after="0"/>
        <w:ind w:left="0"/>
        <w:jc w:val="both"/>
      </w:pPr>
      <w:r>
        <w:rPr>
          <w:rFonts w:ascii="Times New Roman"/>
          <w:b w:val="false"/>
          <w:i w:val="false"/>
          <w:color w:val="000000"/>
          <w:sz w:val="28"/>
        </w:rPr>
        <w:t>
      5. Должное внимание уделяется специфическим требованиям для всех стадий криоконсервации (например, скорости изменения температур во время замораживания и размораживания). Тип камеры хранения, способы размещения материалов и процессы извлечения сводят к минимуму риск перекрестной контаминации, обеспечивать качество лекарственных препаратов и способствовать их правильному извлечению. Для обеспечения безопасности работы с лекарственными препаратами, в состав которых входят позитивные серологические маркеры, а также для хранения этих лекарственных препаратов используются процедуры, принятые в форме письменного документа.</w:t>
      </w:r>
    </w:p>
    <w:bookmarkEnd w:id="4608"/>
    <w:bookmarkStart w:name="z4730" w:id="4609"/>
    <w:p>
      <w:pPr>
        <w:spacing w:after="0"/>
        <w:ind w:left="0"/>
        <w:jc w:val="both"/>
      </w:pPr>
      <w:r>
        <w:rPr>
          <w:rFonts w:ascii="Times New Roman"/>
          <w:b w:val="false"/>
          <w:i w:val="false"/>
          <w:color w:val="000000"/>
          <w:sz w:val="28"/>
        </w:rPr>
        <w:t>
      6. Проведены испытания стерильности на предмет отсутствия бактериальной или грибковой контаминации в культурах клеток или банках клеток, не содержащих антибиотики. Также учитывается необходимость определения специфических микроорганизмов, требующих специальных условий культивирования.</w:t>
      </w:r>
    </w:p>
    <w:bookmarkEnd w:id="4609"/>
    <w:bookmarkStart w:name="z4731" w:id="4610"/>
    <w:p>
      <w:pPr>
        <w:spacing w:after="0"/>
        <w:ind w:left="0"/>
        <w:jc w:val="both"/>
      </w:pPr>
      <w:r>
        <w:rPr>
          <w:rFonts w:ascii="Times New Roman"/>
          <w:b w:val="false"/>
          <w:i w:val="false"/>
          <w:color w:val="000000"/>
          <w:sz w:val="28"/>
        </w:rPr>
        <w:t>
      7. В случае необходимости проводится программа мониторинга стабильности, включающая в себя наличие контрольных и архивных образцов в количестве, достаточном для проведения дальнейших испытаний.</w:t>
      </w:r>
    </w:p>
    <w:bookmarkEnd w:id="4610"/>
    <w:bookmarkStart w:name="z4732" w:id="4611"/>
    <w:p>
      <w:pPr>
        <w:spacing w:after="0"/>
        <w:ind w:left="0"/>
        <w:jc w:val="both"/>
      </w:pPr>
      <w:r>
        <w:rPr>
          <w:rFonts w:ascii="Times New Roman"/>
          <w:b w:val="false"/>
          <w:i w:val="false"/>
          <w:color w:val="000000"/>
          <w:sz w:val="28"/>
        </w:rPr>
        <w:t>
      Определения</w:t>
      </w:r>
    </w:p>
    <w:bookmarkEnd w:id="4611"/>
    <w:bookmarkStart w:name="z4733" w:id="4612"/>
    <w:p>
      <w:pPr>
        <w:spacing w:after="0"/>
        <w:ind w:left="0"/>
        <w:jc w:val="both"/>
      </w:pPr>
      <w:r>
        <w:rPr>
          <w:rFonts w:ascii="Times New Roman"/>
          <w:b w:val="false"/>
          <w:i w:val="false"/>
          <w:color w:val="000000"/>
          <w:sz w:val="28"/>
        </w:rPr>
        <w:t>
      В настоящий раздел включены только термины, используемые в настоящем приложении и требующие расширенного объяснения. Приводятся также ссылки на определения, существующие в законодательстве или других источниках. В дополнение к определениям, указанным в настоящем разделе, используется общий словарь терминов и определений Стандарта надлежащей производственной практики.</w:t>
      </w:r>
    </w:p>
    <w:bookmarkEnd w:id="4612"/>
    <w:bookmarkStart w:name="z4734" w:id="4613"/>
    <w:p>
      <w:pPr>
        <w:spacing w:after="0"/>
        <w:ind w:left="0"/>
        <w:jc w:val="both"/>
      </w:pPr>
      <w:r>
        <w:rPr>
          <w:rFonts w:ascii="Times New Roman"/>
          <w:b w:val="false"/>
          <w:i w:val="false"/>
          <w:color w:val="000000"/>
          <w:sz w:val="28"/>
        </w:rPr>
        <w:t>
      "адъювант" (аdjuvant) - химическое или биологическое вещество, усиливающее иммунную реакцию на антиген;</w:t>
      </w:r>
    </w:p>
    <w:bookmarkEnd w:id="4613"/>
    <w:bookmarkStart w:name="z4735" w:id="4614"/>
    <w:p>
      <w:pPr>
        <w:spacing w:after="0"/>
        <w:ind w:left="0"/>
        <w:jc w:val="both"/>
      </w:pPr>
      <w:r>
        <w:rPr>
          <w:rFonts w:ascii="Times New Roman"/>
          <w:b w:val="false"/>
          <w:i w:val="false"/>
          <w:color w:val="000000"/>
          <w:sz w:val="28"/>
        </w:rPr>
        <w:t>
      "активная фармацевтическая субстанция" (аctive substance) - вещество, которое может иметь человеческое (например, донорская кровь или препараты донорской крови), животное (например, микроорганизмы, целые животные, части органов, секреты животных, токсины, экстракты, препараты крови), растительное (например, микроорганизмы, растения, части растений, выделения растений, экстракты), химическое (например, простые вещества, природные соединения, соединения, полученные путем химической модификации или химического синтеза) происхождение;</w:t>
      </w:r>
    </w:p>
    <w:bookmarkEnd w:id="4614"/>
    <w:bookmarkStart w:name="z4736" w:id="4615"/>
    <w:p>
      <w:pPr>
        <w:spacing w:after="0"/>
        <w:ind w:left="0"/>
        <w:jc w:val="both"/>
      </w:pPr>
      <w:r>
        <w:rPr>
          <w:rFonts w:ascii="Times New Roman"/>
          <w:b w:val="false"/>
          <w:i w:val="false"/>
          <w:color w:val="000000"/>
          <w:sz w:val="28"/>
        </w:rPr>
        <w:t>
      "аллергены" (allergens) - вещества антигенной или гаптеновой природы, способные сенсибилизировать организм и вызывать аллергию; "аллергоиды" (аllergoids) - химически измененные аллергены с пониженной реактивностью иммуноглобулина Е (IgE);</w:t>
      </w:r>
    </w:p>
    <w:bookmarkEnd w:id="4615"/>
    <w:bookmarkStart w:name="z4737" w:id="4616"/>
    <w:p>
      <w:pPr>
        <w:spacing w:after="0"/>
        <w:ind w:left="0"/>
        <w:jc w:val="both"/>
      </w:pPr>
      <w:r>
        <w:rPr>
          <w:rFonts w:ascii="Times New Roman"/>
          <w:b w:val="false"/>
          <w:i w:val="false"/>
          <w:color w:val="000000"/>
          <w:sz w:val="28"/>
        </w:rPr>
        <w:t>
      "антигены" (аntigens) - вещества (например, токсины, чужеродные белки, бактерии, клетки ткани), способные вызвать специфические иммунные реакции;</w:t>
      </w:r>
    </w:p>
    <w:bookmarkEnd w:id="4616"/>
    <w:bookmarkStart w:name="z4738" w:id="4617"/>
    <w:p>
      <w:pPr>
        <w:spacing w:after="0"/>
        <w:ind w:left="0"/>
        <w:jc w:val="both"/>
      </w:pPr>
      <w:r>
        <w:rPr>
          <w:rFonts w:ascii="Times New Roman"/>
          <w:b w:val="false"/>
          <w:i w:val="false"/>
          <w:color w:val="000000"/>
          <w:sz w:val="28"/>
        </w:rPr>
        <w:t>
      "антитело" (аntibody) - белки, произведенные B-лимфоцитами, которые специфически связываются с определенными антигенами. На основе ключевых различий в методах их производства выделяют два главных типа антител: моноклональные и поликлональные антитела;</w:t>
      </w:r>
    </w:p>
    <w:bookmarkEnd w:id="4617"/>
    <w:bookmarkStart w:name="z4739" w:id="4618"/>
    <w:p>
      <w:pPr>
        <w:spacing w:after="0"/>
        <w:ind w:left="0"/>
        <w:jc w:val="both"/>
      </w:pPr>
      <w:r>
        <w:rPr>
          <w:rFonts w:ascii="Times New Roman"/>
          <w:b w:val="false"/>
          <w:i w:val="false"/>
          <w:color w:val="000000"/>
          <w:sz w:val="28"/>
        </w:rPr>
        <w:t>
      "банк клеток" (cell bank) - совокупность соответствующих контейнеров, хранящихся в определенных условиях, содержимое которых имеет однородный состав. Каждый контейнер содержит аликвоту одного пула клеток;</w:t>
      </w:r>
    </w:p>
    <w:bookmarkEnd w:id="4618"/>
    <w:bookmarkStart w:name="z4740" w:id="4619"/>
    <w:p>
      <w:pPr>
        <w:spacing w:after="0"/>
        <w:ind w:left="0"/>
        <w:jc w:val="both"/>
      </w:pPr>
      <w:r>
        <w:rPr>
          <w:rFonts w:ascii="Times New Roman"/>
          <w:b w:val="false"/>
          <w:i w:val="false"/>
          <w:color w:val="000000"/>
          <w:sz w:val="28"/>
        </w:rPr>
        <w:t>
      "биологическая активная фармацевтическая субстанция" (biological active substance) - активная фармацевтическая субстанция которая произведена с использованием биологического источника или экстрагирована из биологического источника, которая охарактеризована с использованием физических, химических и биологических испытаний и качество которой определяется этими испытаниями в сочетании с контролем процессов ее производства;</w:t>
      </w:r>
    </w:p>
    <w:bookmarkEnd w:id="4619"/>
    <w:bookmarkStart w:name="z4741" w:id="4620"/>
    <w:p>
      <w:pPr>
        <w:spacing w:after="0"/>
        <w:ind w:left="0"/>
        <w:jc w:val="both"/>
      </w:pPr>
      <w:r>
        <w:rPr>
          <w:rFonts w:ascii="Times New Roman"/>
          <w:b w:val="false"/>
          <w:i w:val="false"/>
          <w:color w:val="000000"/>
          <w:sz w:val="28"/>
        </w:rPr>
        <w:t>
      "биологический лекарственный препарат" (biological medicinal product) - лекарственный препарат, активная фармацевтическая субстанция которого является биологической активной фармацевтической субстанцией;</w:t>
      </w:r>
    </w:p>
    <w:bookmarkEnd w:id="4620"/>
    <w:bookmarkStart w:name="z4742" w:id="4621"/>
    <w:p>
      <w:pPr>
        <w:spacing w:after="0"/>
        <w:ind w:left="0"/>
        <w:jc w:val="both"/>
      </w:pPr>
      <w:r>
        <w:rPr>
          <w:rFonts w:ascii="Times New Roman"/>
          <w:b w:val="false"/>
          <w:i w:val="false"/>
          <w:color w:val="000000"/>
          <w:sz w:val="28"/>
        </w:rPr>
        <w:t>
      "бионагрузка" (bio burden) - уровень и вид микроорганизмов (неприемлемые или допустимые микроорганизмы), которые содержатся исходном сырье, питательной среде, биологических активных фармацевтических субстанциях, промежуточных продуктах или готовых лекарственных препаратах;</w:t>
      </w:r>
    </w:p>
    <w:bookmarkEnd w:id="4621"/>
    <w:bookmarkStart w:name="z4743" w:id="4622"/>
    <w:p>
      <w:pPr>
        <w:spacing w:after="0"/>
        <w:ind w:left="0"/>
        <w:jc w:val="both"/>
      </w:pPr>
      <w:r>
        <w:rPr>
          <w:rFonts w:ascii="Times New Roman"/>
          <w:b w:val="false"/>
          <w:i w:val="false"/>
          <w:color w:val="000000"/>
          <w:sz w:val="28"/>
        </w:rPr>
        <w:t>
      "вектор" (vector) - агент трансмиссии, переносящий генетическую информацию от одной клетки или организма к другой, например плазмиды, липосомы, вирусы;</w:t>
      </w:r>
    </w:p>
    <w:bookmarkEnd w:id="4622"/>
    <w:bookmarkStart w:name="z4744" w:id="4623"/>
    <w:p>
      <w:pPr>
        <w:spacing w:after="0"/>
        <w:ind w:left="0"/>
        <w:jc w:val="both"/>
      </w:pPr>
      <w:r>
        <w:rPr>
          <w:rFonts w:ascii="Times New Roman"/>
          <w:b w:val="false"/>
          <w:i w:val="false"/>
          <w:color w:val="000000"/>
          <w:sz w:val="28"/>
        </w:rPr>
        <w:t>
      "вирусный вектор" (viral vector) - вектор, произведенный путем модификации вируса с помощью методов молекулярной биологии для удерживания некоторых, но не всех, материнских генов вируса. При удалении генов, ответственных за способность вируса к репликации, созданный вектор является неспособным к репликации;</w:t>
      </w:r>
    </w:p>
    <w:bookmarkEnd w:id="4623"/>
    <w:bookmarkStart w:name="z4745" w:id="4624"/>
    <w:p>
      <w:pPr>
        <w:spacing w:after="0"/>
        <w:ind w:left="0"/>
        <w:jc w:val="both"/>
      </w:pPr>
      <w:r>
        <w:rPr>
          <w:rFonts w:ascii="Times New Roman"/>
          <w:b w:val="false"/>
          <w:i w:val="false"/>
          <w:color w:val="000000"/>
          <w:sz w:val="28"/>
        </w:rPr>
        <w:t>
      "вне живого организма" (ex-vivo) - процесс, при котором процедуры проводятся на тканях или клетках вне живого организма с последующим возвратом тканей или клеток в живой организм;</w:t>
      </w:r>
    </w:p>
    <w:bookmarkEnd w:id="4624"/>
    <w:bookmarkStart w:name="z4746" w:id="4625"/>
    <w:p>
      <w:pPr>
        <w:spacing w:after="0"/>
        <w:ind w:left="0"/>
        <w:jc w:val="both"/>
      </w:pPr>
      <w:r>
        <w:rPr>
          <w:rFonts w:ascii="Times New Roman"/>
          <w:b w:val="false"/>
          <w:i w:val="false"/>
          <w:color w:val="000000"/>
          <w:sz w:val="28"/>
        </w:rPr>
        <w:t>
      "внутри живого организма" (in-vivo) - процедуры, проводимые на живых организмах;</w:t>
      </w:r>
    </w:p>
    <w:bookmarkEnd w:id="4625"/>
    <w:bookmarkStart w:name="z4747" w:id="4626"/>
    <w:p>
      <w:pPr>
        <w:spacing w:after="0"/>
        <w:ind w:left="0"/>
        <w:jc w:val="both"/>
      </w:pPr>
      <w:r>
        <w:rPr>
          <w:rFonts w:ascii="Times New Roman"/>
          <w:b w:val="false"/>
          <w:i w:val="false"/>
          <w:color w:val="000000"/>
          <w:sz w:val="28"/>
        </w:rPr>
        <w:t>
      "вспомогательное вещество" (excipient) - вещество, за исключением активных фармацевтических субстанций, входящее в состав лекарственного препарата для придания ему необходимых свойств;</w:t>
      </w:r>
    </w:p>
    <w:bookmarkEnd w:id="4626"/>
    <w:bookmarkStart w:name="z4748" w:id="4627"/>
    <w:p>
      <w:pPr>
        <w:spacing w:after="0"/>
        <w:ind w:left="0"/>
        <w:jc w:val="both"/>
      </w:pPr>
      <w:r>
        <w:rPr>
          <w:rFonts w:ascii="Times New Roman"/>
          <w:b w:val="false"/>
          <w:i w:val="false"/>
          <w:color w:val="000000"/>
          <w:sz w:val="28"/>
        </w:rPr>
        <w:t>
      "гаптен" (hapten) - молекула с низкой молекулярной массой, не являющаяся антигеном по своей природе до момента конъюгации с "молекулой-носителем";</w:t>
      </w:r>
    </w:p>
    <w:bookmarkEnd w:id="4627"/>
    <w:bookmarkStart w:name="z4749" w:id="4628"/>
    <w:p>
      <w:pPr>
        <w:spacing w:after="0"/>
        <w:ind w:left="0"/>
        <w:jc w:val="both"/>
      </w:pPr>
      <w:r>
        <w:rPr>
          <w:rFonts w:ascii="Times New Roman"/>
          <w:b w:val="false"/>
          <w:i w:val="false"/>
          <w:color w:val="000000"/>
          <w:sz w:val="28"/>
        </w:rPr>
        <w:t>
      "ген" (gene) - последовательность ДНК, кодирующая один или несколько белков;</w:t>
      </w:r>
    </w:p>
    <w:bookmarkEnd w:id="4628"/>
    <w:bookmarkStart w:name="z4750" w:id="4629"/>
    <w:p>
      <w:pPr>
        <w:spacing w:after="0"/>
        <w:ind w:left="0"/>
        <w:jc w:val="both"/>
      </w:pPr>
      <w:r>
        <w:rPr>
          <w:rFonts w:ascii="Times New Roman"/>
          <w:b w:val="false"/>
          <w:i w:val="false"/>
          <w:color w:val="000000"/>
          <w:sz w:val="28"/>
        </w:rPr>
        <w:t>
      "генетически модифицированный организм" (ГМО) (genetically modified organism (GMO)) - любой организм, кроме человека, с измененным генетическим материалом, отличающимся от генетического материала, который получается при естественном спаривании и (или) естественной рекомбинации;</w:t>
      </w:r>
    </w:p>
    <w:bookmarkEnd w:id="4629"/>
    <w:bookmarkStart w:name="z4751" w:id="4630"/>
    <w:p>
      <w:pPr>
        <w:spacing w:after="0"/>
        <w:ind w:left="0"/>
        <w:jc w:val="both"/>
      </w:pPr>
      <w:r>
        <w:rPr>
          <w:rFonts w:ascii="Times New Roman"/>
          <w:b w:val="false"/>
          <w:i w:val="false"/>
          <w:color w:val="000000"/>
          <w:sz w:val="28"/>
        </w:rPr>
        <w:t>
      "гибридома" (hybridoma) - иммортализованная ("бессмертная") линия клеток, производящая желаемые (моноклональные) антитела и обычно получаемая путем искусственного слияния В-лимфоцитов с опухолевыми клетками;</w:t>
      </w:r>
    </w:p>
    <w:bookmarkEnd w:id="4630"/>
    <w:bookmarkStart w:name="z4752" w:id="4631"/>
    <w:p>
      <w:pPr>
        <w:spacing w:after="0"/>
        <w:ind w:left="0"/>
        <w:jc w:val="both"/>
      </w:pPr>
      <w:r>
        <w:rPr>
          <w:rFonts w:ascii="Times New Roman"/>
          <w:b w:val="false"/>
          <w:i w:val="false"/>
          <w:color w:val="000000"/>
          <w:sz w:val="28"/>
        </w:rPr>
        <w:t>
      "главный банк клеток" (master cell bank, (MCB)) - аликвота одного пула клеток, которая, как правило, была получена из конкретного клеточного клона при определенных условиях, распределена во множество контейнеров и хранится при определенных условиях;</w:t>
      </w:r>
    </w:p>
    <w:bookmarkEnd w:id="4631"/>
    <w:bookmarkStart w:name="z4753" w:id="4632"/>
    <w:p>
      <w:pPr>
        <w:spacing w:after="0"/>
        <w:ind w:left="0"/>
        <w:jc w:val="both"/>
      </w:pPr>
      <w:r>
        <w:rPr>
          <w:rFonts w:ascii="Times New Roman"/>
          <w:b w:val="false"/>
          <w:i w:val="false"/>
          <w:color w:val="000000"/>
          <w:sz w:val="28"/>
        </w:rPr>
        <w:t>
      "главный вирусный посевной материал" (master virus seed, (MVS))</w:t>
      </w:r>
    </w:p>
    <w:bookmarkEnd w:id="4632"/>
    <w:bookmarkStart w:name="z4754" w:id="4633"/>
    <w:p>
      <w:pPr>
        <w:spacing w:after="0"/>
        <w:ind w:left="0"/>
        <w:jc w:val="both"/>
      </w:pPr>
      <w:r>
        <w:rPr>
          <w:rFonts w:ascii="Times New Roman"/>
          <w:b w:val="false"/>
          <w:i w:val="false"/>
          <w:color w:val="000000"/>
          <w:sz w:val="28"/>
        </w:rPr>
        <w:t>
      - аликвота индивидуального субштама вирусов, которая, как правило, была получена из конкретного вирусного штама при определенных условиях, распределена во множество контейнеров и хранится при определенных условиях;</w:t>
      </w:r>
    </w:p>
    <w:bookmarkEnd w:id="4633"/>
    <w:bookmarkStart w:name="z4755" w:id="4634"/>
    <w:p>
      <w:pPr>
        <w:spacing w:after="0"/>
        <w:ind w:left="0"/>
        <w:jc w:val="both"/>
      </w:pPr>
      <w:r>
        <w:rPr>
          <w:rFonts w:ascii="Times New Roman"/>
          <w:b w:val="false"/>
          <w:i w:val="false"/>
          <w:color w:val="000000"/>
          <w:sz w:val="28"/>
        </w:rPr>
        <w:t>
      "главный трансгенный банк" (master transgenic bank) - аналогично определению главного банка клеток, но в отношении трансгенных растений или животных;</w:t>
      </w:r>
    </w:p>
    <w:bookmarkEnd w:id="4634"/>
    <w:bookmarkStart w:name="z4756" w:id="4635"/>
    <w:p>
      <w:pPr>
        <w:spacing w:after="0"/>
        <w:ind w:left="0"/>
        <w:jc w:val="both"/>
      </w:pPr>
      <w:r>
        <w:rPr>
          <w:rFonts w:ascii="Times New Roman"/>
          <w:b w:val="false"/>
          <w:i w:val="false"/>
          <w:color w:val="000000"/>
          <w:sz w:val="28"/>
        </w:rPr>
        <w:t>
      "закрытая система" (closed system) - система, в которой активная фармацевтическая субстанция или лекарственный препарат не подвержены непосредственному влиянию производственной среды;</w:t>
      </w:r>
    </w:p>
    <w:bookmarkEnd w:id="4635"/>
    <w:bookmarkStart w:name="z4757" w:id="4636"/>
    <w:p>
      <w:pPr>
        <w:spacing w:after="0"/>
        <w:ind w:left="0"/>
        <w:jc w:val="both"/>
      </w:pPr>
      <w:r>
        <w:rPr>
          <w:rFonts w:ascii="Times New Roman"/>
          <w:b w:val="false"/>
          <w:i w:val="false"/>
          <w:color w:val="000000"/>
          <w:sz w:val="28"/>
        </w:rPr>
        <w:t>
      "зона" (area) - определенный набор помещений в пределах одного здания, в которых производится один или несколько лекарственных препаратов и которые имеют отдельную систему воздухоподготовки;</w:t>
      </w:r>
    </w:p>
    <w:bookmarkEnd w:id="4636"/>
    <w:bookmarkStart w:name="z4758" w:id="4637"/>
    <w:p>
      <w:pPr>
        <w:spacing w:after="0"/>
        <w:ind w:left="0"/>
        <w:jc w:val="both"/>
      </w:pPr>
      <w:r>
        <w:rPr>
          <w:rFonts w:ascii="Times New Roman"/>
          <w:b w:val="false"/>
          <w:i w:val="false"/>
          <w:color w:val="000000"/>
          <w:sz w:val="28"/>
        </w:rPr>
        <w:t>
      "зооноз" (zoonosis) - инфекционные и инвазионные заболевания животных, которые при определенных условиях могут передаваться человеку;</w:t>
      </w:r>
    </w:p>
    <w:bookmarkEnd w:id="4637"/>
    <w:bookmarkStart w:name="z4759" w:id="4638"/>
    <w:p>
      <w:pPr>
        <w:spacing w:after="0"/>
        <w:ind w:left="0"/>
        <w:jc w:val="both"/>
      </w:pPr>
      <w:r>
        <w:rPr>
          <w:rFonts w:ascii="Times New Roman"/>
          <w:b w:val="false"/>
          <w:i w:val="false"/>
          <w:color w:val="000000"/>
          <w:sz w:val="28"/>
        </w:rPr>
        <w:t>
      "использование в условиях изоляции" (contained use) - любая деятельность, при которой генетически модифицированные организмы получают, культивируют, хранят, транспортируют, разрушают, уничтожают или используют каким-либо способом и при которой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bookmarkEnd w:id="4638"/>
    <w:bookmarkStart w:name="z4760" w:id="4639"/>
    <w:p>
      <w:pPr>
        <w:spacing w:after="0"/>
        <w:ind w:left="0"/>
        <w:jc w:val="both"/>
      </w:pPr>
      <w:r>
        <w:rPr>
          <w:rFonts w:ascii="Times New Roman"/>
          <w:b w:val="false"/>
          <w:i w:val="false"/>
          <w:color w:val="000000"/>
          <w:sz w:val="28"/>
        </w:rPr>
        <w:t>
      "исходное сырье" (raw materials) - любые субстанции, используемые для производства или экстрагирования активных фармацевтических субстанций, но не являющиеся их источником, такие как реагенты, среды для культивирования, сыворотка телячьих эмбрионов, добавки и буферы для хроматографии и др.;</w:t>
      </w:r>
    </w:p>
    <w:bookmarkEnd w:id="4639"/>
    <w:bookmarkStart w:name="z4761" w:id="4640"/>
    <w:p>
      <w:pPr>
        <w:spacing w:after="0"/>
        <w:ind w:left="0"/>
        <w:jc w:val="both"/>
      </w:pPr>
      <w:r>
        <w:rPr>
          <w:rFonts w:ascii="Times New Roman"/>
          <w:b w:val="false"/>
          <w:i w:val="false"/>
          <w:color w:val="000000"/>
          <w:sz w:val="28"/>
        </w:rPr>
        <w:t>
      "исходные материалы" (starting materials) - все материалы, из которых активная фармацевтическая субстанция производится или экстрагируется. Для биологических лекарственных препаратов исходные материалы представляют собой любые субстанции биологического происхождения, такие как микроорганизмы, органы и ткани растительного или животного происхождения, клетки или жидкости (включая кровь и плазму) человеческого или животного происхождения, также биотехнологические клеточные субстраты (рекомбинантные и природные), включая первичные клетки;</w:t>
      </w:r>
    </w:p>
    <w:bookmarkEnd w:id="4640"/>
    <w:bookmarkStart w:name="z4762" w:id="4641"/>
    <w:p>
      <w:pPr>
        <w:spacing w:after="0"/>
        <w:ind w:left="0"/>
        <w:jc w:val="both"/>
      </w:pPr>
      <w:r>
        <w:rPr>
          <w:rFonts w:ascii="Times New Roman"/>
          <w:b w:val="false"/>
          <w:i w:val="false"/>
          <w:color w:val="000000"/>
          <w:sz w:val="28"/>
        </w:rPr>
        <w:t>
      "клеточный запас" (сell stock) - первичные клетки, размножившиеся до заданного количества клеток, аликвоты которых отбираются и используются в качестве исходного материала для производства ограниченного количества серий лекарственных препаратов на основе клеток;</w:t>
      </w:r>
    </w:p>
    <w:bookmarkEnd w:id="4641"/>
    <w:bookmarkStart w:name="z4763" w:id="4642"/>
    <w:p>
      <w:pPr>
        <w:spacing w:after="0"/>
        <w:ind w:left="0"/>
        <w:jc w:val="both"/>
      </w:pPr>
      <w:r>
        <w:rPr>
          <w:rFonts w:ascii="Times New Roman"/>
          <w:b w:val="false"/>
          <w:i w:val="false"/>
          <w:color w:val="000000"/>
          <w:sz w:val="28"/>
        </w:rPr>
        <w:t>
      "моноклональные антитела" (monoclonal antibodies (MAb)) - гомогенная популяция антител, способных присоединяться к единственному эпитопу (антигенной детерминанте), полученная из единственного клона лимфоцитов или с помощью технологии рекомбинантной ДНК;</w:t>
      </w:r>
    </w:p>
    <w:bookmarkEnd w:id="4642"/>
    <w:bookmarkStart w:name="z4764" w:id="4643"/>
    <w:p>
      <w:pPr>
        <w:spacing w:after="0"/>
        <w:ind w:left="0"/>
        <w:jc w:val="both"/>
      </w:pPr>
      <w:r>
        <w:rPr>
          <w:rFonts w:ascii="Times New Roman"/>
          <w:b w:val="false"/>
          <w:i w:val="false"/>
          <w:color w:val="000000"/>
          <w:sz w:val="28"/>
        </w:rPr>
        <w:t xml:space="preserve">
      "ответственное лицо" (Responsible Person, (RP)) - данное определение используется в значении, установленном приложением </w:t>
      </w:r>
    </w:p>
    <w:bookmarkEnd w:id="4643"/>
    <w:bookmarkStart w:name="z4765" w:id="4644"/>
    <w:p>
      <w:pPr>
        <w:spacing w:after="0"/>
        <w:ind w:left="0"/>
        <w:jc w:val="both"/>
      </w:pPr>
      <w:r>
        <w:rPr>
          <w:rFonts w:ascii="Times New Roman"/>
          <w:b w:val="false"/>
          <w:i w:val="false"/>
          <w:color w:val="000000"/>
          <w:sz w:val="28"/>
        </w:rPr>
        <w:t>
      № 14 Стандарта надлежащей производственной практики;</w:t>
      </w:r>
    </w:p>
    <w:bookmarkEnd w:id="4644"/>
    <w:bookmarkStart w:name="z4766" w:id="4645"/>
    <w:p>
      <w:pPr>
        <w:spacing w:after="0"/>
        <w:ind w:left="0"/>
        <w:jc w:val="both"/>
      </w:pPr>
      <w:r>
        <w:rPr>
          <w:rFonts w:ascii="Times New Roman"/>
          <w:b w:val="false"/>
          <w:i w:val="false"/>
          <w:color w:val="000000"/>
          <w:sz w:val="28"/>
        </w:rPr>
        <w:t>
      "перенос генов (gene transfer)" - процесс переноса гена в клетки, включающий в себя систему экспрессии, содержащуюся в системе доставки, которая называется вектором. Вектор может быть как вирусного, так и невирусного происхождения. После переноса генов, генетически модифицированные клетки также могут иметь название "трансформированные клетки";</w:t>
      </w:r>
    </w:p>
    <w:bookmarkEnd w:id="4645"/>
    <w:bookmarkStart w:name="z4767" w:id="4646"/>
    <w:p>
      <w:pPr>
        <w:spacing w:after="0"/>
        <w:ind w:left="0"/>
        <w:jc w:val="both"/>
      </w:pPr>
      <w:r>
        <w:rPr>
          <w:rFonts w:ascii="Times New Roman"/>
          <w:b w:val="false"/>
          <w:i w:val="false"/>
          <w:color w:val="000000"/>
          <w:sz w:val="28"/>
        </w:rPr>
        <w:t>
      "питающие клетки" (feeder cells) - клетки, используемые в комбинированной культуре для поддержания плюрипотентности (способности дифференцироваться в множество специализированных типов клеток) стволовых клеток. Для культуры человеческих эмбриональных стволовых клеток типичные питающие слои состоят из эмбриональных фибробластов мыши (ЭФМ) или эмбриональных фибробластов человека (ЭФЧ), в которых специальными методами предотвращено деление;</w:t>
      </w:r>
    </w:p>
    <w:bookmarkEnd w:id="4646"/>
    <w:bookmarkStart w:name="z4768" w:id="4647"/>
    <w:p>
      <w:pPr>
        <w:spacing w:after="0"/>
        <w:ind w:left="0"/>
        <w:jc w:val="both"/>
      </w:pPr>
      <w:r>
        <w:rPr>
          <w:rFonts w:ascii="Times New Roman"/>
          <w:b w:val="false"/>
          <w:i w:val="false"/>
          <w:color w:val="000000"/>
          <w:sz w:val="28"/>
        </w:rPr>
        <w:t>
      "плазмида" (plasmid) - часть ДНК, обычно существующая в бактериальной клетке в виде кольцевой структуры, отделенной от клеточной хромосомы. Плазмида может быть модифицирована с помощью методов молекулярной биологии, выделена из бактериальной клетки и использована для переноса и встраивания ее ДНК в геном другой клетки;</w:t>
      </w:r>
    </w:p>
    <w:bookmarkEnd w:id="4647"/>
    <w:bookmarkStart w:name="z4769" w:id="4648"/>
    <w:p>
      <w:pPr>
        <w:spacing w:after="0"/>
        <w:ind w:left="0"/>
        <w:jc w:val="both"/>
      </w:pPr>
      <w:r>
        <w:rPr>
          <w:rFonts w:ascii="Times New Roman"/>
          <w:b w:val="false"/>
          <w:i w:val="false"/>
          <w:color w:val="000000"/>
          <w:sz w:val="28"/>
        </w:rPr>
        <w:t>
      "поддерживающая система" (scaffold) - средство поддержки, средство доставки или матрица, которые обеспечивают структуру или содействуют миграции, связыванию или транспорту клеток и (или) биологически активных молекул;</w:t>
      </w:r>
    </w:p>
    <w:bookmarkEnd w:id="4648"/>
    <w:bookmarkStart w:name="z4770" w:id="4649"/>
    <w:p>
      <w:pPr>
        <w:spacing w:after="0"/>
        <w:ind w:left="0"/>
        <w:jc w:val="both"/>
      </w:pPr>
      <w:r>
        <w:rPr>
          <w:rFonts w:ascii="Times New Roman"/>
          <w:b w:val="false"/>
          <w:i w:val="false"/>
          <w:color w:val="000000"/>
          <w:sz w:val="28"/>
        </w:rPr>
        <w:t>
      "поликлональные антитела" (рolyclonal antibodies) - антитела, полученные от нескольких клонов лимфоцитов и выработанные человеческим или животным организмом в ответ на введение антигена;</w:t>
      </w:r>
    </w:p>
    <w:bookmarkEnd w:id="4649"/>
    <w:bookmarkStart w:name="z4771" w:id="4650"/>
    <w:p>
      <w:pPr>
        <w:spacing w:after="0"/>
        <w:ind w:left="0"/>
        <w:jc w:val="both"/>
      </w:pPr>
      <w:r>
        <w:rPr>
          <w:rFonts w:ascii="Times New Roman"/>
          <w:b w:val="false"/>
          <w:i w:val="false"/>
          <w:color w:val="000000"/>
          <w:sz w:val="28"/>
        </w:rPr>
        <w:t>
      "помещение для производства нескольких лекарственных препаратов" (multi-product facility) - помещение для последовательного производства или производства по принципу кампаний различных групп биологических активных фармацевтических субстанций и лекарственных препаратов и в котором комплект используемого оборудования может быть специализированным или неспециализированным для каждого отдельного типа субстанций или лекарственных препаратов;</w:t>
      </w:r>
    </w:p>
    <w:bookmarkEnd w:id="4650"/>
    <w:bookmarkStart w:name="z4772" w:id="4651"/>
    <w:p>
      <w:pPr>
        <w:spacing w:after="0"/>
        <w:ind w:left="0"/>
        <w:jc w:val="both"/>
      </w:pPr>
      <w:r>
        <w:rPr>
          <w:rFonts w:ascii="Times New Roman"/>
          <w:b w:val="false"/>
          <w:i w:val="false"/>
          <w:color w:val="000000"/>
          <w:sz w:val="28"/>
        </w:rPr>
        <w:t>
      "преднамеренный выброс" (deliberate release) - преднамеренный выпуск в окружающую среду генетически модифицированных организмов, для которых не используются специальные меры изоляции для ограничения распространения этих организмов и обеспечения безопасности населения и окружающей среды;</w:t>
      </w:r>
    </w:p>
    <w:bookmarkEnd w:id="4651"/>
    <w:bookmarkStart w:name="z4773" w:id="4652"/>
    <w:p>
      <w:pPr>
        <w:spacing w:after="0"/>
        <w:ind w:left="0"/>
        <w:jc w:val="both"/>
      </w:pPr>
      <w:r>
        <w:rPr>
          <w:rFonts w:ascii="Times New Roman"/>
          <w:b w:val="false"/>
          <w:i w:val="false"/>
          <w:color w:val="000000"/>
          <w:sz w:val="28"/>
        </w:rPr>
        <w:t>
      "производство по принципу кампаний" (campaigned manufacture) - последовательное производство ряда серий одного и того же лекарственного препарата в течение определенного периода времени, после которого проводятся строгие контрольные мероприятия перед переключением на производство другого лекарственного препарата. Лекарственные препараты не производятся одновременно, но для их производства может быть использовано одно и то же оборудование;</w:t>
      </w:r>
    </w:p>
    <w:bookmarkEnd w:id="4652"/>
    <w:bookmarkStart w:name="z4774" w:id="4653"/>
    <w:p>
      <w:pPr>
        <w:spacing w:after="0"/>
        <w:ind w:left="0"/>
        <w:jc w:val="both"/>
      </w:pPr>
      <w:r>
        <w:rPr>
          <w:rFonts w:ascii="Times New Roman"/>
          <w:b w:val="false"/>
          <w:i w:val="false"/>
          <w:color w:val="000000"/>
          <w:sz w:val="28"/>
        </w:rPr>
        <w:t>
      "промежуточная продукция" (intermediate product) - данное определение используется в значении, установленном разделом "Термины и определения" Стандарта надлежащей производственной практики и разделом "Термины и определения" части II Стандарта надлежащей производственной практики;</w:t>
      </w:r>
    </w:p>
    <w:bookmarkEnd w:id="4653"/>
    <w:bookmarkStart w:name="z4775" w:id="4654"/>
    <w:p>
      <w:pPr>
        <w:spacing w:after="0"/>
        <w:ind w:left="0"/>
        <w:jc w:val="both"/>
      </w:pPr>
      <w:r>
        <w:rPr>
          <w:rFonts w:ascii="Times New Roman"/>
          <w:b w:val="false"/>
          <w:i w:val="false"/>
          <w:color w:val="000000"/>
          <w:sz w:val="28"/>
        </w:rPr>
        <w:t>
      "процедура ретроспективного анализа" (look-back) - документально оформленная процедура, обеспечивающая отслеживание биологических активных фармацевтических субстанций или лекарственных препаратов несоответствующего качества вследствие использования выбракованных животных или человеческих материалов из-за присутствия в этих материалах контаминирующего агента или при выявлении негативных факторов у животных или людей, являющихся источником этих материалов;</w:t>
      </w:r>
    </w:p>
    <w:bookmarkEnd w:id="4654"/>
    <w:bookmarkStart w:name="z4776" w:id="4655"/>
    <w:p>
      <w:pPr>
        <w:spacing w:after="0"/>
        <w:ind w:left="0"/>
        <w:jc w:val="both"/>
      </w:pPr>
      <w:r>
        <w:rPr>
          <w:rFonts w:ascii="Times New Roman"/>
          <w:b w:val="false"/>
          <w:i w:val="false"/>
          <w:color w:val="000000"/>
          <w:sz w:val="28"/>
        </w:rPr>
        <w:t>
      "рабочий банк клеток" (working cell bank(WCB)) - гомогенный пул микроорганизмов или клеток, полученных из главного банка клеток однородно распределенных в определенное число контейнеров. Рабочий банк клеток хранится в условиях, обеспечивающих его стабильность и использование в производстве;</w:t>
      </w:r>
    </w:p>
    <w:bookmarkEnd w:id="4655"/>
    <w:bookmarkStart w:name="z4777" w:id="4656"/>
    <w:p>
      <w:pPr>
        <w:spacing w:after="0"/>
        <w:ind w:left="0"/>
        <w:jc w:val="both"/>
      </w:pPr>
      <w:r>
        <w:rPr>
          <w:rFonts w:ascii="Times New Roman"/>
          <w:b w:val="false"/>
          <w:i w:val="false"/>
          <w:color w:val="000000"/>
          <w:sz w:val="28"/>
        </w:rPr>
        <w:t>
      "рабочий вирусный посевной материал" (working virus seed (WVS)) - гомогенный пул вирусов, полученных из главного вирусного посевного материала и однородно распределенных в определенное число контейнеров. Рабочий вирусный посевной материал хранится в условиях, обеспечивающих его стабильность и использование в производстве;</w:t>
      </w:r>
    </w:p>
    <w:bookmarkEnd w:id="4656"/>
    <w:bookmarkStart w:name="z4778" w:id="4657"/>
    <w:p>
      <w:pPr>
        <w:spacing w:after="0"/>
        <w:ind w:left="0"/>
        <w:jc w:val="both"/>
      </w:pPr>
      <w:r>
        <w:rPr>
          <w:rFonts w:ascii="Times New Roman"/>
          <w:b w:val="false"/>
          <w:i w:val="false"/>
          <w:color w:val="000000"/>
          <w:sz w:val="28"/>
        </w:rPr>
        <w:t>
      "рабочий трансгенный банк" (working transgenic bank) - гомогенный пул клеток трансгенных растений или животных, полученных из главного трансгенного банка и однородно распределенных в определенное число контейнеров. Рабочий трансгенный банк хранится в условиях, обеспечивающих его стабильность и использование в производстве;</w:t>
      </w:r>
    </w:p>
    <w:bookmarkEnd w:id="4657"/>
    <w:bookmarkStart w:name="z4779" w:id="4658"/>
    <w:p>
      <w:pPr>
        <w:spacing w:after="0"/>
        <w:ind w:left="0"/>
        <w:jc w:val="both"/>
      </w:pPr>
      <w:r>
        <w:rPr>
          <w:rFonts w:ascii="Times New Roman"/>
          <w:b w:val="false"/>
          <w:i w:val="false"/>
          <w:color w:val="000000"/>
          <w:sz w:val="28"/>
        </w:rPr>
        <w:t>
      "свободные от специфических патогенов" (specified pathogen free (SPF)) - животные материалы (например, куры, эмбрионы или культуры клеток), использующиеся для производства или контроля качества биологических лекарственных препаратов, полученные из групп животных (например, стад или стай), свободных от определенных патогенов. Такие стада или стаи определяются как группы животных, которые живут в общей среде и имеют ухаживающий за ними персонал, который не пребывает в контакте с животными, не свободными от специфических патогенов;</w:t>
      </w:r>
    </w:p>
    <w:bookmarkEnd w:id="4658"/>
    <w:bookmarkStart w:name="z4780" w:id="4659"/>
    <w:p>
      <w:pPr>
        <w:spacing w:after="0"/>
        <w:ind w:left="0"/>
        <w:jc w:val="both"/>
      </w:pPr>
      <w:r>
        <w:rPr>
          <w:rFonts w:ascii="Times New Roman"/>
          <w:b w:val="false"/>
          <w:i w:val="false"/>
          <w:color w:val="000000"/>
          <w:sz w:val="28"/>
        </w:rPr>
        <w:t>
      "соматические клетки" (somatic cells) - все клетки тела человека или животного, кроме репродуктивных клеток. Эти клетки могут быть аутологичными (от того же пациента), аллогенными (от другого человека) или ксеногенными (от животного) соматическими живыми клетками, манипуляции с которыми или изменение которых проводились в условиях вне живого организма с последующим введением в организм человека для достижения терапевтического, диагностического или профилактического действия;</w:t>
      </w:r>
    </w:p>
    <w:bookmarkEnd w:id="4659"/>
    <w:bookmarkStart w:name="z4781" w:id="4660"/>
    <w:p>
      <w:pPr>
        <w:spacing w:after="0"/>
        <w:ind w:left="0"/>
        <w:jc w:val="both"/>
      </w:pPr>
      <w:r>
        <w:rPr>
          <w:rFonts w:ascii="Times New Roman"/>
          <w:b w:val="false"/>
          <w:i w:val="false"/>
          <w:color w:val="000000"/>
          <w:sz w:val="28"/>
        </w:rPr>
        <w:t>
      "трансгенный" (transgenic) - организм, содержащий в своей обычной генетической структуре чужеродный ген для экспрессии биологических фармацевтических материалов;</w:t>
      </w:r>
    </w:p>
    <w:bookmarkEnd w:id="4660"/>
    <w:bookmarkStart w:name="z4782" w:id="4661"/>
    <w:p>
      <w:pPr>
        <w:spacing w:after="0"/>
        <w:ind w:left="0"/>
        <w:jc w:val="both"/>
      </w:pPr>
      <w:r>
        <w:rPr>
          <w:rFonts w:ascii="Times New Roman"/>
          <w:b w:val="false"/>
          <w:i w:val="false"/>
          <w:color w:val="000000"/>
          <w:sz w:val="28"/>
        </w:rPr>
        <w:t>
      "уровень биологической безопасности" (biosafety level (BSL)) - условия изоляции, требующиеся для безопасной работы с микроорганизмами разных уровней патогенности, начиная от 4-й группы патогенности (наименьший риск, маловероятно приводящий к заболеванию человека) и до 1-й группы патогенности (наивысший риск, вызывающий тяжелые легко распространяемые заболевания);</w:t>
      </w:r>
    </w:p>
    <w:bookmarkEnd w:id="4661"/>
    <w:bookmarkStart w:name="z4783" w:id="4662"/>
    <w:p>
      <w:pPr>
        <w:spacing w:after="0"/>
        <w:ind w:left="0"/>
        <w:jc w:val="both"/>
      </w:pPr>
      <w:r>
        <w:rPr>
          <w:rFonts w:ascii="Times New Roman"/>
          <w:b w:val="false"/>
          <w:i w:val="false"/>
          <w:color w:val="000000"/>
          <w:sz w:val="28"/>
        </w:rPr>
        <w:t>
      "чистая культура" (аксеничная культура) (mono sepsis (axenic)) - культура, содержащая одинаковые микроорганизмы и не контаминированная любыми другими организмами.</w:t>
      </w:r>
    </w:p>
    <w:bookmarkEnd w:id="4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4785" w:id="4663"/>
    <w:p>
      <w:pPr>
        <w:spacing w:after="0"/>
        <w:ind w:left="0"/>
        <w:jc w:val="left"/>
      </w:pPr>
      <w:r>
        <w:rPr>
          <w:rFonts w:ascii="Times New Roman"/>
          <w:b/>
          <w:i w:val="false"/>
          <w:color w:val="000000"/>
        </w:rPr>
        <w:t xml:space="preserve"> Требования производству радиофармацевтических лекарственных препаратов</w:t>
      </w:r>
    </w:p>
    <w:bookmarkEnd w:id="4663"/>
    <w:bookmarkStart w:name="z4786" w:id="4664"/>
    <w:p>
      <w:pPr>
        <w:spacing w:after="0"/>
        <w:ind w:left="0"/>
        <w:jc w:val="both"/>
      </w:pPr>
      <w:r>
        <w:rPr>
          <w:rFonts w:ascii="Times New Roman"/>
          <w:b w:val="false"/>
          <w:i w:val="false"/>
          <w:color w:val="000000"/>
          <w:sz w:val="28"/>
        </w:rPr>
        <w:t>
      Принцип</w:t>
      </w:r>
    </w:p>
    <w:bookmarkEnd w:id="4664"/>
    <w:bookmarkStart w:name="z4787" w:id="4665"/>
    <w:p>
      <w:pPr>
        <w:spacing w:after="0"/>
        <w:ind w:left="0"/>
        <w:jc w:val="both"/>
      </w:pPr>
      <w:r>
        <w:rPr>
          <w:rFonts w:ascii="Times New Roman"/>
          <w:b w:val="false"/>
          <w:i w:val="false"/>
          <w:color w:val="000000"/>
          <w:sz w:val="28"/>
        </w:rPr>
        <w:t>
      Производство радиофармацевтических лекарственных средств организовано в соответствии с принципами, приведенными в частях I и II Стандарта надлежащей производственной практики. Настоящее приложение устанавливает правила, специфические для производства радиофармацевтических лекарственных средств.</w:t>
      </w:r>
    </w:p>
    <w:bookmarkEnd w:id="4665"/>
    <w:bookmarkStart w:name="z4788" w:id="4666"/>
    <w:p>
      <w:pPr>
        <w:spacing w:after="0"/>
        <w:ind w:left="0"/>
        <w:jc w:val="both"/>
      </w:pPr>
      <w:r>
        <w:rPr>
          <w:rFonts w:ascii="Times New Roman"/>
          <w:b w:val="false"/>
          <w:i w:val="false"/>
          <w:color w:val="000000"/>
          <w:sz w:val="28"/>
        </w:rPr>
        <w:t>
      Настоящее приложение не распространятся на изготовление радиофармацевтических лекарственных средств в специализированных аптеках (в больничных или действующих самостоятельно) с использованием радионуклидных генераторов и наборов реагентов в соответствии с законодательством.</w:t>
      </w:r>
    </w:p>
    <w:bookmarkEnd w:id="4666"/>
    <w:bookmarkStart w:name="z4789" w:id="4667"/>
    <w:p>
      <w:pPr>
        <w:spacing w:after="0"/>
        <w:ind w:left="0"/>
        <w:jc w:val="both"/>
      </w:pPr>
      <w:r>
        <w:rPr>
          <w:rFonts w:ascii="Times New Roman"/>
          <w:b w:val="false"/>
          <w:i w:val="false"/>
          <w:color w:val="000000"/>
          <w:sz w:val="28"/>
        </w:rPr>
        <w:t>
      В соответствии с требованиями радиационной безопасности ответственность за применение радиации в медицинских целях лежит на медицинских работниках. При применении радиофармацевтических лекарственных средств в диагностических и терапевтических целях обеспечено, при необходимости, наличие специалиста по медицинской физике.</w:t>
      </w:r>
    </w:p>
    <w:bookmarkEnd w:id="4667"/>
    <w:bookmarkStart w:name="z4790" w:id="4668"/>
    <w:p>
      <w:pPr>
        <w:spacing w:after="0"/>
        <w:ind w:left="0"/>
        <w:jc w:val="both"/>
      </w:pPr>
      <w:r>
        <w:rPr>
          <w:rFonts w:ascii="Times New Roman"/>
          <w:b w:val="false"/>
          <w:i w:val="false"/>
          <w:color w:val="000000"/>
          <w:sz w:val="28"/>
        </w:rPr>
        <w:t>
      Настоящее приложение распространяется также на радиофармацевтические лекарственные средства, использующиеся в клинических исследованиях.</w:t>
      </w:r>
    </w:p>
    <w:bookmarkEnd w:id="4668"/>
    <w:bookmarkStart w:name="z4791" w:id="4669"/>
    <w:p>
      <w:pPr>
        <w:spacing w:after="0"/>
        <w:ind w:left="0"/>
        <w:jc w:val="both"/>
      </w:pPr>
      <w:r>
        <w:rPr>
          <w:rFonts w:ascii="Times New Roman"/>
          <w:b w:val="false"/>
          <w:i w:val="false"/>
          <w:color w:val="000000"/>
          <w:sz w:val="28"/>
        </w:rPr>
        <w:t>
      Транспортирование радиофармацевтических лекарственных средств выполняется в соответствии с требованиями по радиационной безопасности Международного агентства по атомной энергии (МАГАТЭ) и требованиями законодательства.</w:t>
      </w:r>
    </w:p>
    <w:bookmarkEnd w:id="4669"/>
    <w:bookmarkStart w:name="z4792" w:id="4670"/>
    <w:p>
      <w:pPr>
        <w:spacing w:after="0"/>
        <w:ind w:left="0"/>
        <w:jc w:val="both"/>
      </w:pPr>
      <w:r>
        <w:rPr>
          <w:rFonts w:ascii="Times New Roman"/>
          <w:b w:val="false"/>
          <w:i w:val="false"/>
          <w:color w:val="000000"/>
          <w:sz w:val="28"/>
        </w:rPr>
        <w:t>
      Могут использоваться методы, отличающиеся от приведенных в настоящем приложении, но позволяющие выполнять требования по обеспечению качества продукции. Иные методы валидируются и обеспечивают уровень качества, по крайней мере, эквивалентный требованиям настоящего приложения.</w:t>
      </w:r>
    </w:p>
    <w:bookmarkEnd w:id="4670"/>
    <w:bookmarkStart w:name="z4793" w:id="4671"/>
    <w:p>
      <w:pPr>
        <w:spacing w:after="0"/>
        <w:ind w:left="0"/>
        <w:jc w:val="both"/>
      </w:pPr>
      <w:r>
        <w:rPr>
          <w:rFonts w:ascii="Times New Roman"/>
          <w:b w:val="false"/>
          <w:i w:val="false"/>
          <w:color w:val="000000"/>
          <w:sz w:val="28"/>
        </w:rPr>
        <w:t>
      Введение</w:t>
      </w:r>
    </w:p>
    <w:bookmarkEnd w:id="4671"/>
    <w:bookmarkStart w:name="z4794" w:id="4672"/>
    <w:p>
      <w:pPr>
        <w:spacing w:after="0"/>
        <w:ind w:left="0"/>
        <w:jc w:val="both"/>
      </w:pPr>
      <w:r>
        <w:rPr>
          <w:rFonts w:ascii="Times New Roman"/>
          <w:b w:val="false"/>
          <w:i w:val="false"/>
          <w:color w:val="000000"/>
          <w:sz w:val="28"/>
        </w:rPr>
        <w:t>
      1. Производство радиофармацевтических лекарственных средств и обращение с ними представляет потенциальную опасность. Уровень рисков зависит, в частности, от типа ионизирующего излучения, энергии излучения и периода полураспада радионуклидов. Особое внимание следует уделять предотвращению перекрестной контаминации, хранению остатков радиоактивных материалов и удалению отходов.</w:t>
      </w:r>
    </w:p>
    <w:bookmarkEnd w:id="4672"/>
    <w:bookmarkStart w:name="z4795" w:id="4673"/>
    <w:p>
      <w:pPr>
        <w:spacing w:after="0"/>
        <w:ind w:left="0"/>
        <w:jc w:val="both"/>
      </w:pPr>
      <w:r>
        <w:rPr>
          <w:rFonts w:ascii="Times New Roman"/>
          <w:b w:val="false"/>
          <w:i w:val="false"/>
          <w:color w:val="000000"/>
          <w:sz w:val="28"/>
        </w:rPr>
        <w:t>
      2. Из-за того, что некоторые радионуклиды имеют короткий срок хранения, допускается выпускать в обращение содержащие их радиофармацевтические лекарственные средства до завершения испытаний контроля качества. В этом случае в специальной процедуре четко и подробно определяет порядок выдачи разрешения на выпуск, включая ответственность персонала и непрерывную оценку эффективности системы обеспечения качества.</w:t>
      </w:r>
    </w:p>
    <w:bookmarkEnd w:id="4673"/>
    <w:bookmarkStart w:name="z4796" w:id="4674"/>
    <w:p>
      <w:pPr>
        <w:spacing w:after="0"/>
        <w:ind w:left="0"/>
        <w:jc w:val="both"/>
      </w:pPr>
      <w:r>
        <w:rPr>
          <w:rFonts w:ascii="Times New Roman"/>
          <w:b w:val="false"/>
          <w:i w:val="false"/>
          <w:color w:val="000000"/>
          <w:sz w:val="28"/>
        </w:rPr>
        <w:t>
      3. Областью применения настоящего приложения является деятельность промышленных производств, ядерных центров, институтов и ПЭТ-центров по производству и контролю качества следующих типов продукции:</w:t>
      </w:r>
    </w:p>
    <w:bookmarkEnd w:id="4674"/>
    <w:bookmarkStart w:name="z4797" w:id="4675"/>
    <w:p>
      <w:pPr>
        <w:spacing w:after="0"/>
        <w:ind w:left="0"/>
        <w:jc w:val="both"/>
      </w:pPr>
      <w:r>
        <w:rPr>
          <w:rFonts w:ascii="Times New Roman"/>
          <w:b w:val="false"/>
          <w:i w:val="false"/>
          <w:color w:val="000000"/>
          <w:sz w:val="28"/>
        </w:rPr>
        <w:t>
      радиофармацевтических лекарственных средств;</w:t>
      </w:r>
    </w:p>
    <w:bookmarkEnd w:id="4675"/>
    <w:bookmarkStart w:name="z4798" w:id="4676"/>
    <w:p>
      <w:pPr>
        <w:spacing w:after="0"/>
        <w:ind w:left="0"/>
        <w:jc w:val="both"/>
      </w:pPr>
      <w:r>
        <w:rPr>
          <w:rFonts w:ascii="Times New Roman"/>
          <w:b w:val="false"/>
          <w:i w:val="false"/>
          <w:color w:val="000000"/>
          <w:sz w:val="28"/>
        </w:rPr>
        <w:t xml:space="preserve">
      радиофармацевтических лекарственных средств для ПЭТ (позитронно-эмиссионной томографии); радиоактивных предшественников для производства радиофармацевтических лекарственных препаратов; </w:t>
      </w:r>
    </w:p>
    <w:bookmarkEnd w:id="4676"/>
    <w:bookmarkStart w:name="z4799" w:id="4677"/>
    <w:p>
      <w:pPr>
        <w:spacing w:after="0"/>
        <w:ind w:left="0"/>
        <w:jc w:val="both"/>
      </w:pPr>
      <w:r>
        <w:rPr>
          <w:rFonts w:ascii="Times New Roman"/>
          <w:b w:val="false"/>
          <w:i w:val="false"/>
          <w:color w:val="000000"/>
          <w:sz w:val="28"/>
        </w:rPr>
        <w:t>
      радионуклидных генераторов.</w:t>
      </w:r>
    </w:p>
    <w:bookmarkEnd w:id="4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выполнять требования частей II и I Стандарта надлежащей производственной практики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 няется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приближения стадии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 готовому продукту требования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усиливаются), включая соответствующие приложения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ческие лекарственные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финишная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ческие лекарственные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предшественники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4678"/>
          <w:p>
            <w:pPr>
              <w:spacing w:after="20"/>
              <w:ind w:left="20"/>
              <w:jc w:val="both"/>
            </w:pPr>
            <w:r>
              <w:rPr>
                <w:rFonts w:ascii="Times New Roman"/>
                <w:b w:val="false"/>
                <w:i w:val="false"/>
                <w:color w:val="000000"/>
                <w:sz w:val="20"/>
              </w:rPr>
              <w:t>
технологический процесс (сборка колонки, генератора,</w:t>
            </w:r>
          </w:p>
          <w:bookmarkEnd w:id="4678"/>
          <w:p>
            <w:pPr>
              <w:spacing w:after="20"/>
              <w:ind w:left="20"/>
              <w:jc w:val="both"/>
            </w:pPr>
            <w:r>
              <w:rPr>
                <w:rFonts w:ascii="Times New Roman"/>
                <w:b w:val="false"/>
                <w:i w:val="false"/>
                <w:color w:val="000000"/>
                <w:sz w:val="20"/>
              </w:rPr>
              <w:t>
зарядка генератора и др.)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реакторов 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циклотронов2</w:t>
            </w:r>
          </w:p>
        </w:tc>
        <w:tc>
          <w:tcPr>
            <w:tcW w:w="0" w:type="auto"/>
            <w:gridSpan w:val="4"/>
            <w:vMerge/>
            <w:tcBorders>
              <w:top w:val="nil"/>
              <w:left w:val="single" w:color="cfcfcf" w:sz="5"/>
              <w:bottom w:val="single" w:color="cfcfcf" w:sz="5"/>
              <w:right w:val="single" w:color="cfcfcf" w:sz="5"/>
            </w:tcBorders>
          </w:tcPr>
          <w:p/>
        </w:tc>
      </w:tr>
    </w:tbl>
    <w:bookmarkStart w:name="z4801" w:id="4679"/>
    <w:p>
      <w:pPr>
        <w:spacing w:after="0"/>
        <w:ind w:left="0"/>
        <w:jc w:val="both"/>
      </w:pPr>
      <w:r>
        <w:rPr>
          <w:rFonts w:ascii="Times New Roman"/>
          <w:b w:val="false"/>
          <w:i w:val="false"/>
          <w:color w:val="000000"/>
          <w:sz w:val="28"/>
        </w:rPr>
        <w:t>
      _____________</w:t>
      </w:r>
    </w:p>
    <w:bookmarkEnd w:id="4679"/>
    <w:bookmarkStart w:name="z4802" w:id="4680"/>
    <w:p>
      <w:pPr>
        <w:spacing w:after="0"/>
        <w:ind w:left="0"/>
        <w:jc w:val="both"/>
      </w:pPr>
      <w:r>
        <w:rPr>
          <w:rFonts w:ascii="Times New Roman"/>
          <w:b w:val="false"/>
          <w:i w:val="false"/>
          <w:color w:val="000000"/>
          <w:sz w:val="28"/>
        </w:rPr>
        <w:t>
      * Мишень и система передачи от циклотрона к установке синтеза могут рассматриваться как первая стадия производства активных фармацевтических субстанций.</w:t>
      </w:r>
    </w:p>
    <w:bookmarkEnd w:id="4680"/>
    <w:bookmarkStart w:name="z4803" w:id="4681"/>
    <w:p>
      <w:pPr>
        <w:spacing w:after="0"/>
        <w:ind w:left="0"/>
        <w:jc w:val="both"/>
      </w:pPr>
      <w:r>
        <w:rPr>
          <w:rFonts w:ascii="Times New Roman"/>
          <w:b w:val="false"/>
          <w:i w:val="false"/>
          <w:color w:val="000000"/>
          <w:sz w:val="28"/>
        </w:rPr>
        <w:t>
      ** Продукция, полученная в результате радиохимического выделения радионуклида из облученной радиоактивной мишени.</w:t>
      </w:r>
    </w:p>
    <w:bookmarkEnd w:id="4681"/>
    <w:bookmarkStart w:name="z4804" w:id="4682"/>
    <w:p>
      <w:pPr>
        <w:spacing w:after="0"/>
        <w:ind w:left="0"/>
        <w:jc w:val="both"/>
      </w:pPr>
      <w:r>
        <w:rPr>
          <w:rFonts w:ascii="Times New Roman"/>
          <w:b w:val="false"/>
          <w:i w:val="false"/>
          <w:color w:val="000000"/>
          <w:sz w:val="28"/>
        </w:rPr>
        <w:t>
      *** Продукция, полученная в результате радиохимического выделения материнского радионуклида из облученной радиоактивной мишени.</w:t>
      </w:r>
    </w:p>
    <w:bookmarkEnd w:id="4682"/>
    <w:bookmarkStart w:name="z4805" w:id="4683"/>
    <w:p>
      <w:pPr>
        <w:spacing w:after="0"/>
        <w:ind w:left="0"/>
        <w:jc w:val="both"/>
      </w:pPr>
      <w:r>
        <w:rPr>
          <w:rFonts w:ascii="Times New Roman"/>
          <w:b w:val="false"/>
          <w:i w:val="false"/>
          <w:color w:val="000000"/>
          <w:sz w:val="28"/>
        </w:rPr>
        <w:t>
      4. Производитель готового радиофармацевтического лекарственного средства имеет описание технологического процесса производства активной фармацевтической субстанции, готового радиофармацевтического лекарственного средства и указать, какие требования Стандарта надлежащей производственной практики (часть I или II) распространяются на различные технологические операции (стадии).</w:t>
      </w:r>
    </w:p>
    <w:bookmarkEnd w:id="4683"/>
    <w:bookmarkStart w:name="z4806" w:id="4684"/>
    <w:p>
      <w:pPr>
        <w:spacing w:after="0"/>
        <w:ind w:left="0"/>
        <w:jc w:val="both"/>
      </w:pPr>
      <w:r>
        <w:rPr>
          <w:rFonts w:ascii="Times New Roman"/>
          <w:b w:val="false"/>
          <w:i w:val="false"/>
          <w:color w:val="000000"/>
          <w:sz w:val="28"/>
        </w:rPr>
        <w:t>
      5. Производство радиофармацевтических лекарственных средств выполнятся в соответствии с требованиями норм радиационной безопасности.</w:t>
      </w:r>
    </w:p>
    <w:bookmarkEnd w:id="4684"/>
    <w:bookmarkStart w:name="z4807" w:id="4685"/>
    <w:p>
      <w:pPr>
        <w:spacing w:after="0"/>
        <w:ind w:left="0"/>
        <w:jc w:val="both"/>
      </w:pPr>
      <w:r>
        <w:rPr>
          <w:rFonts w:ascii="Times New Roman"/>
          <w:b w:val="false"/>
          <w:i w:val="false"/>
          <w:color w:val="000000"/>
          <w:sz w:val="28"/>
        </w:rPr>
        <w:t>
      6. Производство радиофармацевтических лекарственных средств, предназначенных для парентерального введения, выполнятся в соответствии с требованиями, предъявляемыми к стерильности таких лекарственных средств, с соблюдением в соответствующих случаях асептических условий производства в соответствии с приложением № 1 Стандарта надлежащей производственной практики.</w:t>
      </w:r>
    </w:p>
    <w:bookmarkEnd w:id="4685"/>
    <w:bookmarkStart w:name="z4808" w:id="4686"/>
    <w:p>
      <w:pPr>
        <w:spacing w:after="0"/>
        <w:ind w:left="0"/>
        <w:jc w:val="both"/>
      </w:pPr>
      <w:r>
        <w:rPr>
          <w:rFonts w:ascii="Times New Roman"/>
          <w:b w:val="false"/>
          <w:i w:val="false"/>
          <w:color w:val="000000"/>
          <w:sz w:val="28"/>
        </w:rPr>
        <w:t>
      7. Спецификации и методы контроля качества радиофармацевтических лекарственных средств устанавливаются в Фармакопее Евразийского экономического союза либо в национальных фармакопеях или в регистрационных досье на эти лекарственные средства.</w:t>
      </w:r>
    </w:p>
    <w:bookmarkEnd w:id="4686"/>
    <w:bookmarkStart w:name="z4809" w:id="4687"/>
    <w:p>
      <w:pPr>
        <w:spacing w:after="0"/>
        <w:ind w:left="0"/>
        <w:jc w:val="both"/>
      </w:pPr>
      <w:r>
        <w:rPr>
          <w:rFonts w:ascii="Times New Roman"/>
          <w:b w:val="false"/>
          <w:i w:val="false"/>
          <w:color w:val="000000"/>
          <w:sz w:val="28"/>
        </w:rPr>
        <w:t>
      Клинические исследования</w:t>
      </w:r>
    </w:p>
    <w:bookmarkEnd w:id="4687"/>
    <w:bookmarkStart w:name="z4810" w:id="4688"/>
    <w:p>
      <w:pPr>
        <w:spacing w:after="0"/>
        <w:ind w:left="0"/>
        <w:jc w:val="both"/>
      </w:pPr>
      <w:r>
        <w:rPr>
          <w:rFonts w:ascii="Times New Roman"/>
          <w:b w:val="false"/>
          <w:i w:val="false"/>
          <w:color w:val="000000"/>
          <w:sz w:val="28"/>
        </w:rPr>
        <w:t>
      8. На производство радиофармацевтических лекарственных средств, предназначенных для клинических исследований, распространяются также требования приложения № 13 Стандарта надлежащей производственной практики.</w:t>
      </w:r>
    </w:p>
    <w:bookmarkEnd w:id="4688"/>
    <w:bookmarkStart w:name="z4811" w:id="4689"/>
    <w:p>
      <w:pPr>
        <w:spacing w:after="0"/>
        <w:ind w:left="0"/>
        <w:jc w:val="both"/>
      </w:pPr>
      <w:r>
        <w:rPr>
          <w:rFonts w:ascii="Times New Roman"/>
          <w:b w:val="false"/>
          <w:i w:val="false"/>
          <w:color w:val="000000"/>
          <w:sz w:val="28"/>
        </w:rPr>
        <w:t>
      Обеспечение качества</w:t>
      </w:r>
    </w:p>
    <w:bookmarkEnd w:id="4689"/>
    <w:bookmarkStart w:name="z4812" w:id="4690"/>
    <w:p>
      <w:pPr>
        <w:spacing w:after="0"/>
        <w:ind w:left="0"/>
        <w:jc w:val="both"/>
      </w:pPr>
      <w:r>
        <w:rPr>
          <w:rFonts w:ascii="Times New Roman"/>
          <w:b w:val="false"/>
          <w:i w:val="false"/>
          <w:color w:val="000000"/>
          <w:sz w:val="28"/>
        </w:rPr>
        <w:t>
      9. Обеспечение качества при производстве радиофармацевтических лекарственных средств имеет особое значение в виду их специфических особенностей, малых объемов серий и в некоторых случаях необходимости их медицинского применения до завершения контроля качества.</w:t>
      </w:r>
    </w:p>
    <w:bookmarkEnd w:id="4690"/>
    <w:bookmarkStart w:name="z4813" w:id="4691"/>
    <w:p>
      <w:pPr>
        <w:spacing w:after="0"/>
        <w:ind w:left="0"/>
        <w:jc w:val="both"/>
      </w:pPr>
      <w:r>
        <w:rPr>
          <w:rFonts w:ascii="Times New Roman"/>
          <w:b w:val="false"/>
          <w:i w:val="false"/>
          <w:color w:val="000000"/>
          <w:sz w:val="28"/>
        </w:rPr>
        <w:t>
      10. Защита продукции от контаминации и перекрестной контаминации обеспечивает так же, как и при производстве любых лекарственных средств. Но в данном случае предъявляется дополнительное требование по защите производственной среды и персонала от ионизирующего излучения. Это означает, что система обеспечения качества приобретает исключительно важное значение.</w:t>
      </w:r>
    </w:p>
    <w:bookmarkEnd w:id="4691"/>
    <w:bookmarkStart w:name="z4814" w:id="4692"/>
    <w:p>
      <w:pPr>
        <w:spacing w:after="0"/>
        <w:ind w:left="0"/>
        <w:jc w:val="both"/>
      </w:pPr>
      <w:r>
        <w:rPr>
          <w:rFonts w:ascii="Times New Roman"/>
          <w:b w:val="false"/>
          <w:i w:val="false"/>
          <w:color w:val="000000"/>
          <w:sz w:val="28"/>
        </w:rPr>
        <w:t>
      11. Очень важным является тщательная регистрация данных мониторинга помещений и процессов. Оценка этих данных является частью процесса выпуска серии в обращение.</w:t>
      </w:r>
    </w:p>
    <w:bookmarkEnd w:id="4692"/>
    <w:bookmarkStart w:name="z4815" w:id="4693"/>
    <w:p>
      <w:pPr>
        <w:spacing w:after="0"/>
        <w:ind w:left="0"/>
        <w:jc w:val="both"/>
      </w:pPr>
      <w:r>
        <w:rPr>
          <w:rFonts w:ascii="Times New Roman"/>
          <w:b w:val="false"/>
          <w:i w:val="false"/>
          <w:color w:val="000000"/>
          <w:sz w:val="28"/>
        </w:rPr>
        <w:t>
      12. При производстве радиофармацевтических лекарственных средств в необходимом объеме проводит квалификацию и валидацию. Для определения объема работ по квалификации и валидации применяется подход, основанный на управлении рисками, с особым вниманием к комбинации требований Стандарта надлежащей производственной практики и радиационной безопасности.</w:t>
      </w:r>
    </w:p>
    <w:bookmarkEnd w:id="4693"/>
    <w:bookmarkStart w:name="z4816" w:id="4694"/>
    <w:p>
      <w:pPr>
        <w:spacing w:after="0"/>
        <w:ind w:left="0"/>
        <w:jc w:val="both"/>
      </w:pPr>
      <w:r>
        <w:rPr>
          <w:rFonts w:ascii="Times New Roman"/>
          <w:b w:val="false"/>
          <w:i w:val="false"/>
          <w:color w:val="000000"/>
          <w:sz w:val="28"/>
        </w:rPr>
        <w:t>
      Персонал</w:t>
      </w:r>
    </w:p>
    <w:bookmarkEnd w:id="4694"/>
    <w:bookmarkStart w:name="z4817" w:id="4695"/>
    <w:p>
      <w:pPr>
        <w:spacing w:after="0"/>
        <w:ind w:left="0"/>
        <w:jc w:val="both"/>
      </w:pPr>
      <w:r>
        <w:rPr>
          <w:rFonts w:ascii="Times New Roman"/>
          <w:b w:val="false"/>
          <w:i w:val="false"/>
          <w:color w:val="000000"/>
          <w:sz w:val="28"/>
        </w:rPr>
        <w:t>
      13. Все технологические операции выполняются персоналом, имеющим специальную подготовку по радиационной безопасности. Персонал, занятый в производстве, контроле качества и выпуске радиофармацевтических лекарственных средств, проходит соответствующее обучение, связанное с особенностями системы обеспечения качества радиофармацевтических лекарственных средств. Уполномоченное лицо несет полную ответственность за выпуск радиофармацевтических лекарственных средств.</w:t>
      </w:r>
    </w:p>
    <w:bookmarkEnd w:id="4695"/>
    <w:bookmarkStart w:name="z4818" w:id="4696"/>
    <w:p>
      <w:pPr>
        <w:spacing w:after="0"/>
        <w:ind w:left="0"/>
        <w:jc w:val="both"/>
      </w:pPr>
      <w:r>
        <w:rPr>
          <w:rFonts w:ascii="Times New Roman"/>
          <w:b w:val="false"/>
          <w:i w:val="false"/>
          <w:color w:val="000000"/>
          <w:sz w:val="28"/>
        </w:rPr>
        <w:t>
      14. Персонал, работающий в зонах производства радиофармацевтических лекарственных средств (включая занятый уборкой и техническим обслуживанием), проходит дополнительное обучение, связанное со спецификой процессов и продукции.</w:t>
      </w:r>
    </w:p>
    <w:bookmarkEnd w:id="4696"/>
    <w:bookmarkStart w:name="z4819" w:id="4697"/>
    <w:p>
      <w:pPr>
        <w:spacing w:after="0"/>
        <w:ind w:left="0"/>
        <w:jc w:val="both"/>
      </w:pPr>
      <w:r>
        <w:rPr>
          <w:rFonts w:ascii="Times New Roman"/>
          <w:b w:val="false"/>
          <w:i w:val="false"/>
          <w:color w:val="000000"/>
          <w:sz w:val="28"/>
        </w:rPr>
        <w:t>
      15. Если производственные помещения и оборудование используются также для проведения исследований, то исследовательский персонал проходит обучение Стандарта надлежащей производственной практики. Служба обеспечения качества рассматривает и дает разрешение на проведение работ, связанных с исследованиями, для того чтобы исключить их опасное влияние на производство.</w:t>
      </w:r>
    </w:p>
    <w:bookmarkEnd w:id="4697"/>
    <w:bookmarkStart w:name="z4820" w:id="4698"/>
    <w:p>
      <w:pPr>
        <w:spacing w:after="0"/>
        <w:ind w:left="0"/>
        <w:jc w:val="both"/>
      </w:pPr>
      <w:r>
        <w:rPr>
          <w:rFonts w:ascii="Times New Roman"/>
          <w:b w:val="false"/>
          <w:i w:val="false"/>
          <w:color w:val="000000"/>
          <w:sz w:val="28"/>
        </w:rPr>
        <w:t>
      Помещения и оборудование</w:t>
      </w:r>
    </w:p>
    <w:bookmarkEnd w:id="4698"/>
    <w:bookmarkStart w:name="z4821" w:id="4699"/>
    <w:p>
      <w:pPr>
        <w:spacing w:after="0"/>
        <w:ind w:left="0"/>
        <w:jc w:val="both"/>
      </w:pPr>
      <w:r>
        <w:rPr>
          <w:rFonts w:ascii="Times New Roman"/>
          <w:b w:val="false"/>
          <w:i w:val="false"/>
          <w:color w:val="000000"/>
          <w:sz w:val="28"/>
        </w:rPr>
        <w:t>
      Общие положения</w:t>
      </w:r>
    </w:p>
    <w:bookmarkEnd w:id="4699"/>
    <w:bookmarkStart w:name="z4822" w:id="4700"/>
    <w:p>
      <w:pPr>
        <w:spacing w:after="0"/>
        <w:ind w:left="0"/>
        <w:jc w:val="both"/>
      </w:pPr>
      <w:r>
        <w:rPr>
          <w:rFonts w:ascii="Times New Roman"/>
          <w:b w:val="false"/>
          <w:i w:val="false"/>
          <w:color w:val="000000"/>
          <w:sz w:val="28"/>
        </w:rPr>
        <w:t>
      16. Производство радиофармацевтических лекарственных средств проводится в контролируемых зонах, в которых выполняются требования к производственной среде и радиационной безопасности. Все технологические операции выполняются в помещениях и на оборудовании, специально предназначенных для производства радиофармацевтических лекарственных средств.</w:t>
      </w:r>
    </w:p>
    <w:bookmarkEnd w:id="4700"/>
    <w:bookmarkStart w:name="z4823" w:id="4701"/>
    <w:p>
      <w:pPr>
        <w:spacing w:after="0"/>
        <w:ind w:left="0"/>
        <w:jc w:val="both"/>
      </w:pPr>
      <w:r>
        <w:rPr>
          <w:rFonts w:ascii="Times New Roman"/>
          <w:b w:val="false"/>
          <w:i w:val="false"/>
          <w:color w:val="000000"/>
          <w:sz w:val="28"/>
        </w:rPr>
        <w:t>
      17. Следует принять меры по предотвращению перекрестной контаминации от персонала, исходного сырья и материалов, радионуклидов и пр. Везде, где это возможно, следует использовать закрытое или изолированное оборудование. При использовании оборудования открытого типа или при открывании оборудования следует принять меры по сведению риска контаминации к минимуму. При оценке рисков следует показать, что чистота производственной среды удовлетворяет требованиям, предъявляемым к типу выпускаемой продукции.</w:t>
      </w:r>
    </w:p>
    <w:bookmarkEnd w:id="4701"/>
    <w:bookmarkStart w:name="z4824" w:id="4702"/>
    <w:p>
      <w:pPr>
        <w:spacing w:after="0"/>
        <w:ind w:left="0"/>
        <w:jc w:val="both"/>
      </w:pPr>
      <w:r>
        <w:rPr>
          <w:rFonts w:ascii="Times New Roman"/>
          <w:b w:val="false"/>
          <w:i w:val="false"/>
          <w:color w:val="000000"/>
          <w:sz w:val="28"/>
        </w:rPr>
        <w:t>
      18. Вход в производственные зоны осуществляется через помещения для переодевания (санпропускники) и разрешен исключительно для персонала, имеющего право доступа в них.</w:t>
      </w:r>
    </w:p>
    <w:bookmarkEnd w:id="4702"/>
    <w:bookmarkStart w:name="z4825" w:id="4703"/>
    <w:p>
      <w:pPr>
        <w:spacing w:after="0"/>
        <w:ind w:left="0"/>
        <w:jc w:val="both"/>
      </w:pPr>
      <w:r>
        <w:rPr>
          <w:rFonts w:ascii="Times New Roman"/>
          <w:b w:val="false"/>
          <w:i w:val="false"/>
          <w:color w:val="000000"/>
          <w:sz w:val="28"/>
        </w:rPr>
        <w:t>
      19. Следует проводить мониторинг рабочих мест и производственной среды в отношении уровня радиации, концентрации частиц и микроорганизмов. Порядок проведения мониторинга устанавливается при квалификации эксплуатации (PQ).</w:t>
      </w:r>
    </w:p>
    <w:bookmarkEnd w:id="4703"/>
    <w:bookmarkStart w:name="z4826" w:id="4704"/>
    <w:p>
      <w:pPr>
        <w:spacing w:after="0"/>
        <w:ind w:left="0"/>
        <w:jc w:val="both"/>
      </w:pPr>
      <w:r>
        <w:rPr>
          <w:rFonts w:ascii="Times New Roman"/>
          <w:b w:val="false"/>
          <w:i w:val="false"/>
          <w:color w:val="000000"/>
          <w:sz w:val="28"/>
        </w:rPr>
        <w:t>
      20. Для гарантии того, что используемые помещения и оборудование являются соответствующими и прошедшими квалификацию, необходимо проводить профилактическое техническое обслуживание, калибровку и квалификацию. Эти работы выполняются подготовленным персоналом, а факт их проведения и полученные результаты оформляются в форме письменного документа.</w:t>
      </w:r>
    </w:p>
    <w:bookmarkEnd w:id="4704"/>
    <w:bookmarkStart w:name="z4827" w:id="4705"/>
    <w:p>
      <w:pPr>
        <w:spacing w:after="0"/>
        <w:ind w:left="0"/>
        <w:jc w:val="both"/>
      </w:pPr>
      <w:r>
        <w:rPr>
          <w:rFonts w:ascii="Times New Roman"/>
          <w:b w:val="false"/>
          <w:i w:val="false"/>
          <w:color w:val="000000"/>
          <w:sz w:val="28"/>
        </w:rPr>
        <w:t>
      21. Следует принять меры по защите производственной зоны от радиоактивного загрязнения. Следует организовать надлежащий контроль радиоактивных загрязнений прямым методом с помощью дозиметров или косвенно - методом смывов в установленном порядке.</w:t>
      </w:r>
    </w:p>
    <w:bookmarkEnd w:id="4705"/>
    <w:bookmarkStart w:name="z4828" w:id="4706"/>
    <w:p>
      <w:pPr>
        <w:spacing w:after="0"/>
        <w:ind w:left="0"/>
        <w:jc w:val="both"/>
      </w:pPr>
      <w:r>
        <w:rPr>
          <w:rFonts w:ascii="Times New Roman"/>
          <w:b w:val="false"/>
          <w:i w:val="false"/>
          <w:color w:val="000000"/>
          <w:sz w:val="28"/>
        </w:rPr>
        <w:t>
      22. Поверхности оборудования, соприкасающиеся с продуктом, не вступают с ним в реакцию, не выделяют и не абсорбируют продукт, чтобы таким образом не изменить качество радиофармацевтического лекарственного средства.</w:t>
      </w:r>
    </w:p>
    <w:bookmarkEnd w:id="4706"/>
    <w:bookmarkStart w:name="z4829" w:id="4707"/>
    <w:p>
      <w:pPr>
        <w:spacing w:after="0"/>
        <w:ind w:left="0"/>
        <w:jc w:val="both"/>
      </w:pPr>
      <w:r>
        <w:rPr>
          <w:rFonts w:ascii="Times New Roman"/>
          <w:b w:val="false"/>
          <w:i w:val="false"/>
          <w:color w:val="000000"/>
          <w:sz w:val="28"/>
        </w:rPr>
        <w:t>
      23. Рециркуляция воздуха из помещений, в которых выполняется работа с радиофармацевтическими лекарственными средствами, не допускается, за исключением случаев, когда применение рециркуляции обосновано. В вытяжных системах предусмотрена защита от загрязнения окружающей среды радиоактивными частицами и газами. В контролируемых зонах предусмотрена защита от контаминации частицами и микроорганизмами.</w:t>
      </w:r>
    </w:p>
    <w:bookmarkEnd w:id="4707"/>
    <w:bookmarkStart w:name="z4830" w:id="4708"/>
    <w:p>
      <w:pPr>
        <w:spacing w:after="0"/>
        <w:ind w:left="0"/>
        <w:jc w:val="both"/>
      </w:pPr>
      <w:r>
        <w:rPr>
          <w:rFonts w:ascii="Times New Roman"/>
          <w:b w:val="false"/>
          <w:i w:val="false"/>
          <w:color w:val="000000"/>
          <w:sz w:val="28"/>
        </w:rPr>
        <w:t>
      24. В целях недопущения распространения радиоактивных частиц, в зонах, где находится открытый продукт, необходимо поддерживать отрицательное давление по отношению к окружающим зонам. В то же время следует защитить продукт от контаминации из производственной среды. Это может быть достигнуто за счет применения барьерной технологии и воздушных шлюзов, работающих по принципу каскада давлений.</w:t>
      </w:r>
    </w:p>
    <w:bookmarkEnd w:id="4708"/>
    <w:bookmarkStart w:name="z4831" w:id="4709"/>
    <w:p>
      <w:pPr>
        <w:spacing w:after="0"/>
        <w:ind w:left="0"/>
        <w:jc w:val="both"/>
      </w:pPr>
      <w:r>
        <w:rPr>
          <w:rFonts w:ascii="Times New Roman"/>
          <w:b w:val="false"/>
          <w:i w:val="false"/>
          <w:color w:val="000000"/>
          <w:sz w:val="28"/>
        </w:rPr>
        <w:t>
      Производство стерильной продукции</w:t>
      </w:r>
    </w:p>
    <w:bookmarkEnd w:id="4709"/>
    <w:bookmarkStart w:name="z4832" w:id="4710"/>
    <w:p>
      <w:pPr>
        <w:spacing w:after="0"/>
        <w:ind w:left="0"/>
        <w:jc w:val="both"/>
      </w:pPr>
      <w:r>
        <w:rPr>
          <w:rFonts w:ascii="Times New Roman"/>
          <w:b w:val="false"/>
          <w:i w:val="false"/>
          <w:color w:val="000000"/>
          <w:sz w:val="28"/>
        </w:rPr>
        <w:t>
      25. Стерильные радиофармацевтические лекарственные средства разделяются на две группы: лекарственные препараты, выпускаемые в асептических условиях, и лекарственные препараты, подлежащие финишной стерилизации. В производстве поддерживается уровень чистоты производственной среды, соответствующий виду выполняемых операций. Соблюдаются требования к чистоте рабочих зон, в которых продукция или первичная (внутренняя) упаковка может находиться в контакте с окружающим воздухом, приведенные в приложении № 1 Стандарта надлежащей производственной практики.</w:t>
      </w:r>
    </w:p>
    <w:bookmarkEnd w:id="4710"/>
    <w:bookmarkStart w:name="z4833" w:id="4711"/>
    <w:p>
      <w:pPr>
        <w:spacing w:after="0"/>
        <w:ind w:left="0"/>
        <w:jc w:val="both"/>
      </w:pPr>
      <w:r>
        <w:rPr>
          <w:rFonts w:ascii="Times New Roman"/>
          <w:b w:val="false"/>
          <w:i w:val="false"/>
          <w:color w:val="000000"/>
          <w:sz w:val="28"/>
        </w:rPr>
        <w:t>
      26. Для определения требований к перепадам давления, направлению потока воздуха и его качеству могут использоваться методы оценки рисков.</w:t>
      </w:r>
    </w:p>
    <w:bookmarkEnd w:id="4711"/>
    <w:bookmarkStart w:name="z4834" w:id="4712"/>
    <w:p>
      <w:pPr>
        <w:spacing w:after="0"/>
        <w:ind w:left="0"/>
        <w:jc w:val="both"/>
      </w:pPr>
      <w:r>
        <w:rPr>
          <w:rFonts w:ascii="Times New Roman"/>
          <w:b w:val="false"/>
          <w:i w:val="false"/>
          <w:color w:val="000000"/>
          <w:sz w:val="28"/>
        </w:rPr>
        <w:t>
      27. В закрытых автоматизированных системах, представляющих собой, как правило, горячие камеры с размещением в них установок химического синтеза, систем очистки, стерилизующей фильтрации "на линии", достаточно обеспечить класс чистоты C. В горячие камеры, находящиеся в закрытом состоянии, подается воздух после фильтрации с высокой степенью чистоты. Асептические операции выполняются в помещении (зоне) класса A.</w:t>
      </w:r>
    </w:p>
    <w:bookmarkEnd w:id="4712"/>
    <w:bookmarkStart w:name="z4835" w:id="4713"/>
    <w:p>
      <w:pPr>
        <w:spacing w:after="0"/>
        <w:ind w:left="0"/>
        <w:jc w:val="both"/>
      </w:pPr>
      <w:r>
        <w:rPr>
          <w:rFonts w:ascii="Times New Roman"/>
          <w:b w:val="false"/>
          <w:i w:val="false"/>
          <w:color w:val="000000"/>
          <w:sz w:val="28"/>
        </w:rPr>
        <w:t>
      28. До начала производства сборка стерильного оборудования и компонентов (трубок, стерилизующих фильтров), подсоединение линий подачи жидкостей к укупоренным герметичным стерильным флаконам, выполняются в асептических условиях.</w:t>
      </w:r>
    </w:p>
    <w:bookmarkEnd w:id="4713"/>
    <w:bookmarkStart w:name="z4836" w:id="4714"/>
    <w:p>
      <w:pPr>
        <w:spacing w:after="0"/>
        <w:ind w:left="0"/>
        <w:jc w:val="both"/>
      </w:pPr>
      <w:r>
        <w:rPr>
          <w:rFonts w:ascii="Times New Roman"/>
          <w:b w:val="false"/>
          <w:i w:val="false"/>
          <w:color w:val="000000"/>
          <w:sz w:val="28"/>
        </w:rPr>
        <w:t>
      Документация</w:t>
      </w:r>
    </w:p>
    <w:bookmarkEnd w:id="4714"/>
    <w:bookmarkStart w:name="z4837" w:id="4715"/>
    <w:p>
      <w:pPr>
        <w:spacing w:after="0"/>
        <w:ind w:left="0"/>
        <w:jc w:val="both"/>
      </w:pPr>
      <w:r>
        <w:rPr>
          <w:rFonts w:ascii="Times New Roman"/>
          <w:b w:val="false"/>
          <w:i w:val="false"/>
          <w:color w:val="000000"/>
          <w:sz w:val="28"/>
        </w:rPr>
        <w:t>
      29. Все документы, касающиеся производства радиофармацевтических лекарственных средств, разрабатываются, согласовываются, утверждаются и выдаются в соответствии с процедурой, принятой в форме письменного документа.</w:t>
      </w:r>
    </w:p>
    <w:bookmarkEnd w:id="4715"/>
    <w:bookmarkStart w:name="z4838" w:id="4716"/>
    <w:p>
      <w:pPr>
        <w:spacing w:after="0"/>
        <w:ind w:left="0"/>
        <w:jc w:val="both"/>
      </w:pPr>
      <w:r>
        <w:rPr>
          <w:rFonts w:ascii="Times New Roman"/>
          <w:b w:val="false"/>
          <w:i w:val="false"/>
          <w:color w:val="000000"/>
          <w:sz w:val="28"/>
        </w:rPr>
        <w:t>
      30. Требования к исходному сырью, упаковочным материалам, материалам для маркировки, критическим для качества промежуточным материалам и готовым радиофармацевтическим лекарственным средствам указаны в спецификациях. Имеются спецификации на критические для качества материалы и компоненты (вспомогательные материалы, уплотнения, наборы для стерилизующей фильтрации и др.), используемые в процессе производства и способные оказать критическое влияние на качество продукции.</w:t>
      </w:r>
    </w:p>
    <w:bookmarkEnd w:id="4716"/>
    <w:bookmarkStart w:name="z4839" w:id="4717"/>
    <w:p>
      <w:pPr>
        <w:spacing w:after="0"/>
        <w:ind w:left="0"/>
        <w:jc w:val="both"/>
      </w:pPr>
      <w:r>
        <w:rPr>
          <w:rFonts w:ascii="Times New Roman"/>
          <w:b w:val="false"/>
          <w:i w:val="false"/>
          <w:color w:val="000000"/>
          <w:sz w:val="28"/>
        </w:rPr>
        <w:t>
      31. Для радиофармацевтических лекарственных средств следует установить критерии приемлемости, включая спецификации на момент выпуска и на период срока годности (например, для радиохимической чистоты, объемной активности, радионуклидной чистоты и удельной активности).</w:t>
      </w:r>
    </w:p>
    <w:bookmarkEnd w:id="4717"/>
    <w:bookmarkStart w:name="z4840" w:id="4718"/>
    <w:p>
      <w:pPr>
        <w:spacing w:after="0"/>
        <w:ind w:left="0"/>
        <w:jc w:val="both"/>
      </w:pPr>
      <w:r>
        <w:rPr>
          <w:rFonts w:ascii="Times New Roman"/>
          <w:b w:val="false"/>
          <w:i w:val="false"/>
          <w:color w:val="000000"/>
          <w:sz w:val="28"/>
        </w:rPr>
        <w:t>
      32. В записях по использованию, очистке, дезинфекции или стерилизации, техническому обслуживанию основного оборудования следует указывать дату и время выполнения операции, имеется подпись лица, выполнившего работу, и, при необходимости, следует указывать наименование продукции и номер серии.</w:t>
      </w:r>
    </w:p>
    <w:bookmarkEnd w:id="4718"/>
    <w:bookmarkStart w:name="z4841" w:id="4719"/>
    <w:p>
      <w:pPr>
        <w:spacing w:after="0"/>
        <w:ind w:left="0"/>
        <w:jc w:val="both"/>
      </w:pPr>
      <w:r>
        <w:rPr>
          <w:rFonts w:ascii="Times New Roman"/>
          <w:b w:val="false"/>
          <w:i w:val="false"/>
          <w:color w:val="000000"/>
          <w:sz w:val="28"/>
        </w:rPr>
        <w:t>
      33. Записи следует хранить не менее 3 лет, если иное не установлено законодательством.</w:t>
      </w:r>
    </w:p>
    <w:bookmarkEnd w:id="4719"/>
    <w:bookmarkStart w:name="z4842" w:id="4720"/>
    <w:p>
      <w:pPr>
        <w:spacing w:after="0"/>
        <w:ind w:left="0"/>
        <w:jc w:val="both"/>
      </w:pPr>
      <w:r>
        <w:rPr>
          <w:rFonts w:ascii="Times New Roman"/>
          <w:b w:val="false"/>
          <w:i w:val="false"/>
          <w:color w:val="000000"/>
          <w:sz w:val="28"/>
        </w:rPr>
        <w:t>
      Производство</w:t>
      </w:r>
    </w:p>
    <w:bookmarkEnd w:id="4720"/>
    <w:bookmarkStart w:name="z4843" w:id="4721"/>
    <w:p>
      <w:pPr>
        <w:spacing w:after="0"/>
        <w:ind w:left="0"/>
        <w:jc w:val="both"/>
      </w:pPr>
      <w:r>
        <w:rPr>
          <w:rFonts w:ascii="Times New Roman"/>
          <w:b w:val="false"/>
          <w:i w:val="false"/>
          <w:color w:val="000000"/>
          <w:sz w:val="28"/>
        </w:rPr>
        <w:t>
      34. С целью сведения к минимуму риска перекрестного загрязнения радиоактивными веществами или перепутывания материалов не допускается одновременное производство различных радиофармацевтических лекарственных средств в одной рабочей зоне (горячей камере, ламинарной зоне или шкафу).</w:t>
      </w:r>
    </w:p>
    <w:bookmarkEnd w:id="4721"/>
    <w:bookmarkStart w:name="z4844" w:id="4722"/>
    <w:p>
      <w:pPr>
        <w:spacing w:after="0"/>
        <w:ind w:left="0"/>
        <w:jc w:val="both"/>
      </w:pPr>
      <w:r>
        <w:rPr>
          <w:rFonts w:ascii="Times New Roman"/>
          <w:b w:val="false"/>
          <w:i w:val="false"/>
          <w:color w:val="000000"/>
          <w:sz w:val="28"/>
        </w:rPr>
        <w:t>
      35. Особое внимание следует уделять валидации, включая валидацию компьютеризированных систем в соответствии с приложением № 11 Стандарта надлежащей производственной практики. Новые процессы проходят перспективную валидацию.</w:t>
      </w:r>
    </w:p>
    <w:bookmarkEnd w:id="4722"/>
    <w:bookmarkStart w:name="z4845" w:id="4723"/>
    <w:p>
      <w:pPr>
        <w:spacing w:after="0"/>
        <w:ind w:left="0"/>
        <w:jc w:val="both"/>
      </w:pPr>
      <w:r>
        <w:rPr>
          <w:rFonts w:ascii="Times New Roman"/>
          <w:b w:val="false"/>
          <w:i w:val="false"/>
          <w:color w:val="000000"/>
          <w:sz w:val="28"/>
        </w:rPr>
        <w:t>
      36. Критические параметры следует, как правило, определять до или в процессе проведения валидации. При этом определяют допустимые предельные значения изменений параметров, необходимые для стабильного производства.</w:t>
      </w:r>
    </w:p>
    <w:bookmarkEnd w:id="4723"/>
    <w:bookmarkStart w:name="z4846" w:id="4724"/>
    <w:p>
      <w:pPr>
        <w:spacing w:after="0"/>
        <w:ind w:left="0"/>
        <w:jc w:val="both"/>
      </w:pPr>
      <w:r>
        <w:rPr>
          <w:rFonts w:ascii="Times New Roman"/>
          <w:b w:val="false"/>
          <w:i w:val="false"/>
          <w:color w:val="000000"/>
          <w:sz w:val="28"/>
        </w:rPr>
        <w:t>
      37. Для продуктов, наполняемых в асептических условиях, следует проводить контроль целостности мембранных фильтров, с учетом необходимости обеспечения радиационной безопасности и сохранения стерильности фильтров.</w:t>
      </w:r>
    </w:p>
    <w:bookmarkEnd w:id="4724"/>
    <w:bookmarkStart w:name="z4847" w:id="4725"/>
    <w:p>
      <w:pPr>
        <w:spacing w:after="0"/>
        <w:ind w:left="0"/>
        <w:jc w:val="both"/>
      </w:pPr>
      <w:r>
        <w:rPr>
          <w:rFonts w:ascii="Times New Roman"/>
          <w:b w:val="false"/>
          <w:i w:val="false"/>
          <w:color w:val="000000"/>
          <w:sz w:val="28"/>
        </w:rPr>
        <w:t>
      38. Учитывая радиационную активность готовой продукции, допускается наносить маркировку на первичную упаковку до начала производства. На стерильные пустые закрытые флаконы может быть нанесена маркировка с частичной информацией до операции наполнения, при этом стерильность не нарушена и нет помех для визуального контроля наполненных флаконов.</w:t>
      </w:r>
    </w:p>
    <w:bookmarkEnd w:id="4725"/>
    <w:bookmarkStart w:name="z4848" w:id="4726"/>
    <w:p>
      <w:pPr>
        <w:spacing w:after="0"/>
        <w:ind w:left="0"/>
        <w:jc w:val="both"/>
      </w:pPr>
      <w:r>
        <w:rPr>
          <w:rFonts w:ascii="Times New Roman"/>
          <w:b w:val="false"/>
          <w:i w:val="false"/>
          <w:color w:val="000000"/>
          <w:sz w:val="28"/>
        </w:rPr>
        <w:t>
      Контроль качества</w:t>
      </w:r>
    </w:p>
    <w:bookmarkEnd w:id="4726"/>
    <w:bookmarkStart w:name="z4849" w:id="4727"/>
    <w:p>
      <w:pPr>
        <w:spacing w:after="0"/>
        <w:ind w:left="0"/>
        <w:jc w:val="both"/>
      </w:pPr>
      <w:r>
        <w:rPr>
          <w:rFonts w:ascii="Times New Roman"/>
          <w:b w:val="false"/>
          <w:i w:val="false"/>
          <w:color w:val="000000"/>
          <w:sz w:val="28"/>
        </w:rPr>
        <w:t>
      39. Некоторые радиофармацевтические лекарственные средства могут быть выпущены и использованы на основе оценки документации на серию до завершения всех химических и микробиологических испытаний.</w:t>
      </w:r>
    </w:p>
    <w:bookmarkEnd w:id="4727"/>
    <w:bookmarkStart w:name="z4850" w:id="4728"/>
    <w:p>
      <w:pPr>
        <w:spacing w:after="0"/>
        <w:ind w:left="0"/>
        <w:jc w:val="both"/>
      </w:pPr>
      <w:r>
        <w:rPr>
          <w:rFonts w:ascii="Times New Roman"/>
          <w:b w:val="false"/>
          <w:i w:val="false"/>
          <w:color w:val="000000"/>
          <w:sz w:val="28"/>
        </w:rPr>
        <w:t>
      Оформление разрешения на выпуск радиофармацевтических лекарственных средств может быть выполнено в 2 и более этапов до и после завершения аналитического контроля в полном объеме:</w:t>
      </w:r>
    </w:p>
    <w:bookmarkEnd w:id="4728"/>
    <w:bookmarkStart w:name="z4851" w:id="4729"/>
    <w:p>
      <w:pPr>
        <w:spacing w:after="0"/>
        <w:ind w:left="0"/>
        <w:jc w:val="both"/>
      </w:pPr>
      <w:r>
        <w:rPr>
          <w:rFonts w:ascii="Times New Roman"/>
          <w:b w:val="false"/>
          <w:i w:val="false"/>
          <w:color w:val="000000"/>
          <w:sz w:val="28"/>
        </w:rPr>
        <w:t>
      a) оценка назначенным лицом записей по производству серии, которое охватывает условия производства и аналитический контроль, проведенные до момента разрешения транспортировки радиофармацевтического лекарственного средства в статусе "карантин" в клиническое подразделение;</w:t>
      </w:r>
    </w:p>
    <w:bookmarkEnd w:id="4729"/>
    <w:bookmarkStart w:name="z4852" w:id="4730"/>
    <w:p>
      <w:pPr>
        <w:spacing w:after="0"/>
        <w:ind w:left="0"/>
        <w:jc w:val="both"/>
      </w:pPr>
      <w:r>
        <w:rPr>
          <w:rFonts w:ascii="Times New Roman"/>
          <w:b w:val="false"/>
          <w:i w:val="false"/>
          <w:color w:val="000000"/>
          <w:sz w:val="28"/>
        </w:rPr>
        <w:t>
      b) Уполномоченное лицо выдает разрешение на выпуск после проведения оценки окончательных результатов аналитического контроля, всех отклонений от нормального процесса, которые оформлены документально, обоснованы и утверждены. Если некоторые результаты контроля невозможно получить до использования лекарственного средства, то Уполномоченному лицу следует оформить разрешение на выпуск лекарственного средства условно до начала его использования и окончательно оформить разрешение на выпуск лекарственного средства после получения всех результатов контроля.</w:t>
      </w:r>
    </w:p>
    <w:bookmarkEnd w:id="4730"/>
    <w:bookmarkStart w:name="z4853" w:id="4731"/>
    <w:p>
      <w:pPr>
        <w:spacing w:after="0"/>
        <w:ind w:left="0"/>
        <w:jc w:val="both"/>
      </w:pPr>
      <w:r>
        <w:rPr>
          <w:rFonts w:ascii="Times New Roman"/>
          <w:b w:val="false"/>
          <w:i w:val="false"/>
          <w:color w:val="000000"/>
          <w:sz w:val="28"/>
        </w:rPr>
        <w:t>
      40. Большинство радиофармацевтических лекарственных средств используется в течение короткого периода времени, что обусловлено коротким периодом полураспада радионуклидов, поэтому их срок годности четко указан.</w:t>
      </w:r>
    </w:p>
    <w:bookmarkEnd w:id="4731"/>
    <w:bookmarkStart w:name="z4854" w:id="4732"/>
    <w:p>
      <w:pPr>
        <w:spacing w:after="0"/>
        <w:ind w:left="0"/>
        <w:jc w:val="both"/>
      </w:pPr>
      <w:r>
        <w:rPr>
          <w:rFonts w:ascii="Times New Roman"/>
          <w:b w:val="false"/>
          <w:i w:val="false"/>
          <w:color w:val="000000"/>
          <w:sz w:val="28"/>
        </w:rPr>
        <w:t>
      41. Радиофармацевтические лекарственные средства, содержащие радионуклиды с большим периодом полураспада, следует контролировать на соответствие всем требованиям до оформления разрешения на выпуск Уполномоченным лицом.</w:t>
      </w:r>
    </w:p>
    <w:bookmarkEnd w:id="4732"/>
    <w:bookmarkStart w:name="z4855" w:id="4733"/>
    <w:p>
      <w:pPr>
        <w:spacing w:after="0"/>
        <w:ind w:left="0"/>
        <w:jc w:val="both"/>
      </w:pPr>
      <w:r>
        <w:rPr>
          <w:rFonts w:ascii="Times New Roman"/>
          <w:b w:val="false"/>
          <w:i w:val="false"/>
          <w:color w:val="000000"/>
          <w:sz w:val="28"/>
        </w:rPr>
        <w:t>
      42. Контроль проб может быть проведен не сразу после их отбора, чтобы обеспечить требуемое снижение уровня активности. Все виды контроля, включая контроль на стерильность, проводят быстро.</w:t>
      </w:r>
    </w:p>
    <w:bookmarkEnd w:id="4733"/>
    <w:bookmarkStart w:name="z4856" w:id="4734"/>
    <w:p>
      <w:pPr>
        <w:spacing w:after="0"/>
        <w:ind w:left="0"/>
        <w:jc w:val="both"/>
      </w:pPr>
      <w:r>
        <w:rPr>
          <w:rFonts w:ascii="Times New Roman"/>
          <w:b w:val="false"/>
          <w:i w:val="false"/>
          <w:color w:val="000000"/>
          <w:sz w:val="28"/>
        </w:rPr>
        <w:t>
      43. Процедура, принятая в форме письменного документа, устанавливает порядок оценки продукции и результатов контроля до отправки продукции.</w:t>
      </w:r>
    </w:p>
    <w:bookmarkEnd w:id="4734"/>
    <w:bookmarkStart w:name="z4857" w:id="4735"/>
    <w:p>
      <w:pPr>
        <w:spacing w:after="0"/>
        <w:ind w:left="0"/>
        <w:jc w:val="both"/>
      </w:pPr>
      <w:r>
        <w:rPr>
          <w:rFonts w:ascii="Times New Roman"/>
          <w:b w:val="false"/>
          <w:i w:val="false"/>
          <w:color w:val="000000"/>
          <w:sz w:val="28"/>
        </w:rPr>
        <w:t>
      44. Продукция, не соответствующая установленным требованиям, отклонена. Если предусмотрена переработка материала, то она выполняется по заранее утвержденной процедуре. Готовая продукция соответствует установленным требованиям, что подтверждено до ее выпуска. Не допускается переработка возвращенной продукции, с которой следует обращаться как с радиоактивными отходами.</w:t>
      </w:r>
    </w:p>
    <w:bookmarkEnd w:id="4735"/>
    <w:bookmarkStart w:name="z4858" w:id="4736"/>
    <w:p>
      <w:pPr>
        <w:spacing w:after="0"/>
        <w:ind w:left="0"/>
        <w:jc w:val="both"/>
      </w:pPr>
      <w:r>
        <w:rPr>
          <w:rFonts w:ascii="Times New Roman"/>
          <w:b w:val="false"/>
          <w:i w:val="false"/>
          <w:color w:val="000000"/>
          <w:sz w:val="28"/>
        </w:rPr>
        <w:t>
      45. В специальной процедуре определен порядок действий Уполномоченного лица в случае обнаружения несоответствия продукции требованиям спецификации после ее отгрузки до истечения срока годности. Такие случаи расследуются, выполняются необходимые предупреждающие и корректирующие мероприятия для недопущения подобных ситуаций в будущем. Этот процесс документально оформляется.</w:t>
      </w:r>
    </w:p>
    <w:bookmarkEnd w:id="4736"/>
    <w:bookmarkStart w:name="z4859" w:id="4737"/>
    <w:p>
      <w:pPr>
        <w:spacing w:after="0"/>
        <w:ind w:left="0"/>
        <w:jc w:val="both"/>
      </w:pPr>
      <w:r>
        <w:rPr>
          <w:rFonts w:ascii="Times New Roman"/>
          <w:b w:val="false"/>
          <w:i w:val="false"/>
          <w:color w:val="000000"/>
          <w:sz w:val="28"/>
        </w:rPr>
        <w:t>
      46. При необходимости информируется ответственный персонал медицинского учреждения. Для содействия этому обеспечивается прослеживаемость в отношении радиофармацевтических лекарственных средств.</w:t>
      </w:r>
    </w:p>
    <w:bookmarkEnd w:id="4737"/>
    <w:bookmarkStart w:name="z4860" w:id="4738"/>
    <w:p>
      <w:pPr>
        <w:spacing w:after="0"/>
        <w:ind w:left="0"/>
        <w:jc w:val="both"/>
      </w:pPr>
      <w:r>
        <w:rPr>
          <w:rFonts w:ascii="Times New Roman"/>
          <w:b w:val="false"/>
          <w:i w:val="false"/>
          <w:color w:val="000000"/>
          <w:sz w:val="28"/>
        </w:rPr>
        <w:t>
      47. Установлен порядок контроля исходного сырья и материалов. При выборе и утверждении поставщика убеждаются в том, что поставляемые им исходное сырье и материалы неизменно соответствуют требованиям спецификаций. Исходное сырье, упаковочные материалы и вспомогательные материалы для критических процессов приобретаются только у утвержденных поставщиков.</w:t>
      </w:r>
    </w:p>
    <w:bookmarkEnd w:id="4738"/>
    <w:bookmarkStart w:name="z4861" w:id="4739"/>
    <w:p>
      <w:pPr>
        <w:spacing w:after="0"/>
        <w:ind w:left="0"/>
        <w:jc w:val="both"/>
      </w:pPr>
      <w:r>
        <w:rPr>
          <w:rFonts w:ascii="Times New Roman"/>
          <w:b w:val="false"/>
          <w:i w:val="false"/>
          <w:color w:val="000000"/>
          <w:sz w:val="28"/>
        </w:rPr>
        <w:t>
      Контрольные и архивные образцы</w:t>
      </w:r>
    </w:p>
    <w:bookmarkEnd w:id="4739"/>
    <w:bookmarkStart w:name="z4862" w:id="4740"/>
    <w:p>
      <w:pPr>
        <w:spacing w:after="0"/>
        <w:ind w:left="0"/>
        <w:jc w:val="both"/>
      </w:pPr>
      <w:r>
        <w:rPr>
          <w:rFonts w:ascii="Times New Roman"/>
          <w:b w:val="false"/>
          <w:i w:val="false"/>
          <w:color w:val="000000"/>
          <w:sz w:val="28"/>
        </w:rPr>
        <w:t>
      48. От каждой серии нерасфасованных радиофармацевтических лекарственных средств отобрано достаточное количество образцов, которые хранятся не менее 6 месяцев с момента истечения срока годности готовой продукции, если иное не установлено в процессе управления рисками.</w:t>
      </w:r>
    </w:p>
    <w:bookmarkEnd w:id="4740"/>
    <w:bookmarkStart w:name="z4863" w:id="4741"/>
    <w:p>
      <w:pPr>
        <w:spacing w:after="0"/>
        <w:ind w:left="0"/>
        <w:jc w:val="both"/>
      </w:pPr>
      <w:r>
        <w:rPr>
          <w:rFonts w:ascii="Times New Roman"/>
          <w:b w:val="false"/>
          <w:i w:val="false"/>
          <w:color w:val="000000"/>
          <w:sz w:val="28"/>
        </w:rPr>
        <w:t>
      49. Образцы используемого в производстве исходного сырья, за исключением растворителей, газов и воды, хранятся не менее 2 лет после выпуска продукции. Этот срок сокращается, если в спецификации на сырье указан более короткий период стабильности.</w:t>
      </w:r>
    </w:p>
    <w:bookmarkEnd w:id="4741"/>
    <w:bookmarkStart w:name="z4864" w:id="4742"/>
    <w:p>
      <w:pPr>
        <w:spacing w:after="0"/>
        <w:ind w:left="0"/>
        <w:jc w:val="both"/>
      </w:pPr>
      <w:r>
        <w:rPr>
          <w:rFonts w:ascii="Times New Roman"/>
          <w:b w:val="false"/>
          <w:i w:val="false"/>
          <w:color w:val="000000"/>
          <w:sz w:val="28"/>
        </w:rPr>
        <w:t>
      50. По согласованию с уполномоченным органом может быть определен иной порядок отбора и хранения проб исходного сырья, материалов, продукции, произведенных по индивидуальному заказу или малых количествах или если их хранение может вызвать особые трудности.</w:t>
      </w:r>
    </w:p>
    <w:bookmarkEnd w:id="4742"/>
    <w:bookmarkStart w:name="z4865" w:id="4743"/>
    <w:p>
      <w:pPr>
        <w:spacing w:after="0"/>
        <w:ind w:left="0"/>
        <w:jc w:val="both"/>
      </w:pPr>
      <w:r>
        <w:rPr>
          <w:rFonts w:ascii="Times New Roman"/>
          <w:b w:val="false"/>
          <w:i w:val="false"/>
          <w:color w:val="000000"/>
          <w:sz w:val="28"/>
        </w:rPr>
        <w:t>
      Реализация</w:t>
      </w:r>
    </w:p>
    <w:bookmarkEnd w:id="4743"/>
    <w:bookmarkStart w:name="z4866" w:id="4744"/>
    <w:p>
      <w:pPr>
        <w:spacing w:after="0"/>
        <w:ind w:left="0"/>
        <w:jc w:val="both"/>
      </w:pPr>
      <w:r>
        <w:rPr>
          <w:rFonts w:ascii="Times New Roman"/>
          <w:b w:val="false"/>
          <w:i w:val="false"/>
          <w:color w:val="000000"/>
          <w:sz w:val="28"/>
        </w:rPr>
        <w:t>
      51. Для радиофармацевтических лекарственных средств допускается реализация готовой продукции в контролируемых условиях до получения результатов всех необходимых испытаний. При этом гарантируется, что лекарственный препарат не будет применен в медицинском учреждении до получения удовлетворительных результатов испытаний и их оценки Уполномоченным лицом, с учетом положений пункта 39 настоящего приложения.</w:t>
      </w:r>
    </w:p>
    <w:bookmarkEnd w:id="4744"/>
    <w:bookmarkStart w:name="z4867" w:id="4745"/>
    <w:p>
      <w:pPr>
        <w:spacing w:after="0"/>
        <w:ind w:left="0"/>
        <w:jc w:val="both"/>
      </w:pPr>
      <w:r>
        <w:rPr>
          <w:rFonts w:ascii="Times New Roman"/>
          <w:b w:val="false"/>
          <w:i w:val="false"/>
          <w:color w:val="000000"/>
          <w:sz w:val="28"/>
        </w:rPr>
        <w:t>
      Определения</w:t>
      </w:r>
    </w:p>
    <w:bookmarkEnd w:id="4745"/>
    <w:bookmarkStart w:name="z4868" w:id="4746"/>
    <w:p>
      <w:pPr>
        <w:spacing w:after="0"/>
        <w:ind w:left="0"/>
        <w:jc w:val="both"/>
      </w:pPr>
      <w:r>
        <w:rPr>
          <w:rFonts w:ascii="Times New Roman"/>
          <w:b w:val="false"/>
          <w:i w:val="false"/>
          <w:color w:val="000000"/>
          <w:sz w:val="28"/>
        </w:rPr>
        <w:t>
      "горячая камера" (hot-cell) - экранированное рабочее место для производства и обращения с радиоактивными материалами. Горячая камера не обязательно является изолятором;</w:t>
      </w:r>
    </w:p>
    <w:bookmarkEnd w:id="4746"/>
    <w:bookmarkStart w:name="z4869" w:id="4747"/>
    <w:p>
      <w:pPr>
        <w:spacing w:after="0"/>
        <w:ind w:left="0"/>
        <w:jc w:val="both"/>
      </w:pPr>
      <w:r>
        <w:rPr>
          <w:rFonts w:ascii="Times New Roman"/>
          <w:b w:val="false"/>
          <w:i w:val="false"/>
          <w:color w:val="000000"/>
          <w:sz w:val="28"/>
        </w:rPr>
        <w:t>
      "приготовление" (preparation) - подготовка набора в медицинском учреждении путем внесения в него радионуклида, элюированного из генератора, или с помощью радиоактивных предшественников. Наборы, генераторы и радиоактивные предшественники зарегистрированы в установленном порядке;</w:t>
      </w:r>
    </w:p>
    <w:bookmarkEnd w:id="4747"/>
    <w:bookmarkStart w:name="z4870" w:id="4748"/>
    <w:p>
      <w:pPr>
        <w:spacing w:after="0"/>
        <w:ind w:left="0"/>
        <w:jc w:val="both"/>
      </w:pPr>
      <w:r>
        <w:rPr>
          <w:rFonts w:ascii="Times New Roman"/>
          <w:b w:val="false"/>
          <w:i w:val="false"/>
          <w:color w:val="000000"/>
          <w:sz w:val="28"/>
        </w:rPr>
        <w:t>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bookmarkEnd w:id="4748"/>
    <w:bookmarkStart w:name="z4871" w:id="4749"/>
    <w:p>
      <w:pPr>
        <w:spacing w:after="0"/>
        <w:ind w:left="0"/>
        <w:jc w:val="both"/>
      </w:pPr>
      <w:r>
        <w:rPr>
          <w:rFonts w:ascii="Times New Roman"/>
          <w:b w:val="false"/>
          <w:i w:val="false"/>
          <w:color w:val="000000"/>
          <w:sz w:val="28"/>
        </w:rPr>
        <w:t>
      "радиоактивный предшественник" (radiopharmaceutical precursor) - радиоактивное вещество, предназначенное для введения радионуклидной метки в другое вещество перед его применением;</w:t>
      </w:r>
    </w:p>
    <w:bookmarkEnd w:id="4749"/>
    <w:bookmarkStart w:name="z4872" w:id="4750"/>
    <w:p>
      <w:pPr>
        <w:spacing w:after="0"/>
        <w:ind w:left="0"/>
        <w:jc w:val="both"/>
      </w:pPr>
      <w:r>
        <w:rPr>
          <w:rFonts w:ascii="Times New Roman"/>
          <w:b w:val="false"/>
          <w:i w:val="false"/>
          <w:color w:val="000000"/>
          <w:sz w:val="28"/>
        </w:rPr>
        <w:t>
      "уполномоченное лицо" (qualified Person)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Стандарта надлежащей производственной практики. Обязанности уполномоченного лица детально описаны в главе 2 части I и приложении № 16 Стандарта надлежащей производственной практики.</w:t>
      </w:r>
    </w:p>
    <w:bookmarkEnd w:id="4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4874" w:id="4751"/>
    <w:p>
      <w:pPr>
        <w:spacing w:after="0"/>
        <w:ind w:left="0"/>
        <w:jc w:val="left"/>
      </w:pPr>
      <w:r>
        <w:rPr>
          <w:rFonts w:ascii="Times New Roman"/>
          <w:b/>
          <w:i w:val="false"/>
          <w:color w:val="000000"/>
        </w:rPr>
        <w:t xml:space="preserve"> Требования к производству медицинских газов</w:t>
      </w:r>
    </w:p>
    <w:bookmarkEnd w:id="4751"/>
    <w:bookmarkStart w:name="z4875" w:id="4752"/>
    <w:p>
      <w:pPr>
        <w:spacing w:after="0"/>
        <w:ind w:left="0"/>
        <w:jc w:val="both"/>
      </w:pPr>
      <w:r>
        <w:rPr>
          <w:rFonts w:ascii="Times New Roman"/>
          <w:b w:val="false"/>
          <w:i w:val="false"/>
          <w:color w:val="000000"/>
          <w:sz w:val="28"/>
        </w:rPr>
        <w:t>
      Принцип</w:t>
      </w:r>
    </w:p>
    <w:bookmarkEnd w:id="4752"/>
    <w:bookmarkStart w:name="z4876" w:id="4753"/>
    <w:p>
      <w:pPr>
        <w:spacing w:after="0"/>
        <w:ind w:left="0"/>
        <w:jc w:val="both"/>
      </w:pPr>
      <w:r>
        <w:rPr>
          <w:rFonts w:ascii="Times New Roman"/>
          <w:b w:val="false"/>
          <w:i w:val="false"/>
          <w:color w:val="000000"/>
          <w:sz w:val="28"/>
        </w:rPr>
        <w:t>
      Производство медицинских газов, относящихся к лекарственным средствам, следует осуществлять в соответствии с законодательством. Настоящий документ устанавливает требования к производству газов как активных фармацевтических субстанций (далее - АФС) и производству газов для медицинского применения.</w:t>
      </w:r>
    </w:p>
    <w:bookmarkEnd w:id="4753"/>
    <w:bookmarkStart w:name="z4877" w:id="4754"/>
    <w:p>
      <w:pPr>
        <w:spacing w:after="0"/>
        <w:ind w:left="0"/>
        <w:jc w:val="both"/>
      </w:pPr>
      <w:r>
        <w:rPr>
          <w:rFonts w:ascii="Times New Roman"/>
          <w:b w:val="false"/>
          <w:i w:val="false"/>
          <w:color w:val="000000"/>
          <w:sz w:val="28"/>
        </w:rPr>
        <w:t>
      Разграничение между производством АФС и лекарственных препаратов (медицинских газов) четко определено в каждом регистрационном досье. Обычно стадии производства и очистки газов относят к производству АФС. К производству лекарственных препаратов относят газы, поступающие на последующие этапы производства из контейнеров первичного хранения.</w:t>
      </w:r>
    </w:p>
    <w:bookmarkEnd w:id="4754"/>
    <w:bookmarkStart w:name="z4878" w:id="4755"/>
    <w:p>
      <w:pPr>
        <w:spacing w:after="0"/>
        <w:ind w:left="0"/>
        <w:jc w:val="both"/>
      </w:pPr>
      <w:r>
        <w:rPr>
          <w:rFonts w:ascii="Times New Roman"/>
          <w:b w:val="false"/>
          <w:i w:val="false"/>
          <w:color w:val="000000"/>
          <w:sz w:val="28"/>
        </w:rPr>
        <w:t>
      Производство газов как АФС следует осуществлять в соответствии с требованиями, указанными в разделе II Стандарта надлежащей производственной практики, настоящим документом и другими соответствующими приложениями Стандарта.</w:t>
      </w:r>
    </w:p>
    <w:bookmarkEnd w:id="4755"/>
    <w:bookmarkStart w:name="z4879" w:id="4756"/>
    <w:p>
      <w:pPr>
        <w:spacing w:after="0"/>
        <w:ind w:left="0"/>
        <w:jc w:val="both"/>
      </w:pPr>
      <w:r>
        <w:rPr>
          <w:rFonts w:ascii="Times New Roman"/>
          <w:b w:val="false"/>
          <w:i w:val="false"/>
          <w:color w:val="000000"/>
          <w:sz w:val="28"/>
        </w:rPr>
        <w:t>
      Производство лекарственных препаратов (медицинских газов) следует осуществлять в соответствии с требованиями, указанными в части I Стандарта, настоящим документом и другими соответствующими приложениями Стандарта.</w:t>
      </w:r>
    </w:p>
    <w:bookmarkEnd w:id="4756"/>
    <w:bookmarkStart w:name="z4880" w:id="4757"/>
    <w:p>
      <w:pPr>
        <w:spacing w:after="0"/>
        <w:ind w:left="0"/>
        <w:jc w:val="both"/>
      </w:pPr>
      <w:r>
        <w:rPr>
          <w:rFonts w:ascii="Times New Roman"/>
          <w:b w:val="false"/>
          <w:i w:val="false"/>
          <w:color w:val="000000"/>
          <w:sz w:val="28"/>
        </w:rPr>
        <w:t>
      В исключительных случаях непрерывные процессы, начиная с исходного сырья для производства АФС до производства лекарственного препарата, при которых невозможно промежуточное хранение газа, рассматривают как производство лекарственных препаратов. Это четко указано в регистрационном досье.</w:t>
      </w:r>
    </w:p>
    <w:bookmarkEnd w:id="4757"/>
    <w:bookmarkStart w:name="z4881" w:id="4758"/>
    <w:p>
      <w:pPr>
        <w:spacing w:after="0"/>
        <w:ind w:left="0"/>
        <w:jc w:val="both"/>
      </w:pPr>
      <w:r>
        <w:rPr>
          <w:rFonts w:ascii="Times New Roman"/>
          <w:b w:val="false"/>
          <w:i w:val="false"/>
          <w:color w:val="000000"/>
          <w:sz w:val="28"/>
        </w:rPr>
        <w:t>
      Положения настоящего документа не распространяются на производство и обращение медицинских газов в медицинских учреждениях, если такой процесс не является промышленным производством. Тем не менее, соответствующие разделы настоящего документа могут быть использованы в качестве основы для организации этой работы.</w:t>
      </w:r>
    </w:p>
    <w:bookmarkEnd w:id="4758"/>
    <w:bookmarkStart w:name="z4882" w:id="4759"/>
    <w:p>
      <w:pPr>
        <w:spacing w:after="0"/>
        <w:ind w:left="0"/>
        <w:jc w:val="both"/>
      </w:pPr>
      <w:r>
        <w:rPr>
          <w:rFonts w:ascii="Times New Roman"/>
          <w:b w:val="false"/>
          <w:i w:val="false"/>
          <w:color w:val="000000"/>
          <w:sz w:val="28"/>
        </w:rPr>
        <w:t>
      Производство газов как активных фармацевтических субстанций</w:t>
      </w:r>
    </w:p>
    <w:bookmarkEnd w:id="4759"/>
    <w:bookmarkStart w:name="z4883" w:id="4760"/>
    <w:p>
      <w:pPr>
        <w:spacing w:after="0"/>
        <w:ind w:left="0"/>
        <w:jc w:val="both"/>
      </w:pPr>
      <w:r>
        <w:rPr>
          <w:rFonts w:ascii="Times New Roman"/>
          <w:b w:val="false"/>
          <w:i w:val="false"/>
          <w:color w:val="000000"/>
          <w:sz w:val="28"/>
        </w:rPr>
        <w:t>
      Газы как активные фармацевтические субстанции могут быть получены путем химического синтеза или из натуральных источников путем их очистки (при необходимости) (например, на заводах по разделению воздуха).</w:t>
      </w:r>
    </w:p>
    <w:bookmarkEnd w:id="4760"/>
    <w:bookmarkStart w:name="z4884" w:id="4761"/>
    <w:p>
      <w:pPr>
        <w:spacing w:after="0"/>
        <w:ind w:left="0"/>
        <w:jc w:val="both"/>
      </w:pPr>
      <w:r>
        <w:rPr>
          <w:rFonts w:ascii="Times New Roman"/>
          <w:b w:val="false"/>
          <w:i w:val="false"/>
          <w:color w:val="000000"/>
          <w:sz w:val="28"/>
        </w:rPr>
        <w:t>
      1. Технологические процессы получения газов этими двумя методами следует осуществлять в соответствии с требованиями, указанными в части II Стандарта, с учетом следующего:</w:t>
      </w:r>
    </w:p>
    <w:bookmarkEnd w:id="4761"/>
    <w:bookmarkStart w:name="z4885" w:id="4762"/>
    <w:p>
      <w:pPr>
        <w:spacing w:after="0"/>
        <w:ind w:left="0"/>
        <w:jc w:val="both"/>
      </w:pPr>
      <w:r>
        <w:rPr>
          <w:rFonts w:ascii="Times New Roman"/>
          <w:b w:val="false"/>
          <w:i w:val="false"/>
          <w:color w:val="000000"/>
          <w:sz w:val="28"/>
        </w:rPr>
        <w:t>
      a) требования к исходному сырью для активных фармацевтических субстанций (раздел 7 части II Стандарта) не применимы к производству активных фармацевтических субстанций (далее - АФС) - газов методом разделения воздуха (однако производитель гарантирует, что качество используемого воздуха соответствует установленному и изменения качества воздуха из внешней среды не будут оказывать влияние на качество газов, производимых как АФС);</w:t>
      </w:r>
    </w:p>
    <w:bookmarkEnd w:id="4762"/>
    <w:bookmarkStart w:name="z4886" w:id="4763"/>
    <w:p>
      <w:pPr>
        <w:spacing w:after="0"/>
        <w:ind w:left="0"/>
        <w:jc w:val="both"/>
      </w:pPr>
      <w:r>
        <w:rPr>
          <w:rFonts w:ascii="Times New Roman"/>
          <w:b w:val="false"/>
          <w:i w:val="false"/>
          <w:color w:val="000000"/>
          <w:sz w:val="28"/>
        </w:rPr>
        <w:t>
      b) требования к непрерывному изучению стабильности активных фармацевтических субстанций (пункт 11.5 части II Стандарта), осуществляемому с целью подтверждения условий хранения и срока годности (или даты повторного контроля) (пункт 11.2 части II Стандарта) не применяются в случае, если в качестве данных первичного изучения стабильности были использованы литературные данные;</w:t>
      </w:r>
    </w:p>
    <w:bookmarkEnd w:id="4763"/>
    <w:bookmarkStart w:name="z4887" w:id="4764"/>
    <w:p>
      <w:pPr>
        <w:spacing w:after="0"/>
        <w:ind w:left="0"/>
        <w:jc w:val="both"/>
      </w:pPr>
      <w:r>
        <w:rPr>
          <w:rFonts w:ascii="Times New Roman"/>
          <w:b w:val="false"/>
          <w:i w:val="false"/>
          <w:color w:val="000000"/>
          <w:sz w:val="28"/>
        </w:rPr>
        <w:t>
      c) требования к контрольным и архивным образцам (пункт 11.7 части II Стандарта) не применяются к газам как активным фармацевтическим субстанциям, если иное не установлено.</w:t>
      </w:r>
    </w:p>
    <w:bookmarkEnd w:id="4764"/>
    <w:bookmarkStart w:name="z4888" w:id="4765"/>
    <w:p>
      <w:pPr>
        <w:spacing w:after="0"/>
        <w:ind w:left="0"/>
        <w:jc w:val="both"/>
      </w:pPr>
      <w:r>
        <w:rPr>
          <w:rFonts w:ascii="Times New Roman"/>
          <w:b w:val="false"/>
          <w:i w:val="false"/>
          <w:color w:val="000000"/>
          <w:sz w:val="28"/>
        </w:rPr>
        <w:t>
      2. Следует проводить постоянный мониторинг качества газов как активных фармацевтических субстанций, производимых непрерывным методом (например, разделением воздуха). Результаты мониторинга следует хранить в виде, позволяющем осуществлять оценку тенденций.</w:t>
      </w:r>
    </w:p>
    <w:bookmarkEnd w:id="4765"/>
    <w:bookmarkStart w:name="z4889" w:id="4766"/>
    <w:p>
      <w:pPr>
        <w:spacing w:after="0"/>
        <w:ind w:left="0"/>
        <w:jc w:val="both"/>
      </w:pPr>
      <w:r>
        <w:rPr>
          <w:rFonts w:ascii="Times New Roman"/>
          <w:b w:val="false"/>
          <w:i w:val="false"/>
          <w:color w:val="000000"/>
          <w:sz w:val="28"/>
        </w:rPr>
        <w:t>
      3. Кроме того:</w:t>
      </w:r>
    </w:p>
    <w:bookmarkEnd w:id="4766"/>
    <w:bookmarkStart w:name="z4890" w:id="4767"/>
    <w:p>
      <w:pPr>
        <w:spacing w:after="0"/>
        <w:ind w:left="0"/>
        <w:jc w:val="both"/>
      </w:pPr>
      <w:r>
        <w:rPr>
          <w:rFonts w:ascii="Times New Roman"/>
          <w:b w:val="false"/>
          <w:i w:val="false"/>
          <w:color w:val="000000"/>
          <w:sz w:val="28"/>
        </w:rPr>
        <w:t>
      a) условия транспортирования и доставки нерасфасованных газов как активных фармацевтических субстанций соответствуют требованиям, установленным для медицинских газов (пункты 19 - 21 настоящего документа);</w:t>
      </w:r>
    </w:p>
    <w:bookmarkEnd w:id="4767"/>
    <w:bookmarkStart w:name="z4891" w:id="4768"/>
    <w:p>
      <w:pPr>
        <w:spacing w:after="0"/>
        <w:ind w:left="0"/>
        <w:jc w:val="both"/>
      </w:pPr>
      <w:r>
        <w:rPr>
          <w:rFonts w:ascii="Times New Roman"/>
          <w:b w:val="false"/>
          <w:i w:val="false"/>
          <w:color w:val="000000"/>
          <w:sz w:val="28"/>
        </w:rPr>
        <w:t>
      b) операции наполнения баллонов или переносных криогенных емкостей газами как активными фармацевтическими субстанциями следует проводить в соответствии с требованиями, установленными для медицинских газов (пункты 22 - 37 настоящего документа), и требованиями раздела 9 части II Стандарта.</w:t>
      </w:r>
    </w:p>
    <w:bookmarkEnd w:id="4768"/>
    <w:bookmarkStart w:name="z4892" w:id="4769"/>
    <w:p>
      <w:pPr>
        <w:spacing w:after="0"/>
        <w:ind w:left="0"/>
        <w:jc w:val="both"/>
      </w:pPr>
      <w:r>
        <w:rPr>
          <w:rFonts w:ascii="Times New Roman"/>
          <w:b w:val="false"/>
          <w:i w:val="false"/>
          <w:color w:val="000000"/>
          <w:sz w:val="28"/>
        </w:rPr>
        <w:t>
      Производство медицинских газов</w:t>
      </w:r>
    </w:p>
    <w:bookmarkEnd w:id="4769"/>
    <w:bookmarkStart w:name="z4893" w:id="4770"/>
    <w:p>
      <w:pPr>
        <w:spacing w:after="0"/>
        <w:ind w:left="0"/>
        <w:jc w:val="both"/>
      </w:pPr>
      <w:r>
        <w:rPr>
          <w:rFonts w:ascii="Times New Roman"/>
          <w:b w:val="false"/>
          <w:i w:val="false"/>
          <w:color w:val="000000"/>
          <w:sz w:val="28"/>
        </w:rPr>
        <w:t>
      Производство медицинских газов, как правило, осуществляется в закрытом оборудовании. В связи с этим риск контаминации данной продукции из производственной среды является минимальным. Однако существует риск контаминации (или перекрестной контаминации другими газами) в особенности при повторном использовании емкостей.</w:t>
      </w:r>
    </w:p>
    <w:bookmarkEnd w:id="4770"/>
    <w:bookmarkStart w:name="z4894" w:id="4771"/>
    <w:p>
      <w:pPr>
        <w:spacing w:after="0"/>
        <w:ind w:left="0"/>
        <w:jc w:val="both"/>
      </w:pPr>
      <w:r>
        <w:rPr>
          <w:rFonts w:ascii="Times New Roman"/>
          <w:b w:val="false"/>
          <w:i w:val="false"/>
          <w:color w:val="000000"/>
          <w:sz w:val="28"/>
        </w:rPr>
        <w:t>
      4. Требования, применяемые к баллонам, следует также применять к группам (связкам) баллонов (за исключением случев хранения и транспортирования в специальных контейнерах).</w:t>
      </w:r>
    </w:p>
    <w:bookmarkEnd w:id="4771"/>
    <w:bookmarkStart w:name="z4895" w:id="4772"/>
    <w:p>
      <w:pPr>
        <w:spacing w:after="0"/>
        <w:ind w:left="0"/>
        <w:jc w:val="both"/>
      </w:pPr>
      <w:r>
        <w:rPr>
          <w:rFonts w:ascii="Times New Roman"/>
          <w:b w:val="false"/>
          <w:i w:val="false"/>
          <w:color w:val="000000"/>
          <w:sz w:val="28"/>
        </w:rPr>
        <w:t>
      Персонал</w:t>
      </w:r>
    </w:p>
    <w:bookmarkEnd w:id="4772"/>
    <w:bookmarkStart w:name="z4896" w:id="4773"/>
    <w:p>
      <w:pPr>
        <w:spacing w:after="0"/>
        <w:ind w:left="0"/>
        <w:jc w:val="both"/>
      </w:pPr>
      <w:r>
        <w:rPr>
          <w:rFonts w:ascii="Times New Roman"/>
          <w:b w:val="false"/>
          <w:i w:val="false"/>
          <w:color w:val="000000"/>
          <w:sz w:val="28"/>
        </w:rPr>
        <w:t>
      5. Персонал, занятый в производстве и реализации медицинских газов, проходит соответствующее обучение требованиям Стандарта, специфическим в отношении данного вида продукции. Персонал знает критически важные аспекты и возможную опасность, которую лекарственные препараты в виде медицинских газов могут представлять для пациентов. Водители, осуществляющие перевозку медицинских газов, также проходят соответствующее обучение.</w:t>
      </w:r>
    </w:p>
    <w:bookmarkEnd w:id="4773"/>
    <w:bookmarkStart w:name="z4897" w:id="4774"/>
    <w:p>
      <w:pPr>
        <w:spacing w:after="0"/>
        <w:ind w:left="0"/>
        <w:jc w:val="both"/>
      </w:pPr>
      <w:r>
        <w:rPr>
          <w:rFonts w:ascii="Times New Roman"/>
          <w:b w:val="false"/>
          <w:i w:val="false"/>
          <w:color w:val="000000"/>
          <w:sz w:val="28"/>
        </w:rPr>
        <w:t>
      6. Персонал подрядчиков, который может оказать влияние на качество медицинских газов (например, персонал, осуществляющий техническое обслуживание баллонов или клапанов), проходит соответствующее обучение.</w:t>
      </w:r>
    </w:p>
    <w:bookmarkEnd w:id="4774"/>
    <w:bookmarkStart w:name="z4898" w:id="4775"/>
    <w:p>
      <w:pPr>
        <w:spacing w:after="0"/>
        <w:ind w:left="0"/>
        <w:jc w:val="both"/>
      </w:pPr>
      <w:r>
        <w:rPr>
          <w:rFonts w:ascii="Times New Roman"/>
          <w:b w:val="false"/>
          <w:i w:val="false"/>
          <w:color w:val="000000"/>
          <w:sz w:val="28"/>
        </w:rPr>
        <w:t>
      Помещения и оборудование</w:t>
      </w:r>
    </w:p>
    <w:bookmarkEnd w:id="4775"/>
    <w:bookmarkStart w:name="z4899" w:id="4776"/>
    <w:p>
      <w:pPr>
        <w:spacing w:after="0"/>
        <w:ind w:left="0"/>
        <w:jc w:val="both"/>
      </w:pPr>
      <w:r>
        <w:rPr>
          <w:rFonts w:ascii="Times New Roman"/>
          <w:b w:val="false"/>
          <w:i w:val="false"/>
          <w:color w:val="000000"/>
          <w:sz w:val="28"/>
        </w:rPr>
        <w:t>
      Помещения</w:t>
      </w:r>
    </w:p>
    <w:bookmarkEnd w:id="4776"/>
    <w:bookmarkStart w:name="z4900" w:id="4777"/>
    <w:p>
      <w:pPr>
        <w:spacing w:after="0"/>
        <w:ind w:left="0"/>
        <w:jc w:val="both"/>
      </w:pPr>
      <w:r>
        <w:rPr>
          <w:rFonts w:ascii="Times New Roman"/>
          <w:b w:val="false"/>
          <w:i w:val="false"/>
          <w:color w:val="000000"/>
          <w:sz w:val="28"/>
        </w:rPr>
        <w:t>
      7. Баллоны и переносные криогенные емкости необходимо проверять, подготавливать, наполнять и хранить в зонах, отделенных от зон работы с немедицинскими газами. Запрещается обмен баллонами (переносными криогенными емкостями) между этими зонами. Однако в одних и тех же зонах допускаются контроль, подготовка, наполнение и хранение других газов, если требования к ним соответствуют требованиям к медицинским газам, а производственные операции осуществляются в соответствии с требованиями Стандарта.</w:t>
      </w:r>
    </w:p>
    <w:bookmarkEnd w:id="4777"/>
    <w:bookmarkStart w:name="z4901" w:id="4778"/>
    <w:p>
      <w:pPr>
        <w:spacing w:after="0"/>
        <w:ind w:left="0"/>
        <w:jc w:val="both"/>
      </w:pPr>
      <w:r>
        <w:rPr>
          <w:rFonts w:ascii="Times New Roman"/>
          <w:b w:val="false"/>
          <w:i w:val="false"/>
          <w:color w:val="000000"/>
          <w:sz w:val="28"/>
        </w:rPr>
        <w:t>
      8. Помещения, в которых выполняются операции по производству, проведению испытаний и хранению медицинских газов, имеют площадь, достаточную для исключения риска перепутывания. Планировка помещений обеспечивает:</w:t>
      </w:r>
    </w:p>
    <w:bookmarkEnd w:id="4778"/>
    <w:bookmarkStart w:name="z4902" w:id="4779"/>
    <w:p>
      <w:pPr>
        <w:spacing w:after="0"/>
        <w:ind w:left="0"/>
        <w:jc w:val="both"/>
      </w:pPr>
      <w:r>
        <w:rPr>
          <w:rFonts w:ascii="Times New Roman"/>
          <w:b w:val="false"/>
          <w:i w:val="false"/>
          <w:color w:val="000000"/>
          <w:sz w:val="28"/>
        </w:rPr>
        <w:t>
      a) отдельные маркированные зоны для различных газов;</w:t>
      </w:r>
    </w:p>
    <w:bookmarkEnd w:id="4779"/>
    <w:bookmarkStart w:name="z4903" w:id="4780"/>
    <w:p>
      <w:pPr>
        <w:spacing w:after="0"/>
        <w:ind w:left="0"/>
        <w:jc w:val="both"/>
      </w:pPr>
      <w:r>
        <w:rPr>
          <w:rFonts w:ascii="Times New Roman"/>
          <w:b w:val="false"/>
          <w:i w:val="false"/>
          <w:color w:val="000000"/>
          <w:sz w:val="28"/>
        </w:rPr>
        <w:t>
      b) однозначное обозначение и разделение пустых баллонов (переносных криогенных емкостей) и баллонов (переносных криогенных емкостей), находящихся на разных стадиях производства (например, надписи: "ожидает контроля", "ожидает наполнения", "карантин", "разрешен", "отклонен", "готов к отправке").</w:t>
      </w:r>
    </w:p>
    <w:bookmarkEnd w:id="4780"/>
    <w:bookmarkStart w:name="z4904" w:id="4781"/>
    <w:p>
      <w:pPr>
        <w:spacing w:after="0"/>
        <w:ind w:left="0"/>
        <w:jc w:val="both"/>
      </w:pPr>
      <w:r>
        <w:rPr>
          <w:rFonts w:ascii="Times New Roman"/>
          <w:b w:val="false"/>
          <w:i w:val="false"/>
          <w:color w:val="000000"/>
          <w:sz w:val="28"/>
        </w:rPr>
        <w:t>
      Способ, используемый для достижения различных уровней разделения, зависит от характера, объема и сложности технологического процесса. Мерами по разделению могут быть разметка по зонам на полу, перегородки, барьеры, обозначения и др.</w:t>
      </w:r>
    </w:p>
    <w:bookmarkEnd w:id="4781"/>
    <w:bookmarkStart w:name="z4905" w:id="4782"/>
    <w:p>
      <w:pPr>
        <w:spacing w:after="0"/>
        <w:ind w:left="0"/>
        <w:jc w:val="both"/>
      </w:pPr>
      <w:r>
        <w:rPr>
          <w:rFonts w:ascii="Times New Roman"/>
          <w:b w:val="false"/>
          <w:i w:val="false"/>
          <w:color w:val="000000"/>
          <w:sz w:val="28"/>
        </w:rPr>
        <w:t>
      9. После сортировки или технического обслуживания пустые баллоны (переносные криогенные емкости) и наполненные баллоны (переносные криогенные емкости) следует хранить под навесами, защищающими их от неблагоприятных погодных условий. Наполненные баллоны (переносные криогенные емкости) следует хранить в условиях, гарантирующих их доставку в чистом виде, который отвечает условиям, в которых они будут использоваться.</w:t>
      </w:r>
    </w:p>
    <w:bookmarkEnd w:id="4782"/>
    <w:bookmarkStart w:name="z4906" w:id="4783"/>
    <w:p>
      <w:pPr>
        <w:spacing w:after="0"/>
        <w:ind w:left="0"/>
        <w:jc w:val="both"/>
      </w:pPr>
      <w:r>
        <w:rPr>
          <w:rFonts w:ascii="Times New Roman"/>
          <w:b w:val="false"/>
          <w:i w:val="false"/>
          <w:color w:val="000000"/>
          <w:sz w:val="28"/>
        </w:rPr>
        <w:t>
      10. Обеспечивается особые условия хранения, соответствующие требованиям регистрационного досье (например, для газовых смесей, в которых происходит разделение фаз в случае замораживания).</w:t>
      </w:r>
    </w:p>
    <w:bookmarkEnd w:id="4783"/>
    <w:bookmarkStart w:name="z4907" w:id="4784"/>
    <w:p>
      <w:pPr>
        <w:spacing w:after="0"/>
        <w:ind w:left="0"/>
        <w:jc w:val="both"/>
      </w:pPr>
      <w:r>
        <w:rPr>
          <w:rFonts w:ascii="Times New Roman"/>
          <w:b w:val="false"/>
          <w:i w:val="false"/>
          <w:color w:val="000000"/>
          <w:sz w:val="28"/>
        </w:rPr>
        <w:t>
      Оборудование</w:t>
      </w:r>
    </w:p>
    <w:bookmarkEnd w:id="4784"/>
    <w:bookmarkStart w:name="z4908" w:id="4785"/>
    <w:p>
      <w:pPr>
        <w:spacing w:after="0"/>
        <w:ind w:left="0"/>
        <w:jc w:val="both"/>
      </w:pPr>
      <w:r>
        <w:rPr>
          <w:rFonts w:ascii="Times New Roman"/>
          <w:b w:val="false"/>
          <w:i w:val="false"/>
          <w:color w:val="000000"/>
          <w:sz w:val="28"/>
        </w:rPr>
        <w:t>
      11. Оборудование спроектировано таким образом, чтобы гарантировать, что надлежащий газ наполняется в надлежащий контейнер. Как правило, нет соединений между трубопроводами, по которым проходят различные газы. В случае, если такие соединения необходимы (например, оборудование, используемое для наполнения смесями газов), путем проведения квалификации необходимо гарантировать отсутствие риска перекрестной контаминации разными газами. В дополнение к этому распределительные коллекторы оборудованы специфическими соединительными элементами. Требования к использованию распределительных коллекторов и их соединений с клапанами баллонов могут быть установлены в соответствующих нормативных правовых актах. Использование на одном производственном участке соединений, соответствующих различным стандартам, следует тщательно контролировать, также, как и использование адаптеров, применение которых бывает необходимым в некоторых случаях соединения специфических систем наполнения.</w:t>
      </w:r>
    </w:p>
    <w:bookmarkEnd w:id="4785"/>
    <w:bookmarkStart w:name="z4909" w:id="4786"/>
    <w:p>
      <w:pPr>
        <w:spacing w:after="0"/>
        <w:ind w:left="0"/>
        <w:jc w:val="both"/>
      </w:pPr>
      <w:r>
        <w:rPr>
          <w:rFonts w:ascii="Times New Roman"/>
          <w:b w:val="false"/>
          <w:i w:val="false"/>
          <w:color w:val="000000"/>
          <w:sz w:val="28"/>
        </w:rPr>
        <w:t>
      12. Резервуары для хранения и передвижные цистерны для доставки предназначены только для одного вида газа определенного качества. Медицинские газы могут храниться или транспортироваться в тех же резервуарах, что и аналогичные немедицинские газы, при условии, что качество последних по меньшей мере эквивалентно качеству медицинских газов и соблюдаются требования Стандарта. В таких случаях осуществлена и документально оформлена процедура управления рисками.</w:t>
      </w:r>
    </w:p>
    <w:bookmarkEnd w:id="4786"/>
    <w:bookmarkStart w:name="z4910" w:id="4787"/>
    <w:p>
      <w:pPr>
        <w:spacing w:after="0"/>
        <w:ind w:left="0"/>
        <w:jc w:val="both"/>
      </w:pPr>
      <w:r>
        <w:rPr>
          <w:rFonts w:ascii="Times New Roman"/>
          <w:b w:val="false"/>
          <w:i w:val="false"/>
          <w:color w:val="000000"/>
          <w:sz w:val="28"/>
        </w:rPr>
        <w:t>
      13. Общая система распределения газа с коллекторами медицинского и немедицинского назначения используется лишь при наличии валидированного метода недопущения обратного потока газа из немедицинской системы в медицинскую систему.</w:t>
      </w:r>
    </w:p>
    <w:bookmarkEnd w:id="4787"/>
    <w:bookmarkStart w:name="z4911" w:id="4788"/>
    <w:p>
      <w:pPr>
        <w:spacing w:after="0"/>
        <w:ind w:left="0"/>
        <w:jc w:val="both"/>
      </w:pPr>
      <w:r>
        <w:rPr>
          <w:rFonts w:ascii="Times New Roman"/>
          <w:b w:val="false"/>
          <w:i w:val="false"/>
          <w:color w:val="000000"/>
          <w:sz w:val="28"/>
        </w:rPr>
        <w:t>
      14. Специально предназначенные коллекторы наполнения для одного медицинского газа или определенной смеси медицинских газов. В исключительных случаях допускается наполнение газов для других медицинских целей с использованием коллекторов, предназначенных для медицинских газов, если доказана такая возможность и весь процесс находится под контролем. В этих случаях качество немедицинского газа по крайней мере равным требуемому качеству медицинского газа и соблюдаются требования Стандарта. Наполнение производится по принципу организации циклов производства.</w:t>
      </w:r>
    </w:p>
    <w:bookmarkEnd w:id="4788"/>
    <w:bookmarkStart w:name="z4912" w:id="4789"/>
    <w:p>
      <w:pPr>
        <w:spacing w:after="0"/>
        <w:ind w:left="0"/>
        <w:jc w:val="both"/>
      </w:pPr>
      <w:r>
        <w:rPr>
          <w:rFonts w:ascii="Times New Roman"/>
          <w:b w:val="false"/>
          <w:i w:val="false"/>
          <w:color w:val="000000"/>
          <w:sz w:val="28"/>
        </w:rPr>
        <w:t>
      15. Работы по ремонту и техническому обслуживанию оборудования (включая очистку и продувку оборудования) не влияют на качество медицинских газов. В частности, разработаны и документально оформлены мероприятия, проводимые после ремонта и технического обслуживания оборудования, включающих разгерметизацию систем. Особенно важным является подтверждение того, что оборудование свободно от любой контаминации, которая может оказать влияние на качество готового продукта до выпуска его в реализацию. Записи проведенных работ сохраняются.</w:t>
      </w:r>
    </w:p>
    <w:bookmarkEnd w:id="4789"/>
    <w:bookmarkStart w:name="z4913" w:id="4790"/>
    <w:p>
      <w:pPr>
        <w:spacing w:after="0"/>
        <w:ind w:left="0"/>
        <w:jc w:val="both"/>
      </w:pPr>
      <w:r>
        <w:rPr>
          <w:rFonts w:ascii="Times New Roman"/>
          <w:b w:val="false"/>
          <w:i w:val="false"/>
          <w:color w:val="000000"/>
          <w:sz w:val="28"/>
        </w:rPr>
        <w:t>
      16. Разработаны и документально оформлены процедуры, осуществляемые при возврате цистерны на участок работы с медицинскими газами (после транспортирования немедицинского газа условиях, указанных в пункте 12 настоящего документа, или после операций по техническому обслуживанию). Такая процедура включает в себя аналитические испытания на наличие остатков продукта.</w:t>
      </w:r>
    </w:p>
    <w:bookmarkEnd w:id="4790"/>
    <w:bookmarkStart w:name="z4914" w:id="4791"/>
    <w:p>
      <w:pPr>
        <w:spacing w:after="0"/>
        <w:ind w:left="0"/>
        <w:jc w:val="both"/>
      </w:pPr>
      <w:r>
        <w:rPr>
          <w:rFonts w:ascii="Times New Roman"/>
          <w:b w:val="false"/>
          <w:i w:val="false"/>
          <w:color w:val="000000"/>
          <w:sz w:val="28"/>
        </w:rPr>
        <w:t>
      Документация</w:t>
      </w:r>
    </w:p>
    <w:bookmarkEnd w:id="4791"/>
    <w:bookmarkStart w:name="z4915" w:id="4792"/>
    <w:p>
      <w:pPr>
        <w:spacing w:after="0"/>
        <w:ind w:left="0"/>
        <w:jc w:val="both"/>
      </w:pPr>
      <w:r>
        <w:rPr>
          <w:rFonts w:ascii="Times New Roman"/>
          <w:b w:val="false"/>
          <w:i w:val="false"/>
          <w:color w:val="000000"/>
          <w:sz w:val="28"/>
        </w:rPr>
        <w:t>
      17. Данные, включенные в досье на каждую серию наполненных баллонов (переносных криогенных емкостей), обеспечивают для каждого наполненного баллона прослеживаемость информации о всех основных параметрах соответствующих стадий наполнения. Записи, относящиеся к серии (досье на серию), как правило, содержат следующую информацию:</w:t>
      </w:r>
    </w:p>
    <w:bookmarkEnd w:id="4792"/>
    <w:bookmarkStart w:name="z4916" w:id="4793"/>
    <w:p>
      <w:pPr>
        <w:spacing w:after="0"/>
        <w:ind w:left="0"/>
        <w:jc w:val="both"/>
      </w:pPr>
      <w:r>
        <w:rPr>
          <w:rFonts w:ascii="Times New Roman"/>
          <w:b w:val="false"/>
          <w:i w:val="false"/>
          <w:color w:val="000000"/>
          <w:sz w:val="28"/>
        </w:rPr>
        <w:t xml:space="preserve">
      a) наименование продукции; </w:t>
      </w:r>
    </w:p>
    <w:bookmarkEnd w:id="4793"/>
    <w:bookmarkStart w:name="z4917" w:id="4794"/>
    <w:p>
      <w:pPr>
        <w:spacing w:after="0"/>
        <w:ind w:left="0"/>
        <w:jc w:val="both"/>
      </w:pPr>
      <w:r>
        <w:rPr>
          <w:rFonts w:ascii="Times New Roman"/>
          <w:b w:val="false"/>
          <w:i w:val="false"/>
          <w:color w:val="000000"/>
          <w:sz w:val="28"/>
        </w:rPr>
        <w:t>
      b) номер серии;</w:t>
      </w:r>
    </w:p>
    <w:bookmarkEnd w:id="4794"/>
    <w:bookmarkStart w:name="z4918" w:id="4795"/>
    <w:p>
      <w:pPr>
        <w:spacing w:after="0"/>
        <w:ind w:left="0"/>
        <w:jc w:val="both"/>
      </w:pPr>
      <w:r>
        <w:rPr>
          <w:rFonts w:ascii="Times New Roman"/>
          <w:b w:val="false"/>
          <w:i w:val="false"/>
          <w:color w:val="000000"/>
          <w:sz w:val="28"/>
        </w:rPr>
        <w:t>
      c) дата и время проведения операции по наполнению;</w:t>
      </w:r>
    </w:p>
    <w:bookmarkEnd w:id="4795"/>
    <w:bookmarkStart w:name="z4919" w:id="4796"/>
    <w:p>
      <w:pPr>
        <w:spacing w:after="0"/>
        <w:ind w:left="0"/>
        <w:jc w:val="both"/>
      </w:pPr>
      <w:r>
        <w:rPr>
          <w:rFonts w:ascii="Times New Roman"/>
          <w:b w:val="false"/>
          <w:i w:val="false"/>
          <w:color w:val="000000"/>
          <w:sz w:val="28"/>
        </w:rPr>
        <w:t>
      d) персонал, выполнявший существенные этапы процесса (например, очистку линий, получение исходного сырья и материалов, подготовку линий наполнения, проведение наполнения и др.);</w:t>
      </w:r>
    </w:p>
    <w:bookmarkEnd w:id="4796"/>
    <w:bookmarkStart w:name="z4920" w:id="4797"/>
    <w:p>
      <w:pPr>
        <w:spacing w:after="0"/>
        <w:ind w:left="0"/>
        <w:jc w:val="both"/>
      </w:pPr>
      <w:r>
        <w:rPr>
          <w:rFonts w:ascii="Times New Roman"/>
          <w:b w:val="false"/>
          <w:i w:val="false"/>
          <w:color w:val="000000"/>
          <w:sz w:val="28"/>
        </w:rPr>
        <w:t>
      e) ссылка на номер серии газа, который использовался для операций по наполнению в соответствии с пунктом 22 настоящего документа, включая его статус (разрешение к наполнению);</w:t>
      </w:r>
    </w:p>
    <w:bookmarkEnd w:id="4797"/>
    <w:bookmarkStart w:name="z4921" w:id="4798"/>
    <w:p>
      <w:pPr>
        <w:spacing w:after="0"/>
        <w:ind w:left="0"/>
        <w:jc w:val="both"/>
      </w:pPr>
      <w:r>
        <w:rPr>
          <w:rFonts w:ascii="Times New Roman"/>
          <w:b w:val="false"/>
          <w:i w:val="false"/>
          <w:color w:val="000000"/>
          <w:sz w:val="28"/>
        </w:rPr>
        <w:t>
      f) оборудование, которое использовалось (например, коллектор наполнения);</w:t>
      </w:r>
    </w:p>
    <w:bookmarkEnd w:id="4798"/>
    <w:bookmarkStart w:name="z4922" w:id="4799"/>
    <w:p>
      <w:pPr>
        <w:spacing w:after="0"/>
        <w:ind w:left="0"/>
        <w:jc w:val="both"/>
      </w:pPr>
      <w:r>
        <w:rPr>
          <w:rFonts w:ascii="Times New Roman"/>
          <w:b w:val="false"/>
          <w:i w:val="false"/>
          <w:color w:val="000000"/>
          <w:sz w:val="28"/>
        </w:rPr>
        <w:t>
      g) количество баллонов (переносных криогенных емкостей) до операции наполнения, включая идентификационные данные каждой емкости и ее геометрический объем;</w:t>
      </w:r>
    </w:p>
    <w:bookmarkEnd w:id="4799"/>
    <w:bookmarkStart w:name="z4923" w:id="4800"/>
    <w:p>
      <w:pPr>
        <w:spacing w:after="0"/>
        <w:ind w:left="0"/>
        <w:jc w:val="both"/>
      </w:pPr>
      <w:r>
        <w:rPr>
          <w:rFonts w:ascii="Times New Roman"/>
          <w:b w:val="false"/>
          <w:i w:val="false"/>
          <w:color w:val="000000"/>
          <w:sz w:val="28"/>
        </w:rPr>
        <w:t>
      h) операции, выполненные до наполнения (в соответствии с пунктом 30 настоящего документа);</w:t>
      </w:r>
    </w:p>
    <w:bookmarkEnd w:id="4800"/>
    <w:bookmarkStart w:name="z4924" w:id="4801"/>
    <w:p>
      <w:pPr>
        <w:spacing w:after="0"/>
        <w:ind w:left="0"/>
        <w:jc w:val="both"/>
      </w:pPr>
      <w:r>
        <w:rPr>
          <w:rFonts w:ascii="Times New Roman"/>
          <w:b w:val="false"/>
          <w:i w:val="false"/>
          <w:color w:val="000000"/>
          <w:sz w:val="28"/>
        </w:rPr>
        <w:t>
      i) ключевые параметры, необходимые для подтверждения правильности проведения операции по наполнению при стандартных условиях;</w:t>
      </w:r>
    </w:p>
    <w:bookmarkEnd w:id="4801"/>
    <w:bookmarkStart w:name="z4925" w:id="4802"/>
    <w:p>
      <w:pPr>
        <w:spacing w:after="0"/>
        <w:ind w:left="0"/>
        <w:jc w:val="both"/>
      </w:pPr>
      <w:r>
        <w:rPr>
          <w:rFonts w:ascii="Times New Roman"/>
          <w:b w:val="false"/>
          <w:i w:val="false"/>
          <w:color w:val="000000"/>
          <w:sz w:val="28"/>
        </w:rPr>
        <w:t>
      j) результаты соответствующих проверок, гарантирующих, что баллоны (переносные криогенные емкости) были наполнены;</w:t>
      </w:r>
    </w:p>
    <w:bookmarkEnd w:id="4802"/>
    <w:bookmarkStart w:name="z4926" w:id="4803"/>
    <w:p>
      <w:pPr>
        <w:spacing w:after="0"/>
        <w:ind w:left="0"/>
        <w:jc w:val="both"/>
      </w:pPr>
      <w:r>
        <w:rPr>
          <w:rFonts w:ascii="Times New Roman"/>
          <w:b w:val="false"/>
          <w:i w:val="false"/>
          <w:color w:val="000000"/>
          <w:sz w:val="28"/>
        </w:rPr>
        <w:t>
      k) образец этикетки серии;</w:t>
      </w:r>
    </w:p>
    <w:bookmarkEnd w:id="4803"/>
    <w:bookmarkStart w:name="z4927" w:id="4804"/>
    <w:p>
      <w:pPr>
        <w:spacing w:after="0"/>
        <w:ind w:left="0"/>
        <w:jc w:val="both"/>
      </w:pPr>
      <w:r>
        <w:rPr>
          <w:rFonts w:ascii="Times New Roman"/>
          <w:b w:val="false"/>
          <w:i w:val="false"/>
          <w:color w:val="000000"/>
          <w:sz w:val="28"/>
        </w:rPr>
        <w:t>
      l) спецификация лекарственного средства и результаты испытаний по контролю качества (включая ссылки на текущее состояние калибровки оборудования, использованного в ходе испытаний);</w:t>
      </w:r>
    </w:p>
    <w:bookmarkEnd w:id="4804"/>
    <w:bookmarkStart w:name="z4928" w:id="4805"/>
    <w:p>
      <w:pPr>
        <w:spacing w:after="0"/>
        <w:ind w:left="0"/>
        <w:jc w:val="both"/>
      </w:pPr>
      <w:r>
        <w:rPr>
          <w:rFonts w:ascii="Times New Roman"/>
          <w:b w:val="false"/>
          <w:i w:val="false"/>
          <w:color w:val="000000"/>
          <w:sz w:val="28"/>
        </w:rPr>
        <w:t>
      m) количество отклоненных баллонов (переносных криогенных емкостей) с указанием их индивидуальных идентификационных данных причины отклонения;</w:t>
      </w:r>
    </w:p>
    <w:bookmarkEnd w:id="4805"/>
    <w:bookmarkStart w:name="z4929" w:id="4806"/>
    <w:p>
      <w:pPr>
        <w:spacing w:after="0"/>
        <w:ind w:left="0"/>
        <w:jc w:val="both"/>
      </w:pPr>
      <w:r>
        <w:rPr>
          <w:rFonts w:ascii="Times New Roman"/>
          <w:b w:val="false"/>
          <w:i w:val="false"/>
          <w:color w:val="000000"/>
          <w:sz w:val="28"/>
        </w:rPr>
        <w:t>
      n) подробные сведения о всех проблемах и отклонениях, утвержденное разрешение на любое отклонение от инструкций по наполнению;</w:t>
      </w:r>
    </w:p>
    <w:bookmarkEnd w:id="4806"/>
    <w:bookmarkStart w:name="z4930" w:id="4807"/>
    <w:p>
      <w:pPr>
        <w:spacing w:after="0"/>
        <w:ind w:left="0"/>
        <w:jc w:val="both"/>
      </w:pPr>
      <w:r>
        <w:rPr>
          <w:rFonts w:ascii="Times New Roman"/>
          <w:b w:val="false"/>
          <w:i w:val="false"/>
          <w:color w:val="000000"/>
          <w:sz w:val="28"/>
        </w:rPr>
        <w:t>
      o) разрешение уполномоченного лица на выпуск серии, дата и его подпись.</w:t>
      </w:r>
    </w:p>
    <w:bookmarkEnd w:id="4807"/>
    <w:bookmarkStart w:name="z4931" w:id="4808"/>
    <w:p>
      <w:pPr>
        <w:spacing w:after="0"/>
        <w:ind w:left="0"/>
        <w:jc w:val="both"/>
      </w:pPr>
      <w:r>
        <w:rPr>
          <w:rFonts w:ascii="Times New Roman"/>
          <w:b w:val="false"/>
          <w:i w:val="false"/>
          <w:color w:val="000000"/>
          <w:sz w:val="28"/>
        </w:rPr>
        <w:t>
      18. Сохраняется досье на каждую серию газа, предназначенную для наполнения резервуаров в медицинских учреждениях. Требования к содержанию таких досье зависят от требований соответствующих нормативных правовых актов, но, как правило, досье включает в себя следующую информацию:</w:t>
      </w:r>
    </w:p>
    <w:bookmarkEnd w:id="4808"/>
    <w:bookmarkStart w:name="z4932" w:id="4809"/>
    <w:p>
      <w:pPr>
        <w:spacing w:after="0"/>
        <w:ind w:left="0"/>
        <w:jc w:val="both"/>
      </w:pPr>
      <w:r>
        <w:rPr>
          <w:rFonts w:ascii="Times New Roman"/>
          <w:b w:val="false"/>
          <w:i w:val="false"/>
          <w:color w:val="000000"/>
          <w:sz w:val="28"/>
        </w:rPr>
        <w:t>
      a) наименование продукции;</w:t>
      </w:r>
    </w:p>
    <w:bookmarkEnd w:id="4809"/>
    <w:bookmarkStart w:name="z4933" w:id="4810"/>
    <w:p>
      <w:pPr>
        <w:spacing w:after="0"/>
        <w:ind w:left="0"/>
        <w:jc w:val="both"/>
      </w:pPr>
      <w:r>
        <w:rPr>
          <w:rFonts w:ascii="Times New Roman"/>
          <w:b w:val="false"/>
          <w:i w:val="false"/>
          <w:color w:val="000000"/>
          <w:sz w:val="28"/>
        </w:rPr>
        <w:t>
      b) номер серии;</w:t>
      </w:r>
    </w:p>
    <w:bookmarkEnd w:id="4810"/>
    <w:bookmarkStart w:name="z4934" w:id="4811"/>
    <w:p>
      <w:pPr>
        <w:spacing w:after="0"/>
        <w:ind w:left="0"/>
        <w:jc w:val="both"/>
      </w:pPr>
      <w:r>
        <w:rPr>
          <w:rFonts w:ascii="Times New Roman"/>
          <w:b w:val="false"/>
          <w:i w:val="false"/>
          <w:color w:val="000000"/>
          <w:sz w:val="28"/>
        </w:rPr>
        <w:t>
      c) ссылка на идентификационный номер емкости (цистерны), которой серия разрешена к реализации;</w:t>
      </w:r>
    </w:p>
    <w:bookmarkEnd w:id="4811"/>
    <w:bookmarkStart w:name="z4935" w:id="4812"/>
    <w:p>
      <w:pPr>
        <w:spacing w:after="0"/>
        <w:ind w:left="0"/>
        <w:jc w:val="both"/>
      </w:pPr>
      <w:r>
        <w:rPr>
          <w:rFonts w:ascii="Times New Roman"/>
          <w:b w:val="false"/>
          <w:i w:val="false"/>
          <w:color w:val="000000"/>
          <w:sz w:val="28"/>
        </w:rPr>
        <w:t>
      d) дата и время операции по наполнению;</w:t>
      </w:r>
    </w:p>
    <w:bookmarkEnd w:id="4812"/>
    <w:bookmarkStart w:name="z4936" w:id="4813"/>
    <w:p>
      <w:pPr>
        <w:spacing w:after="0"/>
        <w:ind w:left="0"/>
        <w:jc w:val="both"/>
      </w:pPr>
      <w:r>
        <w:rPr>
          <w:rFonts w:ascii="Times New Roman"/>
          <w:b w:val="false"/>
          <w:i w:val="false"/>
          <w:color w:val="000000"/>
          <w:sz w:val="28"/>
        </w:rPr>
        <w:t>
      e) персонал, выполнивший наполнение емкости (цистерны);</w:t>
      </w:r>
    </w:p>
    <w:bookmarkEnd w:id="4813"/>
    <w:bookmarkStart w:name="z4937" w:id="4814"/>
    <w:p>
      <w:pPr>
        <w:spacing w:after="0"/>
        <w:ind w:left="0"/>
        <w:jc w:val="both"/>
      </w:pPr>
      <w:r>
        <w:rPr>
          <w:rFonts w:ascii="Times New Roman"/>
          <w:b w:val="false"/>
          <w:i w:val="false"/>
          <w:color w:val="000000"/>
          <w:sz w:val="28"/>
        </w:rPr>
        <w:t>
      f) информация о контейнере, из которого производилось наполнение, и о газе, использовавшемся для наполнения;</w:t>
      </w:r>
    </w:p>
    <w:bookmarkEnd w:id="4814"/>
    <w:bookmarkStart w:name="z4938" w:id="4815"/>
    <w:p>
      <w:pPr>
        <w:spacing w:after="0"/>
        <w:ind w:left="0"/>
        <w:jc w:val="both"/>
      </w:pPr>
      <w:r>
        <w:rPr>
          <w:rFonts w:ascii="Times New Roman"/>
          <w:b w:val="false"/>
          <w:i w:val="false"/>
          <w:color w:val="000000"/>
          <w:sz w:val="28"/>
        </w:rPr>
        <w:t>
      g) сведения обо всех существенных деталях наполнения;</w:t>
      </w:r>
    </w:p>
    <w:bookmarkEnd w:id="4815"/>
    <w:bookmarkStart w:name="z4939" w:id="4816"/>
    <w:p>
      <w:pPr>
        <w:spacing w:after="0"/>
        <w:ind w:left="0"/>
        <w:jc w:val="both"/>
      </w:pPr>
      <w:r>
        <w:rPr>
          <w:rFonts w:ascii="Times New Roman"/>
          <w:b w:val="false"/>
          <w:i w:val="false"/>
          <w:color w:val="000000"/>
          <w:sz w:val="28"/>
        </w:rPr>
        <w:t>
      h) спецификация на готовый лекарственный препарат и результаты контроля качества (включая ссылки на текущее состояние калибровки оборудования, использованного в ходе испытаний);</w:t>
      </w:r>
    </w:p>
    <w:bookmarkEnd w:id="4816"/>
    <w:bookmarkStart w:name="z4940" w:id="4817"/>
    <w:p>
      <w:pPr>
        <w:spacing w:after="0"/>
        <w:ind w:left="0"/>
        <w:jc w:val="both"/>
      </w:pPr>
      <w:r>
        <w:rPr>
          <w:rFonts w:ascii="Times New Roman"/>
          <w:b w:val="false"/>
          <w:i w:val="false"/>
          <w:color w:val="000000"/>
          <w:sz w:val="28"/>
        </w:rPr>
        <w:t>
      i) подробные сведения обо всех проблемах и отклонениях, утвержденное разрешение на любое отклонение от инструкций по наполнению;</w:t>
      </w:r>
    </w:p>
    <w:bookmarkEnd w:id="4817"/>
    <w:bookmarkStart w:name="z4941" w:id="4818"/>
    <w:p>
      <w:pPr>
        <w:spacing w:after="0"/>
        <w:ind w:left="0"/>
        <w:jc w:val="both"/>
      </w:pPr>
      <w:r>
        <w:rPr>
          <w:rFonts w:ascii="Times New Roman"/>
          <w:b w:val="false"/>
          <w:i w:val="false"/>
          <w:color w:val="000000"/>
          <w:sz w:val="28"/>
        </w:rPr>
        <w:t>
      j) разрешение уполномоченного лица на выпуск серии, дата и его подпись.</w:t>
      </w:r>
    </w:p>
    <w:bookmarkEnd w:id="4818"/>
    <w:bookmarkStart w:name="z4942" w:id="4819"/>
    <w:p>
      <w:pPr>
        <w:spacing w:after="0"/>
        <w:ind w:left="0"/>
        <w:jc w:val="both"/>
      </w:pPr>
      <w:r>
        <w:rPr>
          <w:rFonts w:ascii="Times New Roman"/>
          <w:b w:val="false"/>
          <w:i w:val="false"/>
          <w:color w:val="000000"/>
          <w:sz w:val="28"/>
        </w:rPr>
        <w:t>
      Производство</w:t>
      </w:r>
    </w:p>
    <w:bookmarkEnd w:id="4819"/>
    <w:bookmarkStart w:name="z4943" w:id="4820"/>
    <w:p>
      <w:pPr>
        <w:spacing w:after="0"/>
        <w:ind w:left="0"/>
        <w:jc w:val="both"/>
      </w:pPr>
      <w:r>
        <w:rPr>
          <w:rFonts w:ascii="Times New Roman"/>
          <w:b w:val="false"/>
          <w:i w:val="false"/>
          <w:color w:val="000000"/>
          <w:sz w:val="28"/>
        </w:rPr>
        <w:t>
      Перемещение и доставка криогенных и сжиженных газов</w:t>
      </w:r>
    </w:p>
    <w:bookmarkEnd w:id="4820"/>
    <w:bookmarkStart w:name="z4944" w:id="4821"/>
    <w:p>
      <w:pPr>
        <w:spacing w:after="0"/>
        <w:ind w:left="0"/>
        <w:jc w:val="both"/>
      </w:pPr>
      <w:r>
        <w:rPr>
          <w:rFonts w:ascii="Times New Roman"/>
          <w:b w:val="false"/>
          <w:i w:val="false"/>
          <w:color w:val="000000"/>
          <w:sz w:val="28"/>
        </w:rPr>
        <w:t>
      19. Перемещение криогенных или сжиженных газов с места первичного хранения (включая контроль перед перемещением) следует осуществлять в соответствии с валидированными процедурами, разработанными с целью предотвращения возможной контаминации. Трубопровод, по которому перемещается газ, оборудован обратным клапаном или другим соответствующим устройством. Гибкие соединения, нестационарные соединительные шланги и средства для соединения перед использованием промыты потоком соответствующего газа.</w:t>
      </w:r>
    </w:p>
    <w:bookmarkEnd w:id="4821"/>
    <w:bookmarkStart w:name="z4945" w:id="4822"/>
    <w:p>
      <w:pPr>
        <w:spacing w:after="0"/>
        <w:ind w:left="0"/>
        <w:jc w:val="both"/>
      </w:pPr>
      <w:r>
        <w:rPr>
          <w:rFonts w:ascii="Times New Roman"/>
          <w:b w:val="false"/>
          <w:i w:val="false"/>
          <w:color w:val="000000"/>
          <w:sz w:val="28"/>
        </w:rPr>
        <w:t>
      20. Шланги, используемые для наполнения резервуаров и цистерн, оборудованы средствами для соединения, специально предназначенными для данной продукции. Использование адаптеров, позволяющих подключать резервуары и цистерны, контролируются надлежащим образом.</w:t>
      </w:r>
    </w:p>
    <w:bookmarkEnd w:id="4822"/>
    <w:bookmarkStart w:name="z4946" w:id="4823"/>
    <w:p>
      <w:pPr>
        <w:spacing w:after="0"/>
        <w:ind w:left="0"/>
        <w:jc w:val="both"/>
      </w:pPr>
      <w:r>
        <w:rPr>
          <w:rFonts w:ascii="Times New Roman"/>
          <w:b w:val="false"/>
          <w:i w:val="false"/>
          <w:color w:val="000000"/>
          <w:sz w:val="28"/>
        </w:rPr>
        <w:t>
      21. Подача газа в резервуары, содержащие аналогичный газ такого же уровня качества, может быть осуществлена при наличии положительных результатов испытаний качества подаваемого газа. Испытуемый образец может быть отобран как из подаваемого газа, так и из резервуара после завершения подачи газа.</w:t>
      </w:r>
    </w:p>
    <w:bookmarkEnd w:id="4823"/>
    <w:bookmarkStart w:name="z4947" w:id="4824"/>
    <w:p>
      <w:pPr>
        <w:spacing w:after="0"/>
        <w:ind w:left="0"/>
        <w:jc w:val="both"/>
      </w:pPr>
      <w:r>
        <w:rPr>
          <w:rFonts w:ascii="Times New Roman"/>
          <w:b w:val="false"/>
          <w:i w:val="false"/>
          <w:color w:val="000000"/>
          <w:sz w:val="28"/>
        </w:rPr>
        <w:t>
      Особые меры в отношении наполнения резервуаров, расположенных у потребителей, изложены в пункте 42 настоящего документа.</w:t>
      </w:r>
    </w:p>
    <w:bookmarkEnd w:id="4824"/>
    <w:bookmarkStart w:name="z4948" w:id="4825"/>
    <w:p>
      <w:pPr>
        <w:spacing w:after="0"/>
        <w:ind w:left="0"/>
        <w:jc w:val="both"/>
      </w:pPr>
      <w:r>
        <w:rPr>
          <w:rFonts w:ascii="Times New Roman"/>
          <w:b w:val="false"/>
          <w:i w:val="false"/>
          <w:color w:val="000000"/>
          <w:sz w:val="28"/>
        </w:rPr>
        <w:t>
      Наполнение и маркировка баллонов (переносных криогенных емкостей)</w:t>
      </w:r>
    </w:p>
    <w:bookmarkEnd w:id="4825"/>
    <w:bookmarkStart w:name="z4949" w:id="4826"/>
    <w:p>
      <w:pPr>
        <w:spacing w:after="0"/>
        <w:ind w:left="0"/>
        <w:jc w:val="both"/>
      </w:pPr>
      <w:r>
        <w:rPr>
          <w:rFonts w:ascii="Times New Roman"/>
          <w:b w:val="false"/>
          <w:i w:val="false"/>
          <w:color w:val="000000"/>
          <w:sz w:val="28"/>
        </w:rPr>
        <w:t>
      22. Перед наполнением баллонов (переносных криогенных емкостей) серия (серии) газа идентифицируется и контролируется в соответствии со спецификациями и разрешена для проведения наполнения.</w:t>
      </w:r>
    </w:p>
    <w:bookmarkEnd w:id="4826"/>
    <w:bookmarkStart w:name="z4950" w:id="4827"/>
    <w:p>
      <w:pPr>
        <w:spacing w:after="0"/>
        <w:ind w:left="0"/>
        <w:jc w:val="both"/>
      </w:pPr>
      <w:r>
        <w:rPr>
          <w:rFonts w:ascii="Times New Roman"/>
          <w:b w:val="false"/>
          <w:i w:val="false"/>
          <w:color w:val="000000"/>
          <w:sz w:val="28"/>
        </w:rPr>
        <w:t>
      23. В случае непрерывных процессов, определенных в принципах настоящего документа, для обеспечения соответствия газа спецификациям устанавливают соответствующие точки контроля производства.</w:t>
      </w:r>
    </w:p>
    <w:bookmarkEnd w:id="4827"/>
    <w:bookmarkStart w:name="z4951" w:id="4828"/>
    <w:p>
      <w:pPr>
        <w:spacing w:after="0"/>
        <w:ind w:left="0"/>
        <w:jc w:val="both"/>
      </w:pPr>
      <w:r>
        <w:rPr>
          <w:rFonts w:ascii="Times New Roman"/>
          <w:b w:val="false"/>
          <w:i w:val="false"/>
          <w:color w:val="000000"/>
          <w:sz w:val="28"/>
        </w:rPr>
        <w:t>
      24. Баллоны, переносные криогенные емкости и клапаны отвечают установленным техническим спецификациям и требованиям регистрационного досье. Они предназначены только для одного медицинского газа или определенной смеси медицинских газов. Баллоны маркированы с использованием цветовой маркировки по соответствующим стандартам. Для обеспечения соответствующей защиты от контаминации баллоны оснащают клапанами удержания минимального давления с механизмами предотвращения потока газа в обратном направлении.</w:t>
      </w:r>
    </w:p>
    <w:bookmarkEnd w:id="4828"/>
    <w:bookmarkStart w:name="z4952" w:id="4829"/>
    <w:p>
      <w:pPr>
        <w:spacing w:after="0"/>
        <w:ind w:left="0"/>
        <w:jc w:val="both"/>
      </w:pPr>
      <w:r>
        <w:rPr>
          <w:rFonts w:ascii="Times New Roman"/>
          <w:b w:val="false"/>
          <w:i w:val="false"/>
          <w:color w:val="000000"/>
          <w:sz w:val="28"/>
        </w:rPr>
        <w:t>
      25. Баллоны, переносные криогенные емкости и клапаны проверяют перед первым использованием в производстве и обслуживают надлежащим образом. При использовании медицинских изделий их техническое обслуживание осуществляется в соответствии с инструкциями производителя.</w:t>
      </w:r>
    </w:p>
    <w:bookmarkEnd w:id="4829"/>
    <w:bookmarkStart w:name="z4953" w:id="4830"/>
    <w:p>
      <w:pPr>
        <w:spacing w:after="0"/>
        <w:ind w:left="0"/>
        <w:jc w:val="both"/>
      </w:pPr>
      <w:r>
        <w:rPr>
          <w:rFonts w:ascii="Times New Roman"/>
          <w:b w:val="false"/>
          <w:i w:val="false"/>
          <w:color w:val="000000"/>
          <w:sz w:val="28"/>
        </w:rPr>
        <w:t>
      26. Операции по проверке и техническому обслуживанию не оказывают негативного воздействия на качество и безопасность лекарственного препарата. Вода, используемая для испытаний баллонов гидростатическим давлением, как минимум питьевого качества.</w:t>
      </w:r>
    </w:p>
    <w:bookmarkEnd w:id="4830"/>
    <w:bookmarkStart w:name="z4954" w:id="4831"/>
    <w:p>
      <w:pPr>
        <w:spacing w:after="0"/>
        <w:ind w:left="0"/>
        <w:jc w:val="both"/>
      </w:pPr>
      <w:r>
        <w:rPr>
          <w:rFonts w:ascii="Times New Roman"/>
          <w:b w:val="false"/>
          <w:i w:val="false"/>
          <w:color w:val="000000"/>
          <w:sz w:val="28"/>
        </w:rPr>
        <w:t>
      27. Для подтверждения отсутствия контаминации внутреннее состояние баллонов до установки клапана подвергается визуальному осмотру на предмет отсутствия остатков воды или других контаминантов. Эту операцию следует выполнять как часть проверок и технического обслуживания. Она осуществляется в следующих случаях:</w:t>
      </w:r>
    </w:p>
    <w:bookmarkEnd w:id="4831"/>
    <w:bookmarkStart w:name="z4955" w:id="4832"/>
    <w:p>
      <w:pPr>
        <w:spacing w:after="0"/>
        <w:ind w:left="0"/>
        <w:jc w:val="both"/>
      </w:pPr>
      <w:r>
        <w:rPr>
          <w:rFonts w:ascii="Times New Roman"/>
          <w:b w:val="false"/>
          <w:i w:val="false"/>
          <w:color w:val="000000"/>
          <w:sz w:val="28"/>
        </w:rPr>
        <w:t>
      новые баллоны впервые используются для медицинских газов;</w:t>
      </w:r>
    </w:p>
    <w:bookmarkEnd w:id="4832"/>
    <w:bookmarkStart w:name="z4956" w:id="4833"/>
    <w:p>
      <w:pPr>
        <w:spacing w:after="0"/>
        <w:ind w:left="0"/>
        <w:jc w:val="both"/>
      </w:pPr>
      <w:r>
        <w:rPr>
          <w:rFonts w:ascii="Times New Roman"/>
          <w:b w:val="false"/>
          <w:i w:val="false"/>
          <w:color w:val="000000"/>
          <w:sz w:val="28"/>
        </w:rPr>
        <w:t>
      были проведены испытания гидростатическим давлением или эквивалентным испытанием с демонтажем клапана;</w:t>
      </w:r>
    </w:p>
    <w:bookmarkEnd w:id="4833"/>
    <w:bookmarkStart w:name="z4957" w:id="4834"/>
    <w:p>
      <w:pPr>
        <w:spacing w:after="0"/>
        <w:ind w:left="0"/>
        <w:jc w:val="both"/>
      </w:pPr>
      <w:r>
        <w:rPr>
          <w:rFonts w:ascii="Times New Roman"/>
          <w:b w:val="false"/>
          <w:i w:val="false"/>
          <w:color w:val="000000"/>
          <w:sz w:val="28"/>
        </w:rPr>
        <w:t>
      произведена замена клапана.</w:t>
      </w:r>
    </w:p>
    <w:bookmarkEnd w:id="4834"/>
    <w:bookmarkStart w:name="z4958" w:id="4835"/>
    <w:p>
      <w:pPr>
        <w:spacing w:after="0"/>
        <w:ind w:left="0"/>
        <w:jc w:val="both"/>
      </w:pPr>
      <w:r>
        <w:rPr>
          <w:rFonts w:ascii="Times New Roman"/>
          <w:b w:val="false"/>
          <w:i w:val="false"/>
          <w:color w:val="000000"/>
          <w:sz w:val="28"/>
        </w:rPr>
        <w:t>
      После установки клапан находится в закрытом состоянии для предотвращения любой контаминации. В случае возникновения любых сомнений относительно внутреннего состояния баллона клапан демонтирован, а баллон подвергнут внутреннему осмотру для обеспечения уверенности в отсутствии контаминации.</w:t>
      </w:r>
    </w:p>
    <w:bookmarkEnd w:id="4835"/>
    <w:bookmarkStart w:name="z4959" w:id="4836"/>
    <w:p>
      <w:pPr>
        <w:spacing w:after="0"/>
        <w:ind w:left="0"/>
        <w:jc w:val="both"/>
      </w:pPr>
      <w:r>
        <w:rPr>
          <w:rFonts w:ascii="Times New Roman"/>
          <w:b w:val="false"/>
          <w:i w:val="false"/>
          <w:color w:val="000000"/>
          <w:sz w:val="28"/>
        </w:rPr>
        <w:t>
      28. Производитель лекарственных препаратов несет ответственность за техническое обслуживание и ремонт баллонов, переносных криогенных емкостей и клапанов. При выполнении этих работ по соглашению они выполняются только утвержденными исполнителями. Соглашение содержат технические условия выполнения таких работ. Проводится аудит исполнителей таких работ для обеспечения уверенности в соблюдении ими соответствующих стандартов.</w:t>
      </w:r>
    </w:p>
    <w:bookmarkEnd w:id="4836"/>
    <w:bookmarkStart w:name="z4960" w:id="4837"/>
    <w:p>
      <w:pPr>
        <w:spacing w:after="0"/>
        <w:ind w:left="0"/>
        <w:jc w:val="both"/>
      </w:pPr>
      <w:r>
        <w:rPr>
          <w:rFonts w:ascii="Times New Roman"/>
          <w:b w:val="false"/>
          <w:i w:val="false"/>
          <w:color w:val="000000"/>
          <w:sz w:val="28"/>
        </w:rPr>
        <w:t>
      29. В наличии система, позволяющая обеспечивать прослеживаемость баллонов, переносных криогенных емкостей и клапанов.</w:t>
      </w:r>
    </w:p>
    <w:bookmarkEnd w:id="4837"/>
    <w:bookmarkStart w:name="z4961" w:id="4838"/>
    <w:p>
      <w:pPr>
        <w:spacing w:after="0"/>
        <w:ind w:left="0"/>
        <w:jc w:val="both"/>
      </w:pPr>
      <w:r>
        <w:rPr>
          <w:rFonts w:ascii="Times New Roman"/>
          <w:b w:val="false"/>
          <w:i w:val="false"/>
          <w:color w:val="000000"/>
          <w:sz w:val="28"/>
        </w:rPr>
        <w:t>
      30. Проверка перед операцией наполнения включает в себя:</w:t>
      </w:r>
    </w:p>
    <w:bookmarkEnd w:id="4838"/>
    <w:bookmarkStart w:name="z4962" w:id="4839"/>
    <w:p>
      <w:pPr>
        <w:spacing w:after="0"/>
        <w:ind w:left="0"/>
        <w:jc w:val="both"/>
      </w:pPr>
      <w:r>
        <w:rPr>
          <w:rFonts w:ascii="Times New Roman"/>
          <w:b w:val="false"/>
          <w:i w:val="false"/>
          <w:color w:val="000000"/>
          <w:sz w:val="28"/>
        </w:rPr>
        <w:t>
      a) в случае баллонов - проверку по установленной процедуре наличия остаточного избыточного давления для каждого баллона:</w:t>
      </w:r>
    </w:p>
    <w:bookmarkEnd w:id="4839"/>
    <w:bookmarkStart w:name="z4963" w:id="4840"/>
    <w:p>
      <w:pPr>
        <w:spacing w:after="0"/>
        <w:ind w:left="0"/>
        <w:jc w:val="both"/>
      </w:pPr>
      <w:r>
        <w:rPr>
          <w:rFonts w:ascii="Times New Roman"/>
          <w:b w:val="false"/>
          <w:i w:val="false"/>
          <w:color w:val="000000"/>
          <w:sz w:val="28"/>
        </w:rPr>
        <w:t>
      если баллон оборудован клапаном удержания минимального давления, при отсутствии сигнала, свидетельствующего о наличии остаточного избыточного давления, проведена проверка клапана (если клапан функционирует неправильно, баллон отправлен на техническое обслуживание);</w:t>
      </w:r>
    </w:p>
    <w:bookmarkEnd w:id="4840"/>
    <w:bookmarkStart w:name="z4964" w:id="4841"/>
    <w:p>
      <w:pPr>
        <w:spacing w:after="0"/>
        <w:ind w:left="0"/>
        <w:jc w:val="both"/>
      </w:pPr>
      <w:r>
        <w:rPr>
          <w:rFonts w:ascii="Times New Roman"/>
          <w:b w:val="false"/>
          <w:i w:val="false"/>
          <w:color w:val="000000"/>
          <w:sz w:val="28"/>
        </w:rPr>
        <w:t>
      если баллон не оборудован клапаном удержания минимального давления и в баллоне не обнаружено остаточного избыточного давления, такой баллон отправлен для проведения дополнительных испытаний с целью проверки отсутствия контаминации водой или другими веществами (дополнительные меры могут включать в себя визуальный осмотр внутреннего состояния баллона, который проводится после очистки с использованием валидированного метода);</w:t>
      </w:r>
    </w:p>
    <w:bookmarkEnd w:id="4841"/>
    <w:bookmarkStart w:name="z4965" w:id="4842"/>
    <w:p>
      <w:pPr>
        <w:spacing w:after="0"/>
        <w:ind w:left="0"/>
        <w:jc w:val="both"/>
      </w:pPr>
      <w:r>
        <w:rPr>
          <w:rFonts w:ascii="Times New Roman"/>
          <w:b w:val="false"/>
          <w:i w:val="false"/>
          <w:color w:val="000000"/>
          <w:sz w:val="28"/>
        </w:rPr>
        <w:t>
      b) проверку для подтверждения того, что идентификационные этикетки предыдущей серии отсутствуют;</w:t>
      </w:r>
    </w:p>
    <w:bookmarkEnd w:id="4842"/>
    <w:bookmarkStart w:name="z4966" w:id="4843"/>
    <w:p>
      <w:pPr>
        <w:spacing w:after="0"/>
        <w:ind w:left="0"/>
        <w:jc w:val="both"/>
      </w:pPr>
      <w:r>
        <w:rPr>
          <w:rFonts w:ascii="Times New Roman"/>
          <w:b w:val="false"/>
          <w:i w:val="false"/>
          <w:color w:val="000000"/>
          <w:sz w:val="28"/>
        </w:rPr>
        <w:t>
      c) проверку того, что все поврежденные идентификационные этикетки продукта удалены и заменены;</w:t>
      </w:r>
    </w:p>
    <w:bookmarkEnd w:id="4843"/>
    <w:bookmarkStart w:name="z4967" w:id="4844"/>
    <w:p>
      <w:pPr>
        <w:spacing w:after="0"/>
        <w:ind w:left="0"/>
        <w:jc w:val="both"/>
      </w:pPr>
      <w:r>
        <w:rPr>
          <w:rFonts w:ascii="Times New Roman"/>
          <w:b w:val="false"/>
          <w:i w:val="false"/>
          <w:color w:val="000000"/>
          <w:sz w:val="28"/>
        </w:rPr>
        <w:t>
      d) внешний визуальный осмотр каждого баллона, переносной криогенной емкости и клапана с целью выявления раковин, сварочных прожигов, других повреждений, контаминации маслами и при необходимости проведение очистки;</w:t>
      </w:r>
    </w:p>
    <w:bookmarkEnd w:id="4844"/>
    <w:bookmarkStart w:name="z4968" w:id="4845"/>
    <w:p>
      <w:pPr>
        <w:spacing w:after="0"/>
        <w:ind w:left="0"/>
        <w:jc w:val="both"/>
      </w:pPr>
      <w:r>
        <w:rPr>
          <w:rFonts w:ascii="Times New Roman"/>
          <w:b w:val="false"/>
          <w:i w:val="false"/>
          <w:color w:val="000000"/>
          <w:sz w:val="28"/>
        </w:rPr>
        <w:t>
      e) проверку соединения патрубка каждого баллона или переносной криогенной емкости на соответствие типу соединения для наполняемого газа;</w:t>
      </w:r>
    </w:p>
    <w:bookmarkEnd w:id="4845"/>
    <w:bookmarkStart w:name="z4969" w:id="4846"/>
    <w:p>
      <w:pPr>
        <w:spacing w:after="0"/>
        <w:ind w:left="0"/>
        <w:jc w:val="both"/>
      </w:pPr>
      <w:r>
        <w:rPr>
          <w:rFonts w:ascii="Times New Roman"/>
          <w:b w:val="false"/>
          <w:i w:val="false"/>
          <w:color w:val="000000"/>
          <w:sz w:val="28"/>
        </w:rPr>
        <w:t>
      f) проверку даты следующего испытания клапана (для клапанов, подлежащих периодической проверке);</w:t>
      </w:r>
    </w:p>
    <w:bookmarkEnd w:id="4846"/>
    <w:bookmarkStart w:name="z4970" w:id="4847"/>
    <w:p>
      <w:pPr>
        <w:spacing w:after="0"/>
        <w:ind w:left="0"/>
        <w:jc w:val="both"/>
      </w:pPr>
      <w:r>
        <w:rPr>
          <w:rFonts w:ascii="Times New Roman"/>
          <w:b w:val="false"/>
          <w:i w:val="false"/>
          <w:color w:val="000000"/>
          <w:sz w:val="28"/>
        </w:rPr>
        <w:t>
      g) проверку баллонов или переносных криогенных емкостей для обеспечения гарантии проведения всех необходимых испытаний (например, проверку гидростатическим давлением или эквивалентным испытанием) в соответствии с нормативными правовыми актами и проверку действительности результатов этих испытаний;</w:t>
      </w:r>
    </w:p>
    <w:bookmarkEnd w:id="4847"/>
    <w:bookmarkStart w:name="z4971" w:id="4848"/>
    <w:p>
      <w:pPr>
        <w:spacing w:after="0"/>
        <w:ind w:left="0"/>
        <w:jc w:val="both"/>
      </w:pPr>
      <w:r>
        <w:rPr>
          <w:rFonts w:ascii="Times New Roman"/>
          <w:b w:val="false"/>
          <w:i w:val="false"/>
          <w:color w:val="000000"/>
          <w:sz w:val="28"/>
        </w:rPr>
        <w:t>
      h) проверку цветовой маркировки каждого баллона в соответствии регистрационным досье (цветовая кодировка устанавливается нормативными правовыми актами.</w:t>
      </w:r>
    </w:p>
    <w:bookmarkEnd w:id="4848"/>
    <w:bookmarkStart w:name="z4972" w:id="4849"/>
    <w:p>
      <w:pPr>
        <w:spacing w:after="0"/>
        <w:ind w:left="0"/>
        <w:jc w:val="both"/>
      </w:pPr>
      <w:r>
        <w:rPr>
          <w:rFonts w:ascii="Times New Roman"/>
          <w:b w:val="false"/>
          <w:i w:val="false"/>
          <w:color w:val="000000"/>
          <w:sz w:val="28"/>
        </w:rPr>
        <w:t>
      31. Размер серии определяется в зависимости от операции наполнения.</w:t>
      </w:r>
    </w:p>
    <w:bookmarkEnd w:id="4849"/>
    <w:bookmarkStart w:name="z4973" w:id="4850"/>
    <w:p>
      <w:pPr>
        <w:spacing w:after="0"/>
        <w:ind w:left="0"/>
        <w:jc w:val="both"/>
      </w:pPr>
      <w:r>
        <w:rPr>
          <w:rFonts w:ascii="Times New Roman"/>
          <w:b w:val="false"/>
          <w:i w:val="false"/>
          <w:color w:val="000000"/>
          <w:sz w:val="28"/>
        </w:rPr>
        <w:t>
      32. Баллоны, возвращаемые на повторную заправку, тщательно подготовлены с целью минимизации риска контаминации согласно требованиям регистрационного досье. Методики, включающие себя процедуры откачивания и (или) продувки, валидированы.</w:t>
      </w:r>
    </w:p>
    <w:bookmarkEnd w:id="4850"/>
    <w:bookmarkStart w:name="z4974" w:id="4851"/>
    <w:p>
      <w:pPr>
        <w:spacing w:after="0"/>
        <w:ind w:left="0"/>
        <w:jc w:val="both"/>
      </w:pPr>
      <w:r>
        <w:rPr>
          <w:rFonts w:ascii="Times New Roman"/>
          <w:b w:val="false"/>
          <w:i w:val="false"/>
          <w:color w:val="000000"/>
          <w:sz w:val="28"/>
        </w:rPr>
        <w:t>
      Для сжатых газов теоретическое содержание примеси при давлении наполнения 200 бар составляет не более 500 объемных частей на 1 000 000 при 15°C. Для других давлений определяются эквивалентные значения.</w:t>
      </w:r>
    </w:p>
    <w:bookmarkEnd w:id="4851"/>
    <w:bookmarkStart w:name="z4975" w:id="4852"/>
    <w:p>
      <w:pPr>
        <w:spacing w:after="0"/>
        <w:ind w:left="0"/>
        <w:jc w:val="both"/>
      </w:pPr>
      <w:r>
        <w:rPr>
          <w:rFonts w:ascii="Times New Roman"/>
          <w:b w:val="false"/>
          <w:i w:val="false"/>
          <w:color w:val="000000"/>
          <w:sz w:val="28"/>
        </w:rPr>
        <w:t>
      33. С целью минимизации риска контаминации переносные криогенные емкости, возвращаемые на повторную заправку, тщательно подготавливаются согласно процедурам, описанным в регистрационном досье. В частности переносные емкости, в которых отсутствует остаточное давление, подготовлены с использованием валидированного метода.</w:t>
      </w:r>
    </w:p>
    <w:bookmarkEnd w:id="4852"/>
    <w:bookmarkStart w:name="z4976" w:id="4853"/>
    <w:p>
      <w:pPr>
        <w:spacing w:after="0"/>
        <w:ind w:left="0"/>
        <w:jc w:val="both"/>
      </w:pPr>
      <w:r>
        <w:rPr>
          <w:rFonts w:ascii="Times New Roman"/>
          <w:b w:val="false"/>
          <w:i w:val="false"/>
          <w:color w:val="000000"/>
          <w:sz w:val="28"/>
        </w:rPr>
        <w:t>
      34. Для обеспечения гарантии правильного наполнения каждого баллона (переносной криогенной емкости) следует проводить соответствующие проверки.</w:t>
      </w:r>
    </w:p>
    <w:bookmarkEnd w:id="4853"/>
    <w:bookmarkStart w:name="z4977" w:id="4854"/>
    <w:p>
      <w:pPr>
        <w:spacing w:after="0"/>
        <w:ind w:left="0"/>
        <w:jc w:val="both"/>
      </w:pPr>
      <w:r>
        <w:rPr>
          <w:rFonts w:ascii="Times New Roman"/>
          <w:b w:val="false"/>
          <w:i w:val="false"/>
          <w:color w:val="000000"/>
          <w:sz w:val="28"/>
        </w:rPr>
        <w:t>
      35. Каждый наполненный баллон до установки устройства контроля первого вскрытия (пункт 36 настоящего документа) проконтролирован на отсутствие утечки с использованием соответствующего метода. Используемый метод контроля не приводит к контаминации поверхности патрубка клапана баллона, и по возможности такой контроль осуществляется после отбора всех образцов для контроля качества.</w:t>
      </w:r>
    </w:p>
    <w:bookmarkEnd w:id="4854"/>
    <w:bookmarkStart w:name="z4978" w:id="4855"/>
    <w:p>
      <w:pPr>
        <w:spacing w:after="0"/>
        <w:ind w:left="0"/>
        <w:jc w:val="both"/>
      </w:pPr>
      <w:r>
        <w:rPr>
          <w:rFonts w:ascii="Times New Roman"/>
          <w:b w:val="false"/>
          <w:i w:val="false"/>
          <w:color w:val="000000"/>
          <w:sz w:val="28"/>
        </w:rPr>
        <w:t>
      36. После наполнения газом патрубки клапанов баллонов закрыты колпачками для защиты от контаминации. На баллоны (переносные криогенные емкости) установлены устройства контроля первого вскрытия.</w:t>
      </w:r>
    </w:p>
    <w:bookmarkEnd w:id="4855"/>
    <w:bookmarkStart w:name="z4979" w:id="4856"/>
    <w:p>
      <w:pPr>
        <w:spacing w:after="0"/>
        <w:ind w:left="0"/>
        <w:jc w:val="both"/>
      </w:pPr>
      <w:r>
        <w:rPr>
          <w:rFonts w:ascii="Times New Roman"/>
          <w:b w:val="false"/>
          <w:i w:val="false"/>
          <w:color w:val="000000"/>
          <w:sz w:val="28"/>
        </w:rPr>
        <w:t>
      37. Каждый баллон (переносная криогенная емкость) промаркирован с помощью этикеток. Номер серии и срок годности указан на отдельной этикетке.</w:t>
      </w:r>
    </w:p>
    <w:bookmarkEnd w:id="4856"/>
    <w:bookmarkStart w:name="z4980" w:id="4857"/>
    <w:p>
      <w:pPr>
        <w:spacing w:after="0"/>
        <w:ind w:left="0"/>
        <w:jc w:val="both"/>
      </w:pPr>
      <w:r>
        <w:rPr>
          <w:rFonts w:ascii="Times New Roman"/>
          <w:b w:val="false"/>
          <w:i w:val="false"/>
          <w:color w:val="000000"/>
          <w:sz w:val="28"/>
        </w:rPr>
        <w:t>
      38. При производстве медицинских газов путем смешивания двух или более различных газов (в линии для наполнения либо непосредственно в баллонах) используется валидированный метод смешивания, который гарантирует, что газы должным образом смешаны в каждом баллоне и гомогенность смеси обеспечена.</w:t>
      </w:r>
    </w:p>
    <w:bookmarkEnd w:id="4857"/>
    <w:bookmarkStart w:name="z4981" w:id="4858"/>
    <w:p>
      <w:pPr>
        <w:spacing w:after="0"/>
        <w:ind w:left="0"/>
        <w:jc w:val="both"/>
      </w:pPr>
      <w:r>
        <w:rPr>
          <w:rFonts w:ascii="Times New Roman"/>
          <w:b w:val="false"/>
          <w:i w:val="false"/>
          <w:color w:val="000000"/>
          <w:sz w:val="28"/>
        </w:rPr>
        <w:t>
      Контроль качества</w:t>
      </w:r>
    </w:p>
    <w:bookmarkEnd w:id="4858"/>
    <w:bookmarkStart w:name="z4982" w:id="4859"/>
    <w:p>
      <w:pPr>
        <w:spacing w:after="0"/>
        <w:ind w:left="0"/>
        <w:jc w:val="both"/>
      </w:pPr>
      <w:r>
        <w:rPr>
          <w:rFonts w:ascii="Times New Roman"/>
          <w:b w:val="false"/>
          <w:i w:val="false"/>
          <w:color w:val="000000"/>
          <w:sz w:val="28"/>
        </w:rPr>
        <w:t>
      39. Каждая серия медицинского газа (баллоны, переносные криогенные емкости, резервуары в медицинских учреждениях) проконтролирована в соответствии с регистрационным досье и на каждую серию медицинского газа получено разрешение уполномоченного лица на выпуск.</w:t>
      </w:r>
    </w:p>
    <w:bookmarkEnd w:id="4859"/>
    <w:bookmarkStart w:name="z4983" w:id="4860"/>
    <w:p>
      <w:pPr>
        <w:spacing w:after="0"/>
        <w:ind w:left="0"/>
        <w:jc w:val="both"/>
      </w:pPr>
      <w:r>
        <w:rPr>
          <w:rFonts w:ascii="Times New Roman"/>
          <w:b w:val="false"/>
          <w:i w:val="false"/>
          <w:color w:val="000000"/>
          <w:sz w:val="28"/>
        </w:rPr>
        <w:t>
      40. План отбора проб и объем проводимых испытаний отвечают следующим требованиям в отношении баллонов (если в регистрационном досье не установлено иное):</w:t>
      </w:r>
    </w:p>
    <w:bookmarkEnd w:id="4860"/>
    <w:bookmarkStart w:name="z4984" w:id="4861"/>
    <w:p>
      <w:pPr>
        <w:spacing w:after="0"/>
        <w:ind w:left="0"/>
        <w:jc w:val="both"/>
      </w:pPr>
      <w:r>
        <w:rPr>
          <w:rFonts w:ascii="Times New Roman"/>
          <w:b w:val="false"/>
          <w:i w:val="false"/>
          <w:color w:val="000000"/>
          <w:sz w:val="28"/>
        </w:rPr>
        <w:t>
      a) если только один медицинский газ наполняется в баллоны с использованием коллектора, к которому одновременно подсоединяются несколько баллонов, газ проконтролирован как минимум из одного баллона для установления подлинности и количественного определения. Образцы отбираются от каждого цикла наполнения при замене баллонов, подключенных к коллектору;</w:t>
      </w:r>
    </w:p>
    <w:bookmarkEnd w:id="4861"/>
    <w:bookmarkStart w:name="z4985" w:id="4862"/>
    <w:p>
      <w:pPr>
        <w:spacing w:after="0"/>
        <w:ind w:left="0"/>
        <w:jc w:val="both"/>
      </w:pPr>
      <w:r>
        <w:rPr>
          <w:rFonts w:ascii="Times New Roman"/>
          <w:b w:val="false"/>
          <w:i w:val="false"/>
          <w:color w:val="000000"/>
          <w:sz w:val="28"/>
        </w:rPr>
        <w:t>
      b) если только один медицинский газ наполняется в баллоны в рамках одного производственного цикла в один промежуток времени, по крайней мере один баллон при каждом непрерывном цикле наполнения проверен на подлинность и количественное содержание. Примером непрерывного цикла наполнения является производство в течение одной смены одним и тем же персоналом с использованием одного оборудования и одной серии газа, который расфасовывался;</w:t>
      </w:r>
    </w:p>
    <w:bookmarkEnd w:id="4862"/>
    <w:bookmarkStart w:name="z4986" w:id="4863"/>
    <w:p>
      <w:pPr>
        <w:spacing w:after="0"/>
        <w:ind w:left="0"/>
        <w:jc w:val="both"/>
      </w:pPr>
      <w:r>
        <w:rPr>
          <w:rFonts w:ascii="Times New Roman"/>
          <w:b w:val="false"/>
          <w:i w:val="false"/>
          <w:color w:val="000000"/>
          <w:sz w:val="28"/>
        </w:rPr>
        <w:t>
      c) если медицинский газ готовится путем смешивания в баллоне двух или более различных газов из одного и того же распределительного коллектора, газ из каждого баллона проконтролирован на подлинность и количественное содержание всех компонентов газовой смеси. В отношении вспомогательных веществ (при их наличии) испытание на подлинность может выполняться для одного баллона из цикла наполнения (или для каждого непрерывного цикла наполнения). Меньшее количество баллонов может подвергаться испытаниям в случае использования валидированных автоматизированных систем наполнения;</w:t>
      </w:r>
    </w:p>
    <w:bookmarkEnd w:id="4863"/>
    <w:bookmarkStart w:name="z4987" w:id="4864"/>
    <w:p>
      <w:pPr>
        <w:spacing w:after="0"/>
        <w:ind w:left="0"/>
        <w:jc w:val="both"/>
      </w:pPr>
      <w:r>
        <w:rPr>
          <w:rFonts w:ascii="Times New Roman"/>
          <w:b w:val="false"/>
          <w:i w:val="false"/>
          <w:color w:val="000000"/>
          <w:sz w:val="28"/>
        </w:rPr>
        <w:t>
      d) в отношении газов, смешивание которых происходит до наполнения, следует соблюдать те же принципы, что и в отношении наполнения одним газом, когда на линии осуществляется непрерывный контроль смеси газов, используемых для наполнения.</w:t>
      </w:r>
    </w:p>
    <w:bookmarkEnd w:id="4864"/>
    <w:bookmarkStart w:name="z4988" w:id="4865"/>
    <w:p>
      <w:pPr>
        <w:spacing w:after="0"/>
        <w:ind w:left="0"/>
        <w:jc w:val="both"/>
      </w:pPr>
      <w:r>
        <w:rPr>
          <w:rFonts w:ascii="Times New Roman"/>
          <w:b w:val="false"/>
          <w:i w:val="false"/>
          <w:color w:val="000000"/>
          <w:sz w:val="28"/>
        </w:rPr>
        <w:t>
      В отношении газов, смешивание которых происходит до стадии наполнения, следует придерживаться тех же принципов, как и для газов, смешивание которых проводится в баллонах, при отсутствии на линии непрерывного контроля смеси газов, используемых для наполнения.</w:t>
      </w:r>
    </w:p>
    <w:bookmarkEnd w:id="4865"/>
    <w:bookmarkStart w:name="z4989" w:id="4866"/>
    <w:p>
      <w:pPr>
        <w:spacing w:after="0"/>
        <w:ind w:left="0"/>
        <w:jc w:val="both"/>
      </w:pPr>
      <w:r>
        <w:rPr>
          <w:rFonts w:ascii="Times New Roman"/>
          <w:b w:val="false"/>
          <w:i w:val="false"/>
          <w:color w:val="000000"/>
          <w:sz w:val="28"/>
        </w:rPr>
        <w:t>
      Выполняются испытания на содержание воды, если не установлено иное.</w:t>
      </w:r>
    </w:p>
    <w:bookmarkEnd w:id="4866"/>
    <w:bookmarkStart w:name="z4990" w:id="4867"/>
    <w:p>
      <w:pPr>
        <w:spacing w:after="0"/>
        <w:ind w:left="0"/>
        <w:jc w:val="both"/>
      </w:pPr>
      <w:r>
        <w:rPr>
          <w:rFonts w:ascii="Times New Roman"/>
          <w:b w:val="false"/>
          <w:i w:val="false"/>
          <w:color w:val="000000"/>
          <w:sz w:val="28"/>
        </w:rPr>
        <w:t>
      Возможно использование других методик отбора образцов и испытаний при наличии как минимум такого же уровня обеспечения качества.</w:t>
      </w:r>
    </w:p>
    <w:bookmarkEnd w:id="4867"/>
    <w:bookmarkStart w:name="z4991" w:id="4868"/>
    <w:p>
      <w:pPr>
        <w:spacing w:after="0"/>
        <w:ind w:left="0"/>
        <w:jc w:val="both"/>
      </w:pPr>
      <w:r>
        <w:rPr>
          <w:rFonts w:ascii="Times New Roman"/>
          <w:b w:val="false"/>
          <w:i w:val="false"/>
          <w:color w:val="000000"/>
          <w:sz w:val="28"/>
        </w:rPr>
        <w:t>
      41. Завершающие испытания переносных криогенных емкостей включают испытания на подлинность и количественное определение продукта в каждой емкости, если иное не предусмотрено в регистрационном досье. Выборочный посерийный контроль используется только в случае, если было продемонстрировано, что перед повторным наполнением критические характеристики остаточного газа в каждой емкости остались без изменений.</w:t>
      </w:r>
    </w:p>
    <w:bookmarkEnd w:id="4868"/>
    <w:bookmarkStart w:name="z4992" w:id="4869"/>
    <w:p>
      <w:pPr>
        <w:spacing w:after="0"/>
        <w:ind w:left="0"/>
        <w:jc w:val="both"/>
      </w:pPr>
      <w:r>
        <w:rPr>
          <w:rFonts w:ascii="Times New Roman"/>
          <w:b w:val="false"/>
          <w:i w:val="false"/>
          <w:color w:val="000000"/>
          <w:sz w:val="28"/>
        </w:rPr>
        <w:t>
      42. Не требуется проведение отбора образцов после повторного наполнения криогенных емкостей потребителей в месте использования (резервуары в медицинских учреждениях или переносные криогенные емкости) из специально предназначенных цистерн при наличии сопровождающего поставку документа, подтверждающего качество их содержимого. Однако после последовательных повторных наполнений следует удостовериться, что качество газа в емкостях поддерживается на установленном уровне.</w:t>
      </w:r>
    </w:p>
    <w:bookmarkEnd w:id="4869"/>
    <w:bookmarkStart w:name="z4993" w:id="4870"/>
    <w:p>
      <w:pPr>
        <w:spacing w:after="0"/>
        <w:ind w:left="0"/>
        <w:jc w:val="both"/>
      </w:pPr>
      <w:r>
        <w:rPr>
          <w:rFonts w:ascii="Times New Roman"/>
          <w:b w:val="false"/>
          <w:i w:val="false"/>
          <w:color w:val="000000"/>
          <w:sz w:val="28"/>
        </w:rPr>
        <w:t>
      43. Не требуется сохранять контрольные и архивные образцы серий продукции, если это не предусмотрено документацией.</w:t>
      </w:r>
    </w:p>
    <w:bookmarkEnd w:id="4870"/>
    <w:bookmarkStart w:name="z4994" w:id="4871"/>
    <w:p>
      <w:pPr>
        <w:spacing w:after="0"/>
        <w:ind w:left="0"/>
        <w:jc w:val="both"/>
      </w:pPr>
      <w:r>
        <w:rPr>
          <w:rFonts w:ascii="Times New Roman"/>
          <w:b w:val="false"/>
          <w:i w:val="false"/>
          <w:color w:val="000000"/>
          <w:sz w:val="28"/>
        </w:rPr>
        <w:t>
      44. Не требуется проведение продолжающегося изучения стабильности, если первичное изучение стабильности было заменено библиографическими данными.</w:t>
      </w:r>
    </w:p>
    <w:bookmarkEnd w:id="4871"/>
    <w:bookmarkStart w:name="z4995" w:id="4872"/>
    <w:p>
      <w:pPr>
        <w:spacing w:after="0"/>
        <w:ind w:left="0"/>
        <w:jc w:val="both"/>
      </w:pPr>
      <w:r>
        <w:rPr>
          <w:rFonts w:ascii="Times New Roman"/>
          <w:b w:val="false"/>
          <w:i w:val="false"/>
          <w:color w:val="000000"/>
          <w:sz w:val="28"/>
        </w:rPr>
        <w:t>
      Транспортирование газов</w:t>
      </w:r>
    </w:p>
    <w:bookmarkEnd w:id="4872"/>
    <w:bookmarkStart w:name="z4996" w:id="4873"/>
    <w:p>
      <w:pPr>
        <w:spacing w:after="0"/>
        <w:ind w:left="0"/>
        <w:jc w:val="both"/>
      </w:pPr>
      <w:r>
        <w:rPr>
          <w:rFonts w:ascii="Times New Roman"/>
          <w:b w:val="false"/>
          <w:i w:val="false"/>
          <w:color w:val="000000"/>
          <w:sz w:val="28"/>
        </w:rPr>
        <w:t>
      45. Наполненные газовые баллоны и переносные криогенные емкости защищены во время транспортирования, частности, доставляется заказчикам в чистом состоянии, соответствующем условиям их дальнейшего использования.</w:t>
      </w:r>
    </w:p>
    <w:bookmarkEnd w:id="4873"/>
    <w:bookmarkStart w:name="z4997" w:id="4874"/>
    <w:p>
      <w:pPr>
        <w:spacing w:after="0"/>
        <w:ind w:left="0"/>
        <w:jc w:val="both"/>
      </w:pPr>
      <w:r>
        <w:rPr>
          <w:rFonts w:ascii="Times New Roman"/>
          <w:b w:val="false"/>
          <w:i w:val="false"/>
          <w:color w:val="000000"/>
          <w:sz w:val="28"/>
        </w:rPr>
        <w:t>
      Термины и определения</w:t>
      </w:r>
    </w:p>
    <w:bookmarkEnd w:id="4874"/>
    <w:bookmarkStart w:name="z4998" w:id="4875"/>
    <w:p>
      <w:pPr>
        <w:spacing w:after="0"/>
        <w:ind w:left="0"/>
        <w:jc w:val="both"/>
      </w:pPr>
      <w:r>
        <w:rPr>
          <w:rFonts w:ascii="Times New Roman"/>
          <w:b w:val="false"/>
          <w:i w:val="false"/>
          <w:color w:val="000000"/>
          <w:sz w:val="28"/>
        </w:rPr>
        <w:t>
      "амбулаторный криогенный сосуд" (home cryogenic vessel) - переносной термически изолированный контейнер, сконструированный для хранения сжиженного кислорода и использования газообразного кислорода на дому у пациента;</w:t>
      </w:r>
    </w:p>
    <w:bookmarkEnd w:id="4875"/>
    <w:bookmarkStart w:name="z4999" w:id="4876"/>
    <w:p>
      <w:pPr>
        <w:spacing w:after="0"/>
        <w:ind w:left="0"/>
        <w:jc w:val="both"/>
      </w:pPr>
      <w:r>
        <w:rPr>
          <w:rFonts w:ascii="Times New Roman"/>
          <w:b w:val="false"/>
          <w:i w:val="false"/>
          <w:color w:val="000000"/>
          <w:sz w:val="28"/>
        </w:rPr>
        <w:t>
      "баллон" (cylinder) - контейнер обычно цилиндрической формы, приспособленный для сжатого, сжиженного или растворенного газа и оснащенный приспособлением для регулировки спонтанного вытекания газа при атмосферном давлении и комнатной температуре;</w:t>
      </w:r>
    </w:p>
    <w:bookmarkEnd w:id="4876"/>
    <w:bookmarkStart w:name="z5000" w:id="4877"/>
    <w:p>
      <w:pPr>
        <w:spacing w:after="0"/>
        <w:ind w:left="0"/>
        <w:jc w:val="both"/>
      </w:pPr>
      <w:r>
        <w:rPr>
          <w:rFonts w:ascii="Times New Roman"/>
          <w:b w:val="false"/>
          <w:i w:val="false"/>
          <w:color w:val="000000"/>
          <w:sz w:val="28"/>
        </w:rPr>
        <w:t>
      "газ" (gas) - вещество или смесь веществ, которые при давлении 1,013 бар и температуре плюс 20 °С находятся полностью в газообразном состоянии или при температуре плюс 50 °С давление их паров превышает 3 бар;</w:t>
      </w:r>
    </w:p>
    <w:bookmarkEnd w:id="4877"/>
    <w:bookmarkStart w:name="z5001" w:id="4878"/>
    <w:p>
      <w:pPr>
        <w:spacing w:after="0"/>
        <w:ind w:left="0"/>
        <w:jc w:val="both"/>
      </w:pPr>
      <w:r>
        <w:rPr>
          <w:rFonts w:ascii="Times New Roman"/>
          <w:b w:val="false"/>
          <w:i w:val="false"/>
          <w:color w:val="000000"/>
          <w:sz w:val="28"/>
        </w:rPr>
        <w:t>
      "газ как активная фармацевтическая субстанция" (active substance gas) - газ, предназначенный для использования в качестве активной фармацевтической субстанции для производства лекарственного препарата;</w:t>
      </w:r>
    </w:p>
    <w:bookmarkEnd w:id="4878"/>
    <w:bookmarkStart w:name="z5002" w:id="4879"/>
    <w:p>
      <w:pPr>
        <w:spacing w:after="0"/>
        <w:ind w:left="0"/>
        <w:jc w:val="both"/>
      </w:pPr>
      <w:r>
        <w:rPr>
          <w:rFonts w:ascii="Times New Roman"/>
          <w:b w:val="false"/>
          <w:i w:val="false"/>
          <w:color w:val="000000"/>
          <w:sz w:val="28"/>
        </w:rPr>
        <w:t>
      "группа (связка) баллонов" (cylinder bundle) - собранные и закрепленные вместе баллоны, подключенные через распределительный коллектор и транспортируемые и используемые как единое целое;</w:t>
      </w:r>
    </w:p>
    <w:bookmarkEnd w:id="4879"/>
    <w:bookmarkStart w:name="z5003" w:id="4880"/>
    <w:p>
      <w:pPr>
        <w:spacing w:after="0"/>
        <w:ind w:left="0"/>
        <w:jc w:val="both"/>
      </w:pPr>
      <w:r>
        <w:rPr>
          <w:rFonts w:ascii="Times New Roman"/>
          <w:b w:val="false"/>
          <w:i w:val="false"/>
          <w:color w:val="000000"/>
          <w:sz w:val="28"/>
        </w:rPr>
        <w:t>
      "испытание гидростатическим давлением" (hydrostatic pressure test) - испытание, проводимое с целью обеспечения безопасности в соответствии с требованиями законодательства и международных норм для проверки того, что баллоны или резервуары могут выдержать запланированное высокое давление;</w:t>
      </w:r>
    </w:p>
    <w:bookmarkEnd w:id="4880"/>
    <w:bookmarkStart w:name="z5004" w:id="4881"/>
    <w:p>
      <w:pPr>
        <w:spacing w:after="0"/>
        <w:ind w:left="0"/>
        <w:jc w:val="both"/>
      </w:pPr>
      <w:r>
        <w:rPr>
          <w:rFonts w:ascii="Times New Roman"/>
          <w:b w:val="false"/>
          <w:i w:val="false"/>
          <w:color w:val="000000"/>
          <w:sz w:val="28"/>
        </w:rPr>
        <w:t>
      "клапан" (valve) - устройство для открывания и закрывания контейнера;</w:t>
      </w:r>
    </w:p>
    <w:bookmarkEnd w:id="4881"/>
    <w:bookmarkStart w:name="z5005" w:id="4882"/>
    <w:p>
      <w:pPr>
        <w:spacing w:after="0"/>
        <w:ind w:left="0"/>
        <w:jc w:val="both"/>
      </w:pPr>
      <w:r>
        <w:rPr>
          <w:rFonts w:ascii="Times New Roman"/>
          <w:b w:val="false"/>
          <w:i w:val="false"/>
          <w:color w:val="000000"/>
          <w:sz w:val="28"/>
        </w:rPr>
        <w:t>
      "клапан удержания остаточного давления" (minimum pressure retention valve) - клапан, установленный на баллоне и поддерживающий использованном баллоне давление выше атмосферного с целью предотвращения контаминации внутреннего объема баллона;</w:t>
      </w:r>
    </w:p>
    <w:bookmarkEnd w:id="4882"/>
    <w:bookmarkStart w:name="z5006" w:id="4883"/>
    <w:p>
      <w:pPr>
        <w:spacing w:after="0"/>
        <w:ind w:left="0"/>
        <w:jc w:val="both"/>
      </w:pPr>
      <w:r>
        <w:rPr>
          <w:rFonts w:ascii="Times New Roman"/>
          <w:b w:val="false"/>
          <w:i w:val="false"/>
          <w:color w:val="000000"/>
          <w:sz w:val="28"/>
        </w:rPr>
        <w:t>
      "контейнер" (container) - криогенный сосуд (бак, цистерна или мобильная криогенная емкость другого типа), баллон, связка баллонов или любая другая упаковка, которые находятся в непосредственном контакте с медицинским газом;</w:t>
      </w:r>
    </w:p>
    <w:bookmarkEnd w:id="4883"/>
    <w:bookmarkStart w:name="z5007" w:id="4884"/>
    <w:p>
      <w:pPr>
        <w:spacing w:after="0"/>
        <w:ind w:left="0"/>
        <w:jc w:val="both"/>
      </w:pPr>
      <w:r>
        <w:rPr>
          <w:rFonts w:ascii="Times New Roman"/>
          <w:b w:val="false"/>
          <w:i w:val="false"/>
          <w:color w:val="000000"/>
          <w:sz w:val="28"/>
        </w:rPr>
        <w:t>
      "криогенный газ" (cryogenic gas) - газ, который сжижается при давлении 1,013 бар и температуре ниже минус 150 °С;</w:t>
      </w:r>
    </w:p>
    <w:bookmarkEnd w:id="4884"/>
    <w:bookmarkStart w:name="z5008" w:id="4885"/>
    <w:p>
      <w:pPr>
        <w:spacing w:after="0"/>
        <w:ind w:left="0"/>
        <w:jc w:val="both"/>
      </w:pPr>
      <w:r>
        <w:rPr>
          <w:rFonts w:ascii="Times New Roman"/>
          <w:b w:val="false"/>
          <w:i w:val="false"/>
          <w:color w:val="000000"/>
          <w:sz w:val="28"/>
        </w:rPr>
        <w:t>
      "максимальный теоретический остаточный уровень примеси" (maximum theoretical residual impurity) - газообразная примесь от возможного обратного потока газов, оставшаяся после предварительной обработки баллонов перед их наполнением. Расчет максимального теоретического уровня примеси имеет значение только для сжатых газов в предположении, что эти газы ведут себя как идеальные;</w:t>
      </w:r>
    </w:p>
    <w:bookmarkEnd w:id="4885"/>
    <w:bookmarkStart w:name="z5009" w:id="4886"/>
    <w:p>
      <w:pPr>
        <w:spacing w:after="0"/>
        <w:ind w:left="0"/>
        <w:jc w:val="both"/>
      </w:pPr>
      <w:r>
        <w:rPr>
          <w:rFonts w:ascii="Times New Roman"/>
          <w:b w:val="false"/>
          <w:i w:val="false"/>
          <w:color w:val="000000"/>
          <w:sz w:val="28"/>
        </w:rPr>
        <w:t>
      "медицинский газ" (medicinal gas) - любой газ или смесь газов, являющиеся лекарственными препаратами;</w:t>
      </w:r>
    </w:p>
    <w:bookmarkEnd w:id="4886"/>
    <w:bookmarkStart w:name="z5010" w:id="4887"/>
    <w:p>
      <w:pPr>
        <w:spacing w:after="0"/>
        <w:ind w:left="0"/>
        <w:jc w:val="both"/>
      </w:pPr>
      <w:r>
        <w:rPr>
          <w:rFonts w:ascii="Times New Roman"/>
          <w:b w:val="false"/>
          <w:i w:val="false"/>
          <w:color w:val="000000"/>
          <w:sz w:val="28"/>
        </w:rPr>
        <w:t>
      "обратный клапан" (non-return valve) - клапан, который позволяет потоку проходить только в одном направлении;</w:t>
      </w:r>
    </w:p>
    <w:bookmarkEnd w:id="4887"/>
    <w:bookmarkStart w:name="z5011" w:id="4888"/>
    <w:p>
      <w:pPr>
        <w:spacing w:after="0"/>
        <w:ind w:left="0"/>
        <w:jc w:val="both"/>
      </w:pPr>
      <w:r>
        <w:rPr>
          <w:rFonts w:ascii="Times New Roman"/>
          <w:b w:val="false"/>
          <w:i w:val="false"/>
          <w:color w:val="000000"/>
          <w:sz w:val="28"/>
        </w:rPr>
        <w:t>
      "откачивать" (evacuate) - удалять остаточный газ из контейнера (системы) с помощью вакуума до давления меньше чем 1,013 бар;</w:t>
      </w:r>
    </w:p>
    <w:bookmarkEnd w:id="4888"/>
    <w:bookmarkStart w:name="z5012" w:id="4889"/>
    <w:p>
      <w:pPr>
        <w:spacing w:after="0"/>
        <w:ind w:left="0"/>
        <w:jc w:val="both"/>
      </w:pPr>
      <w:r>
        <w:rPr>
          <w:rFonts w:ascii="Times New Roman"/>
          <w:b w:val="false"/>
          <w:i w:val="false"/>
          <w:color w:val="000000"/>
          <w:sz w:val="28"/>
        </w:rPr>
        <w:t>
      "переносной криогенный сосуд" (mobile cryogenic vessel) - переносной термически изолированный контейнер, сконструированный для хранения в нем веществ в жидком состоянии, в контексте настоящего документа этот термин не включает в себя понятие "цистерна";</w:t>
      </w:r>
    </w:p>
    <w:bookmarkEnd w:id="4889"/>
    <w:bookmarkStart w:name="z5013" w:id="4890"/>
    <w:p>
      <w:pPr>
        <w:spacing w:after="0"/>
        <w:ind w:left="0"/>
        <w:jc w:val="both"/>
      </w:pPr>
      <w:r>
        <w:rPr>
          <w:rFonts w:ascii="Times New Roman"/>
          <w:b w:val="false"/>
          <w:i w:val="false"/>
          <w:color w:val="000000"/>
          <w:sz w:val="28"/>
        </w:rPr>
        <w:t xml:space="preserve">
      "продувка" (purge) - удаление остаточного газа из контейнера (системы) путем первоначального нагнетания давления с помощью используемого газа с последующим сбросом давления газа до 1,013 бар; </w:t>
      </w:r>
    </w:p>
    <w:bookmarkEnd w:id="4890"/>
    <w:bookmarkStart w:name="z5014" w:id="4891"/>
    <w:p>
      <w:pPr>
        <w:spacing w:after="0"/>
        <w:ind w:left="0"/>
        <w:jc w:val="both"/>
      </w:pPr>
      <w:r>
        <w:rPr>
          <w:rFonts w:ascii="Times New Roman"/>
          <w:b w:val="false"/>
          <w:i w:val="false"/>
          <w:color w:val="000000"/>
          <w:sz w:val="28"/>
        </w:rPr>
        <w:t>
      "разделение воздуха" (air separation) - разделение атмосферного воздуха на составляющие его газы путем фракционной дистилляции при криогенных температурах;</w:t>
      </w:r>
    </w:p>
    <w:bookmarkEnd w:id="4891"/>
    <w:bookmarkStart w:name="z5015" w:id="4892"/>
    <w:p>
      <w:pPr>
        <w:spacing w:after="0"/>
        <w:ind w:left="0"/>
        <w:jc w:val="both"/>
      </w:pPr>
      <w:r>
        <w:rPr>
          <w:rFonts w:ascii="Times New Roman"/>
          <w:b w:val="false"/>
          <w:i w:val="false"/>
          <w:color w:val="000000"/>
          <w:sz w:val="28"/>
        </w:rPr>
        <w:t>
      "распределительный коллектор" (manifold) - оборудование или устройство, сконструированное для одновременного опорожнения или наполнения газом одного или более контейнеров;</w:t>
      </w:r>
    </w:p>
    <w:bookmarkEnd w:id="4892"/>
    <w:bookmarkStart w:name="z5016" w:id="4893"/>
    <w:p>
      <w:pPr>
        <w:spacing w:after="0"/>
        <w:ind w:left="0"/>
        <w:jc w:val="both"/>
      </w:pPr>
      <w:r>
        <w:rPr>
          <w:rFonts w:ascii="Times New Roman"/>
          <w:b w:val="false"/>
          <w:i w:val="false"/>
          <w:color w:val="000000"/>
          <w:sz w:val="28"/>
        </w:rPr>
        <w:t>
      "резервуар" (tank), "стационарный криогенный сосуд" (fixed cryogenic vessel) - стационарный термически изолированный контейнер для хранения сжиженного или криогенного газа;</w:t>
      </w:r>
    </w:p>
    <w:bookmarkEnd w:id="4893"/>
    <w:bookmarkStart w:name="z5017" w:id="4894"/>
    <w:p>
      <w:pPr>
        <w:spacing w:after="0"/>
        <w:ind w:left="0"/>
        <w:jc w:val="both"/>
      </w:pPr>
      <w:r>
        <w:rPr>
          <w:rFonts w:ascii="Times New Roman"/>
          <w:b w:val="false"/>
          <w:i w:val="false"/>
          <w:color w:val="000000"/>
          <w:sz w:val="28"/>
        </w:rPr>
        <w:t>
      "сброс давления" (vent) - операция по удалению остаточного газа из контейнера (системы) до величины остаточного давления 1,013 бар путем соединения контейнера (системы) с атмосферным воздухом;</w:t>
      </w:r>
    </w:p>
    <w:bookmarkEnd w:id="4894"/>
    <w:bookmarkStart w:name="z5018" w:id="4895"/>
    <w:p>
      <w:pPr>
        <w:spacing w:after="0"/>
        <w:ind w:left="0"/>
        <w:jc w:val="both"/>
      </w:pPr>
      <w:r>
        <w:rPr>
          <w:rFonts w:ascii="Times New Roman"/>
          <w:b w:val="false"/>
          <w:i w:val="false"/>
          <w:color w:val="000000"/>
          <w:sz w:val="28"/>
        </w:rPr>
        <w:t>
      "сжатый газ" (compressed gas) - газ, который расфасован под давлением с целью транспортирования и остается полностью в газообразном состоянии при температуре выше минус 50 °С;</w:t>
      </w:r>
    </w:p>
    <w:bookmarkEnd w:id="4895"/>
    <w:bookmarkStart w:name="z5019" w:id="4896"/>
    <w:p>
      <w:pPr>
        <w:spacing w:after="0"/>
        <w:ind w:left="0"/>
        <w:jc w:val="both"/>
      </w:pPr>
      <w:r>
        <w:rPr>
          <w:rFonts w:ascii="Times New Roman"/>
          <w:b w:val="false"/>
          <w:i w:val="false"/>
          <w:color w:val="000000"/>
          <w:sz w:val="28"/>
        </w:rPr>
        <w:t>
      "сжиженный газ" (liquefied gas) - газ, который расфасован с целью транспортирования и остается частично жидким или твердым при температуре выше минус 50 °С;</w:t>
      </w:r>
    </w:p>
    <w:bookmarkEnd w:id="4896"/>
    <w:bookmarkStart w:name="z5020" w:id="4897"/>
    <w:p>
      <w:pPr>
        <w:spacing w:after="0"/>
        <w:ind w:left="0"/>
        <w:jc w:val="both"/>
      </w:pPr>
      <w:r>
        <w:rPr>
          <w:rFonts w:ascii="Times New Roman"/>
          <w:b w:val="false"/>
          <w:i w:val="false"/>
          <w:color w:val="000000"/>
          <w:sz w:val="28"/>
        </w:rPr>
        <w:t>
      "цистерна" (tanker) - термически изолированный контейнер, установленный на транспортное средство для перевозки сжиженного или криогенного газа.</w:t>
      </w:r>
    </w:p>
    <w:bookmarkEnd w:id="4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022" w:id="4898"/>
    <w:p>
      <w:pPr>
        <w:spacing w:after="0"/>
        <w:ind w:left="0"/>
        <w:jc w:val="left"/>
      </w:pPr>
      <w:r>
        <w:rPr>
          <w:rFonts w:ascii="Times New Roman"/>
          <w:b/>
          <w:i w:val="false"/>
          <w:color w:val="000000"/>
        </w:rPr>
        <w:t xml:space="preserve"> Требования производству лекарственных растительных препаратов</w:t>
      </w:r>
    </w:p>
    <w:bookmarkEnd w:id="4898"/>
    <w:bookmarkStart w:name="z5023" w:id="4899"/>
    <w:p>
      <w:pPr>
        <w:spacing w:after="0"/>
        <w:ind w:left="0"/>
        <w:jc w:val="both"/>
      </w:pPr>
      <w:r>
        <w:rPr>
          <w:rFonts w:ascii="Times New Roman"/>
          <w:b w:val="false"/>
          <w:i w:val="false"/>
          <w:color w:val="000000"/>
          <w:sz w:val="28"/>
        </w:rPr>
        <w:t>
      Принцип</w:t>
      </w:r>
    </w:p>
    <w:bookmarkEnd w:id="4899"/>
    <w:bookmarkStart w:name="z5024" w:id="4900"/>
    <w:p>
      <w:pPr>
        <w:spacing w:after="0"/>
        <w:ind w:left="0"/>
        <w:jc w:val="both"/>
      </w:pPr>
      <w:r>
        <w:rPr>
          <w:rFonts w:ascii="Times New Roman"/>
          <w:b w:val="false"/>
          <w:i w:val="false"/>
          <w:color w:val="000000"/>
          <w:sz w:val="28"/>
        </w:rPr>
        <w:t>
      Лекарственные растительные препараты имеют сложную природу и разнообразные характеристики, в связи с чем при их производстве особую роль играет контроль исходных материалов, условий хранения и переработки.</w:t>
      </w:r>
    </w:p>
    <w:bookmarkEnd w:id="4900"/>
    <w:bookmarkStart w:name="z5025" w:id="4901"/>
    <w:p>
      <w:pPr>
        <w:spacing w:after="0"/>
        <w:ind w:left="0"/>
        <w:jc w:val="both"/>
      </w:pPr>
      <w:r>
        <w:rPr>
          <w:rFonts w:ascii="Times New Roman"/>
          <w:b w:val="false"/>
          <w:i w:val="false"/>
          <w:color w:val="000000"/>
          <w:sz w:val="28"/>
        </w:rPr>
        <w:t xml:space="preserve">
      Исходными материалами при производстве лекарственных растительных препаратов могут быть необработанные растения, растительное сырье или промежуточные продукты. Растительное сырье имеет требуемое качество, а подтверждающие это данные предоставлены производителю лекарственного растительного препарата. Для обеспечения постоянного качества растительного сырья может потребоваться более подробная информация о способе его получения (выращивания). Отбор семян, условия культивирования и сбора урожая являются важными аспектами качества растительного сырья и могут влиять на постоянство качества готового лекарственного препарата. Рекомендации в отношении соответствующей системы обеспечения качества по правилам надлежащего выращивания и сбора растений приведены в Руководстве по правилам надлежащего выращивания и сбора исходного сырья растительного происхождения (Guideline on Good Agricultural and Collection Practice for starting materials of herbal origin) Комитета по растительным лекарственным препаратам Европейского агентства по лекарственным средствам (The Committee on Herbal Medicinal Products - HMPC). </w:t>
      </w:r>
    </w:p>
    <w:bookmarkEnd w:id="4901"/>
    <w:bookmarkStart w:name="z5026" w:id="4902"/>
    <w:p>
      <w:pPr>
        <w:spacing w:after="0"/>
        <w:ind w:left="0"/>
        <w:jc w:val="both"/>
      </w:pPr>
      <w:r>
        <w:rPr>
          <w:rFonts w:ascii="Times New Roman"/>
          <w:b w:val="false"/>
          <w:i w:val="false"/>
          <w:color w:val="000000"/>
          <w:sz w:val="28"/>
        </w:rPr>
        <w:t>
      Настоящее приложение распространяется на все исходные материалы растительного происхождения: лекарственные растения, растительное сырье и промежуточные продукты из растительного сырья.</w:t>
      </w:r>
    </w:p>
    <w:bookmarkEnd w:id="4902"/>
    <w:bookmarkStart w:name="z5027" w:id="4903"/>
    <w:p>
      <w:pPr>
        <w:spacing w:after="0"/>
        <w:ind w:left="0"/>
        <w:jc w:val="both"/>
      </w:pPr>
      <w:r>
        <w:rPr>
          <w:rFonts w:ascii="Times New Roman"/>
          <w:b w:val="false"/>
          <w:i w:val="false"/>
          <w:color w:val="000000"/>
          <w:sz w:val="28"/>
        </w:rPr>
        <w:t>
      Иллюстрация применения различных правил, в том числе Стандарта надлежащей производственной практики к производству лекарственных растительных препаратов, приведена в таблице.</w:t>
      </w:r>
    </w:p>
    <w:bookmarkEnd w:id="4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сбора (GACP)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Культивирование и сбор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растений, водорослей, грибов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лишайников, сбор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экссудатов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и сушка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водорослей, грибов,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лишайников и экссудатов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 растений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экссудатов, экстракция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растений, фракционирование,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концентрирование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ферментация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обработка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лекарственной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включая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8" w:id="4904"/>
    <w:p>
      <w:pPr>
        <w:spacing w:after="0"/>
        <w:ind w:left="0"/>
        <w:jc w:val="both"/>
      </w:pPr>
      <w:r>
        <w:rPr>
          <w:rFonts w:ascii="Times New Roman"/>
          <w:b w:val="false"/>
          <w:i w:val="false"/>
          <w:color w:val="000000"/>
          <w:sz w:val="28"/>
        </w:rPr>
        <w:t>
      ___________</w:t>
      </w:r>
    </w:p>
    <w:bookmarkEnd w:id="4904"/>
    <w:bookmarkStart w:name="z5029" w:id="4905"/>
    <w:p>
      <w:pPr>
        <w:spacing w:after="0"/>
        <w:ind w:left="0"/>
        <w:jc w:val="both"/>
      </w:pPr>
      <w:r>
        <w:rPr>
          <w:rFonts w:ascii="Times New Roman"/>
          <w:b w:val="false"/>
          <w:i w:val="false"/>
          <w:color w:val="000000"/>
          <w:sz w:val="28"/>
        </w:rPr>
        <w:t>
      * Производители гарантируют, что данные стадии осуществляются в соответствии с установленными требованиями. Для начальных стадий применимы стандарты надлежащей практики выращивания и сбора для исходных материалов растительного происхождения (GACP). Стандарт надлежащей производственной практики применяются к производственным стадиям резки и сушки.</w:t>
      </w:r>
    </w:p>
    <w:bookmarkEnd w:id="4905"/>
    <w:bookmarkStart w:name="z5030" w:id="4906"/>
    <w:p>
      <w:pPr>
        <w:spacing w:after="0"/>
        <w:ind w:left="0"/>
        <w:jc w:val="both"/>
      </w:pPr>
      <w:r>
        <w:rPr>
          <w:rFonts w:ascii="Times New Roman"/>
          <w:b w:val="false"/>
          <w:i w:val="false"/>
          <w:color w:val="000000"/>
          <w:sz w:val="28"/>
        </w:rPr>
        <w:t>
      ** В отношении стадий отжима растений и перегонки (если необходимо, чтобы эти работы составляли неотъемлемую часть операций заготовки с целью сохранения качества продукции в рамках утвержденных спецификаций) считается приемлемым их проведение в условиях заготовки, если культивирование осуществляется в соответствии с GACP. Такие условия рассматриваются как исключение и обосновывают в документах регистрационного досье. Для таких работ, осуществляемых в условиях заготовки, необходимо обеспечить соответствующую документацию, контроль и валидацию согласно принципам Стандарта надлежащей производственной практики. Надзорные органы проводят инспектирование таких работ с целью оценки соответствия Стандарта надлежащей производственной практики.</w:t>
      </w:r>
    </w:p>
    <w:bookmarkEnd w:id="4906"/>
    <w:bookmarkStart w:name="z5031" w:id="4907"/>
    <w:p>
      <w:pPr>
        <w:spacing w:after="0"/>
        <w:ind w:left="0"/>
        <w:jc w:val="both"/>
      </w:pPr>
      <w:r>
        <w:rPr>
          <w:rFonts w:ascii="Times New Roman"/>
          <w:b w:val="false"/>
          <w:i w:val="false"/>
          <w:color w:val="000000"/>
          <w:sz w:val="28"/>
        </w:rPr>
        <w:t>
      Помещения и оборудование</w:t>
      </w:r>
    </w:p>
    <w:bookmarkEnd w:id="4907"/>
    <w:bookmarkStart w:name="z5032" w:id="4908"/>
    <w:p>
      <w:pPr>
        <w:spacing w:after="0"/>
        <w:ind w:left="0"/>
        <w:jc w:val="both"/>
      </w:pPr>
      <w:r>
        <w:rPr>
          <w:rFonts w:ascii="Times New Roman"/>
          <w:b w:val="false"/>
          <w:i w:val="false"/>
          <w:color w:val="000000"/>
          <w:sz w:val="28"/>
        </w:rPr>
        <w:t>
      Зоны хранения</w:t>
      </w:r>
    </w:p>
    <w:bookmarkEnd w:id="4908"/>
    <w:bookmarkStart w:name="z5033" w:id="4909"/>
    <w:p>
      <w:pPr>
        <w:spacing w:after="0"/>
        <w:ind w:left="0"/>
        <w:jc w:val="both"/>
      </w:pPr>
      <w:r>
        <w:rPr>
          <w:rFonts w:ascii="Times New Roman"/>
          <w:b w:val="false"/>
          <w:i w:val="false"/>
          <w:color w:val="000000"/>
          <w:sz w:val="28"/>
        </w:rPr>
        <w:t>
      1. Растительное сырье следует хранить в отдельных зонах. Эти зоны защищены от проникновения в них насекомых и животных, в особенности грызунов. Приняты эффективные меры по предотвращению распространения любых таких животных и микроорганизмов, привносимых с растительным сырьем, для предотвращения ферментации или роста плесени, а также перекрестной контаминации. Следует использовать выделенные зоны для карантина поступающего растительного сырья и растительного сырья, разрешенного для использования.</w:t>
      </w:r>
    </w:p>
    <w:bookmarkEnd w:id="4909"/>
    <w:bookmarkStart w:name="z5034" w:id="4910"/>
    <w:p>
      <w:pPr>
        <w:spacing w:after="0"/>
        <w:ind w:left="0"/>
        <w:jc w:val="both"/>
      </w:pPr>
      <w:r>
        <w:rPr>
          <w:rFonts w:ascii="Times New Roman"/>
          <w:b w:val="false"/>
          <w:i w:val="false"/>
          <w:color w:val="000000"/>
          <w:sz w:val="28"/>
        </w:rPr>
        <w:t>
      2. Зона хранения хорошо вентилироваться. Порядок размещения упаковок не препятствует свободной циркуляции воздуха.</w:t>
      </w:r>
    </w:p>
    <w:bookmarkEnd w:id="4910"/>
    <w:bookmarkStart w:name="z5035" w:id="4911"/>
    <w:p>
      <w:pPr>
        <w:spacing w:after="0"/>
        <w:ind w:left="0"/>
        <w:jc w:val="both"/>
      </w:pPr>
      <w:r>
        <w:rPr>
          <w:rFonts w:ascii="Times New Roman"/>
          <w:b w:val="false"/>
          <w:i w:val="false"/>
          <w:color w:val="000000"/>
          <w:sz w:val="28"/>
        </w:rPr>
        <w:t>
      3. Особое внимание следует уделять чистоте и надлежащему обслуживанию зон хранения, в особенности в местах образования пыли.</w:t>
      </w:r>
    </w:p>
    <w:bookmarkEnd w:id="4911"/>
    <w:bookmarkStart w:name="z5036" w:id="4912"/>
    <w:p>
      <w:pPr>
        <w:spacing w:after="0"/>
        <w:ind w:left="0"/>
        <w:jc w:val="both"/>
      </w:pPr>
      <w:r>
        <w:rPr>
          <w:rFonts w:ascii="Times New Roman"/>
          <w:b w:val="false"/>
          <w:i w:val="false"/>
          <w:color w:val="000000"/>
          <w:sz w:val="28"/>
        </w:rPr>
        <w:t>
      4. Для хранения исходных материалов и растительных препаратов могут потребоваться особые условия в отношении влажности, температуры и защиты от света. Такие условия следует обеспечивать и контролировать.</w:t>
      </w:r>
    </w:p>
    <w:bookmarkEnd w:id="4912"/>
    <w:bookmarkStart w:name="z5037" w:id="4913"/>
    <w:p>
      <w:pPr>
        <w:spacing w:after="0"/>
        <w:ind w:left="0"/>
        <w:jc w:val="both"/>
      </w:pPr>
      <w:r>
        <w:rPr>
          <w:rFonts w:ascii="Times New Roman"/>
          <w:b w:val="false"/>
          <w:i w:val="false"/>
          <w:color w:val="000000"/>
          <w:sz w:val="28"/>
        </w:rPr>
        <w:t>
      Производственная зона</w:t>
      </w:r>
    </w:p>
    <w:bookmarkEnd w:id="4913"/>
    <w:bookmarkStart w:name="z5038" w:id="4914"/>
    <w:p>
      <w:pPr>
        <w:spacing w:after="0"/>
        <w:ind w:left="0"/>
        <w:jc w:val="both"/>
      </w:pPr>
      <w:r>
        <w:rPr>
          <w:rFonts w:ascii="Times New Roman"/>
          <w:b w:val="false"/>
          <w:i w:val="false"/>
          <w:color w:val="000000"/>
          <w:sz w:val="28"/>
        </w:rPr>
        <w:t>
      5. При отборе проб, взвешивании, смешивании и других технологических операциях с растительным сырьем и промежуточным продуктом, сопровождающихся пылеобразованием, следует принимать особые меры по поддержанию чистоты, а также по предотвращению перекрестного загрязнения (удаление пыли, выделение специальных помещений и т. п.).</w:t>
      </w:r>
    </w:p>
    <w:bookmarkEnd w:id="4914"/>
    <w:bookmarkStart w:name="z5039" w:id="4915"/>
    <w:p>
      <w:pPr>
        <w:spacing w:after="0"/>
        <w:ind w:left="0"/>
        <w:jc w:val="both"/>
      </w:pPr>
      <w:r>
        <w:rPr>
          <w:rFonts w:ascii="Times New Roman"/>
          <w:b w:val="false"/>
          <w:i w:val="false"/>
          <w:color w:val="000000"/>
          <w:sz w:val="28"/>
        </w:rPr>
        <w:t>
      Оборудование</w:t>
      </w:r>
    </w:p>
    <w:bookmarkEnd w:id="4915"/>
    <w:bookmarkStart w:name="z5040" w:id="4916"/>
    <w:p>
      <w:pPr>
        <w:spacing w:after="0"/>
        <w:ind w:left="0"/>
        <w:jc w:val="both"/>
      </w:pPr>
      <w:r>
        <w:rPr>
          <w:rFonts w:ascii="Times New Roman"/>
          <w:b w:val="false"/>
          <w:i w:val="false"/>
          <w:color w:val="000000"/>
          <w:sz w:val="28"/>
        </w:rPr>
        <w:t>
      6. Оборудование, фильтрующие материалы и др., используемые в производственном процессе, совместимы с растворителем, используемым для экстракции, для предотвращения какого-либо выделения или нежелательной абсорбции растительного сырья, которые могут повлиять на продукцию.</w:t>
      </w:r>
    </w:p>
    <w:bookmarkEnd w:id="4916"/>
    <w:bookmarkStart w:name="z5041" w:id="4917"/>
    <w:p>
      <w:pPr>
        <w:spacing w:after="0"/>
        <w:ind w:left="0"/>
        <w:jc w:val="both"/>
      </w:pPr>
      <w:r>
        <w:rPr>
          <w:rFonts w:ascii="Times New Roman"/>
          <w:b w:val="false"/>
          <w:i w:val="false"/>
          <w:color w:val="000000"/>
          <w:sz w:val="28"/>
        </w:rPr>
        <w:t>
      Документация</w:t>
      </w:r>
    </w:p>
    <w:bookmarkEnd w:id="4917"/>
    <w:bookmarkStart w:name="z5042" w:id="4918"/>
    <w:p>
      <w:pPr>
        <w:spacing w:after="0"/>
        <w:ind w:left="0"/>
        <w:jc w:val="both"/>
      </w:pPr>
      <w:r>
        <w:rPr>
          <w:rFonts w:ascii="Times New Roman"/>
          <w:b w:val="false"/>
          <w:i w:val="false"/>
          <w:color w:val="000000"/>
          <w:sz w:val="28"/>
        </w:rPr>
        <w:t>
      Спецификации на исходное сырье</w:t>
      </w:r>
    </w:p>
    <w:bookmarkEnd w:id="4918"/>
    <w:bookmarkStart w:name="z5043" w:id="4919"/>
    <w:p>
      <w:pPr>
        <w:spacing w:after="0"/>
        <w:ind w:left="0"/>
        <w:jc w:val="both"/>
      </w:pPr>
      <w:r>
        <w:rPr>
          <w:rFonts w:ascii="Times New Roman"/>
          <w:b w:val="false"/>
          <w:i w:val="false"/>
          <w:color w:val="000000"/>
          <w:sz w:val="28"/>
        </w:rPr>
        <w:t>
      7. Производители лекарственных растительных препаратов убеждаются в том, что они используют только те исходные материалы растительного происхождения, которые произведены в соответствии со Стандартом надлежащей производственной практики и регистрационным досье (в соответствии с таблицей настоящего приложения). Имеют в наличии исчерпывающую документацию касательно аудитов поставщиков исходных материалов растительного происхождения, проведенных либо самим производителем лекарственного растительного препарата, либо по его поручению. Результаты аудитов в отношении растительного сырья являются основополагающими для качества исходных материалов. Производитель убежден в том, что поставщики растительного сырья (препарата) работают в соответствии с правилами надлежащего выращивания и сбора растений (GACP).</w:t>
      </w:r>
    </w:p>
    <w:bookmarkEnd w:id="4919"/>
    <w:bookmarkStart w:name="z5044" w:id="4920"/>
    <w:p>
      <w:pPr>
        <w:spacing w:after="0"/>
        <w:ind w:left="0"/>
        <w:jc w:val="both"/>
      </w:pPr>
      <w:r>
        <w:rPr>
          <w:rFonts w:ascii="Times New Roman"/>
          <w:b w:val="false"/>
          <w:i w:val="false"/>
          <w:color w:val="000000"/>
          <w:sz w:val="28"/>
        </w:rPr>
        <w:t>
      8. Чтобы соответствовать требованиям, установленным в главе 4 части I Стандарта надлежащей производственной практики, в спецификации на растительное сырье (препараты) следует включать следующие сведения:</w:t>
      </w:r>
    </w:p>
    <w:bookmarkEnd w:id="4920"/>
    <w:bookmarkStart w:name="z5045" w:id="4921"/>
    <w:p>
      <w:pPr>
        <w:spacing w:after="0"/>
        <w:ind w:left="0"/>
        <w:jc w:val="both"/>
      </w:pPr>
      <w:r>
        <w:rPr>
          <w:rFonts w:ascii="Times New Roman"/>
          <w:b w:val="false"/>
          <w:i w:val="false"/>
          <w:color w:val="000000"/>
          <w:sz w:val="28"/>
        </w:rPr>
        <w:t>
      научное название растения в соответствии с бинарной системой (род, вид, подвид (разновидность), а также автор (например, Линней) (при необходимости также следует представить другую соответствующую информацию, такую как название сорта и хемотипическую разновидность);</w:t>
      </w:r>
    </w:p>
    <w:bookmarkEnd w:id="4921"/>
    <w:bookmarkStart w:name="z5046" w:id="4922"/>
    <w:p>
      <w:pPr>
        <w:spacing w:after="0"/>
        <w:ind w:left="0"/>
        <w:jc w:val="both"/>
      </w:pPr>
      <w:r>
        <w:rPr>
          <w:rFonts w:ascii="Times New Roman"/>
          <w:b w:val="false"/>
          <w:i w:val="false"/>
          <w:color w:val="000000"/>
          <w:sz w:val="28"/>
        </w:rPr>
        <w:t>
      подробные данные о происхождении растения (страна или регион произрастания либо культивирования, время и способ заготовки, вероятно использованные пестициды, возможное радиоактивное загрязнение и т. д.);</w:t>
      </w:r>
    </w:p>
    <w:bookmarkEnd w:id="4922"/>
    <w:bookmarkStart w:name="z5047" w:id="4923"/>
    <w:p>
      <w:pPr>
        <w:spacing w:after="0"/>
        <w:ind w:left="0"/>
        <w:jc w:val="both"/>
      </w:pPr>
      <w:r>
        <w:rPr>
          <w:rFonts w:ascii="Times New Roman"/>
          <w:b w:val="false"/>
          <w:i w:val="false"/>
          <w:color w:val="000000"/>
          <w:sz w:val="28"/>
        </w:rPr>
        <w:t>
      информацию о том, какая часть растения используется; информацию о способе сушки, если используют высушенные растения;</w:t>
      </w:r>
    </w:p>
    <w:bookmarkEnd w:id="4923"/>
    <w:bookmarkStart w:name="z5048" w:id="4924"/>
    <w:p>
      <w:pPr>
        <w:spacing w:after="0"/>
        <w:ind w:left="0"/>
        <w:jc w:val="both"/>
      </w:pPr>
      <w:r>
        <w:rPr>
          <w:rFonts w:ascii="Times New Roman"/>
          <w:b w:val="false"/>
          <w:i w:val="false"/>
          <w:color w:val="000000"/>
          <w:sz w:val="28"/>
        </w:rPr>
        <w:t>
      описание растительного сырья, а также данные его макро- и микроскопического исследований;</w:t>
      </w:r>
    </w:p>
    <w:bookmarkEnd w:id="4924"/>
    <w:bookmarkStart w:name="z5049" w:id="4925"/>
    <w:p>
      <w:pPr>
        <w:spacing w:after="0"/>
        <w:ind w:left="0"/>
        <w:jc w:val="both"/>
      </w:pPr>
      <w:r>
        <w:rPr>
          <w:rFonts w:ascii="Times New Roman"/>
          <w:b w:val="false"/>
          <w:i w:val="false"/>
          <w:color w:val="000000"/>
          <w:sz w:val="28"/>
        </w:rPr>
        <w:t>
      данные о необходимых испытаниях на подлинность, включая при необходимости испытания на подлинность, для ингредиентов с известной терапевтической активностью или маркеров. Если растительное сырье можно фальсифицировать (подменить), то необходимы специфичные дифференцирующие испытания. Для определения подлинности в распоряжении аутентичный образец для сравнения;</w:t>
      </w:r>
    </w:p>
    <w:bookmarkEnd w:id="4925"/>
    <w:bookmarkStart w:name="z5050" w:id="4926"/>
    <w:p>
      <w:pPr>
        <w:spacing w:after="0"/>
        <w:ind w:left="0"/>
        <w:jc w:val="both"/>
      </w:pPr>
      <w:r>
        <w:rPr>
          <w:rFonts w:ascii="Times New Roman"/>
          <w:b w:val="false"/>
          <w:i w:val="false"/>
          <w:color w:val="000000"/>
          <w:sz w:val="28"/>
        </w:rPr>
        <w:t>
      содержание влаги в растительном сырье, определяемое в соответствии с фармакопейными требованиями;</w:t>
      </w:r>
    </w:p>
    <w:bookmarkEnd w:id="4926"/>
    <w:bookmarkStart w:name="z5051" w:id="4927"/>
    <w:p>
      <w:pPr>
        <w:spacing w:after="0"/>
        <w:ind w:left="0"/>
        <w:jc w:val="both"/>
      </w:pPr>
      <w:r>
        <w:rPr>
          <w:rFonts w:ascii="Times New Roman"/>
          <w:b w:val="false"/>
          <w:i w:val="false"/>
          <w:color w:val="000000"/>
          <w:sz w:val="28"/>
        </w:rPr>
        <w:t>
      методики количественного определения компонентов с известной терапевтической активностью или, при необходимости, маркеров; методы, пригодные для определения возможной контаминации пестицидами и пределы приемлемости в соответствии с фармакопейными требованиями, а при отсутствии фармакопейных требований - соответствующий валидированный метод, если не обосновано иное;</w:t>
      </w:r>
    </w:p>
    <w:bookmarkEnd w:id="4927"/>
    <w:bookmarkStart w:name="z5052" w:id="4928"/>
    <w:p>
      <w:pPr>
        <w:spacing w:after="0"/>
        <w:ind w:left="0"/>
        <w:jc w:val="both"/>
      </w:pPr>
      <w:r>
        <w:rPr>
          <w:rFonts w:ascii="Times New Roman"/>
          <w:b w:val="false"/>
          <w:i w:val="false"/>
          <w:color w:val="000000"/>
          <w:sz w:val="28"/>
        </w:rPr>
        <w:t>
      методики испытаний по определению грибковой и (или) микробной контаминации, включая афлатоксины, другие микотоксины инвазию паразитами, а также допустимые пределы, при необходимости;</w:t>
      </w:r>
    </w:p>
    <w:bookmarkEnd w:id="4928"/>
    <w:bookmarkStart w:name="z5053" w:id="4929"/>
    <w:p>
      <w:pPr>
        <w:spacing w:after="0"/>
        <w:ind w:left="0"/>
        <w:jc w:val="both"/>
      </w:pPr>
      <w:r>
        <w:rPr>
          <w:rFonts w:ascii="Times New Roman"/>
          <w:b w:val="false"/>
          <w:i w:val="false"/>
          <w:color w:val="000000"/>
          <w:sz w:val="28"/>
        </w:rPr>
        <w:t>
      методики испытаний на наличие токсичных металлов, а также на возможные контаминанты и примеси, при необходимости;</w:t>
      </w:r>
    </w:p>
    <w:bookmarkEnd w:id="4929"/>
    <w:bookmarkStart w:name="z5054" w:id="4930"/>
    <w:p>
      <w:pPr>
        <w:spacing w:after="0"/>
        <w:ind w:left="0"/>
        <w:jc w:val="both"/>
      </w:pPr>
      <w:r>
        <w:rPr>
          <w:rFonts w:ascii="Times New Roman"/>
          <w:b w:val="false"/>
          <w:i w:val="false"/>
          <w:color w:val="000000"/>
          <w:sz w:val="28"/>
        </w:rPr>
        <w:t>
      методики испытаний на наличие инородных материалов, при необходимости;</w:t>
      </w:r>
    </w:p>
    <w:bookmarkEnd w:id="4930"/>
    <w:bookmarkStart w:name="z5055" w:id="4931"/>
    <w:p>
      <w:pPr>
        <w:spacing w:after="0"/>
        <w:ind w:left="0"/>
        <w:jc w:val="both"/>
      </w:pPr>
      <w:r>
        <w:rPr>
          <w:rFonts w:ascii="Times New Roman"/>
          <w:b w:val="false"/>
          <w:i w:val="false"/>
          <w:color w:val="000000"/>
          <w:sz w:val="28"/>
        </w:rPr>
        <w:t>
      другие виды контроля в соответствии с фармакопейными требованиями.</w:t>
      </w:r>
    </w:p>
    <w:bookmarkEnd w:id="4931"/>
    <w:bookmarkStart w:name="z5056" w:id="4932"/>
    <w:p>
      <w:pPr>
        <w:spacing w:after="0"/>
        <w:ind w:left="0"/>
        <w:jc w:val="both"/>
      </w:pPr>
      <w:r>
        <w:rPr>
          <w:rFonts w:ascii="Times New Roman"/>
          <w:b w:val="false"/>
          <w:i w:val="false"/>
          <w:color w:val="000000"/>
          <w:sz w:val="28"/>
        </w:rPr>
        <w:t>
      Любую проведенную обработку для снижения грибковой (микробной) контаминации или другой инвазии следует оформлять документально. Необходимо иметь в распоряжении спецификации и методики, которые включают подробные сведения о процессе обработки и испытаниях, а также предельные значения остаточной контаминации.</w:t>
      </w:r>
    </w:p>
    <w:bookmarkEnd w:id="4932"/>
    <w:bookmarkStart w:name="z5057" w:id="4933"/>
    <w:p>
      <w:pPr>
        <w:spacing w:after="0"/>
        <w:ind w:left="0"/>
        <w:jc w:val="both"/>
      </w:pPr>
      <w:r>
        <w:rPr>
          <w:rFonts w:ascii="Times New Roman"/>
          <w:b w:val="false"/>
          <w:i w:val="false"/>
          <w:color w:val="000000"/>
          <w:sz w:val="28"/>
        </w:rPr>
        <w:t>
      Технологические инструкции</w:t>
      </w:r>
    </w:p>
    <w:bookmarkEnd w:id="4933"/>
    <w:bookmarkStart w:name="z5058" w:id="4934"/>
    <w:p>
      <w:pPr>
        <w:spacing w:after="0"/>
        <w:ind w:left="0"/>
        <w:jc w:val="both"/>
      </w:pPr>
      <w:r>
        <w:rPr>
          <w:rFonts w:ascii="Times New Roman"/>
          <w:b w:val="false"/>
          <w:i w:val="false"/>
          <w:color w:val="000000"/>
          <w:sz w:val="28"/>
        </w:rPr>
        <w:t>
      9. В технологических инструкциях описаны различные операции, осуществляемые с растительным сырьем (например, очистка, сушка, измельчение и просеивание), а также данные о продолжительности и температуре сушки и методах, используемых для контроля размеров фрагментов кусочков или частиц.</w:t>
      </w:r>
    </w:p>
    <w:bookmarkEnd w:id="4934"/>
    <w:bookmarkStart w:name="z5059" w:id="4935"/>
    <w:p>
      <w:pPr>
        <w:spacing w:after="0"/>
        <w:ind w:left="0"/>
        <w:jc w:val="both"/>
      </w:pPr>
      <w:r>
        <w:rPr>
          <w:rFonts w:ascii="Times New Roman"/>
          <w:b w:val="false"/>
          <w:i w:val="false"/>
          <w:color w:val="000000"/>
          <w:sz w:val="28"/>
        </w:rPr>
        <w:t>
      10. Приняты в форме письменного документа инструкции и записи, которые гарантируют, что каждая тара с растительным сырьем проверена с целью обнаружения какой-либо фальсификации (подмены) или наличия посторонних материалов, таких как фрагменты металла или стекла, остатки животных или их экскременты, камни, песок и др., или признаков гниения.</w:t>
      </w:r>
    </w:p>
    <w:bookmarkEnd w:id="4935"/>
    <w:bookmarkStart w:name="z5060" w:id="4936"/>
    <w:p>
      <w:pPr>
        <w:spacing w:after="0"/>
        <w:ind w:left="0"/>
        <w:jc w:val="both"/>
      </w:pPr>
      <w:r>
        <w:rPr>
          <w:rFonts w:ascii="Times New Roman"/>
          <w:b w:val="false"/>
          <w:i w:val="false"/>
          <w:color w:val="000000"/>
          <w:sz w:val="28"/>
        </w:rPr>
        <w:t>
      11. Технологические инструкции содержат методы удаления посторонних материалов и соответствующие методики очистки (отбора) материала растительного происхождения перед его хранением в качестве разрешенного растительного сырья или перед началом производства.</w:t>
      </w:r>
    </w:p>
    <w:bookmarkEnd w:id="4936"/>
    <w:bookmarkStart w:name="z5061" w:id="4937"/>
    <w:p>
      <w:pPr>
        <w:spacing w:after="0"/>
        <w:ind w:left="0"/>
        <w:jc w:val="both"/>
      </w:pPr>
      <w:r>
        <w:rPr>
          <w:rFonts w:ascii="Times New Roman"/>
          <w:b w:val="false"/>
          <w:i w:val="false"/>
          <w:color w:val="000000"/>
          <w:sz w:val="28"/>
        </w:rPr>
        <w:t>
      12. Инструкции по производству растительных препаратов включают подробные сведения о растворителе, продолжительности и температуре экстрагирования, информацию о любых стадиях концентрирования и используемых способах.</w:t>
      </w:r>
    </w:p>
    <w:bookmarkEnd w:id="4937"/>
    <w:bookmarkStart w:name="z5062" w:id="4938"/>
    <w:p>
      <w:pPr>
        <w:spacing w:after="0"/>
        <w:ind w:left="0"/>
        <w:jc w:val="both"/>
      </w:pPr>
      <w:r>
        <w:rPr>
          <w:rFonts w:ascii="Times New Roman"/>
          <w:b w:val="false"/>
          <w:i w:val="false"/>
          <w:color w:val="000000"/>
          <w:sz w:val="28"/>
        </w:rPr>
        <w:t>
      Контроль качества</w:t>
      </w:r>
    </w:p>
    <w:bookmarkEnd w:id="4938"/>
    <w:bookmarkStart w:name="z5063" w:id="4939"/>
    <w:p>
      <w:pPr>
        <w:spacing w:after="0"/>
        <w:ind w:left="0"/>
        <w:jc w:val="both"/>
      </w:pPr>
      <w:r>
        <w:rPr>
          <w:rFonts w:ascii="Times New Roman"/>
          <w:b w:val="false"/>
          <w:i w:val="false"/>
          <w:color w:val="000000"/>
          <w:sz w:val="28"/>
        </w:rPr>
        <w:t>
      Отбор проб</w:t>
      </w:r>
    </w:p>
    <w:bookmarkEnd w:id="4939"/>
    <w:bookmarkStart w:name="z5064" w:id="4940"/>
    <w:p>
      <w:pPr>
        <w:spacing w:after="0"/>
        <w:ind w:left="0"/>
        <w:jc w:val="both"/>
      </w:pPr>
      <w:r>
        <w:rPr>
          <w:rFonts w:ascii="Times New Roman"/>
          <w:b w:val="false"/>
          <w:i w:val="false"/>
          <w:color w:val="000000"/>
          <w:sz w:val="28"/>
        </w:rPr>
        <w:t>
      13. Поскольку растительное сырье по своей природе неоднородно, отбор проб из него осуществляет персонал, обладающий специальными навыками. Каждую серию следует идентифицировать по документации на эту серию.</w:t>
      </w:r>
    </w:p>
    <w:bookmarkEnd w:id="4940"/>
    <w:bookmarkStart w:name="z5065" w:id="4941"/>
    <w:p>
      <w:pPr>
        <w:spacing w:after="0"/>
        <w:ind w:left="0"/>
        <w:jc w:val="both"/>
      </w:pPr>
      <w:r>
        <w:rPr>
          <w:rFonts w:ascii="Times New Roman"/>
          <w:b w:val="false"/>
          <w:i w:val="false"/>
          <w:color w:val="000000"/>
          <w:sz w:val="28"/>
        </w:rPr>
        <w:t>
      14. Сохраняют контрольные образцы растительного сырья. При производстве порошков сохраняют образцы неизмельченного растительного сырья.</w:t>
      </w:r>
    </w:p>
    <w:bookmarkEnd w:id="4941"/>
    <w:bookmarkStart w:name="z5066" w:id="4942"/>
    <w:p>
      <w:pPr>
        <w:spacing w:after="0"/>
        <w:ind w:left="0"/>
        <w:jc w:val="both"/>
      </w:pPr>
      <w:r>
        <w:rPr>
          <w:rFonts w:ascii="Times New Roman"/>
          <w:b w:val="false"/>
          <w:i w:val="false"/>
          <w:color w:val="000000"/>
          <w:sz w:val="28"/>
        </w:rPr>
        <w:t>
      15. Персонал, проводящий контроль качества, имеет специальную подготовку и опыт работы с растительным сырьем, промежуточными продуктами или лекарственными растительными препаратами для проведения испытаний на подлинность и наличие примесей, выявления в полученном сырье роста грибов, заражения амбарными вредителями, выявления неоднородности сырья и др.</w:t>
      </w:r>
    </w:p>
    <w:bookmarkEnd w:id="4942"/>
    <w:bookmarkStart w:name="z5067" w:id="4943"/>
    <w:p>
      <w:pPr>
        <w:spacing w:after="0"/>
        <w:ind w:left="0"/>
        <w:jc w:val="both"/>
      </w:pPr>
      <w:r>
        <w:rPr>
          <w:rFonts w:ascii="Times New Roman"/>
          <w:b w:val="false"/>
          <w:i w:val="false"/>
          <w:color w:val="000000"/>
          <w:sz w:val="28"/>
        </w:rPr>
        <w:t>
      16. Подлинность и качество растительного сырья, промежуточных продуктов и лекарственных растительных препаратов следует определять в соответствии с нормативной документацией.</w:t>
      </w:r>
    </w:p>
    <w:bookmarkEnd w:id="4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069" w:id="4944"/>
    <w:p>
      <w:pPr>
        <w:spacing w:after="0"/>
        <w:ind w:left="0"/>
        <w:jc w:val="left"/>
      </w:pPr>
      <w:r>
        <w:rPr>
          <w:rFonts w:ascii="Times New Roman"/>
          <w:b/>
          <w:i w:val="false"/>
          <w:color w:val="000000"/>
        </w:rPr>
        <w:t xml:space="preserve"> Требования отбору проб исходных и упаковочных материалов</w:t>
      </w:r>
    </w:p>
    <w:bookmarkEnd w:id="4944"/>
    <w:bookmarkStart w:name="z5070" w:id="4945"/>
    <w:p>
      <w:pPr>
        <w:spacing w:after="0"/>
        <w:ind w:left="0"/>
        <w:jc w:val="both"/>
      </w:pPr>
      <w:r>
        <w:rPr>
          <w:rFonts w:ascii="Times New Roman"/>
          <w:b w:val="false"/>
          <w:i w:val="false"/>
          <w:color w:val="000000"/>
          <w:sz w:val="28"/>
        </w:rPr>
        <w:t>
      Принцип</w:t>
      </w:r>
    </w:p>
    <w:bookmarkEnd w:id="4945"/>
    <w:bookmarkStart w:name="z5071" w:id="4946"/>
    <w:p>
      <w:pPr>
        <w:spacing w:after="0"/>
        <w:ind w:left="0"/>
        <w:jc w:val="both"/>
      </w:pPr>
      <w:r>
        <w:rPr>
          <w:rFonts w:ascii="Times New Roman"/>
          <w:b w:val="false"/>
          <w:i w:val="false"/>
          <w:color w:val="000000"/>
          <w:sz w:val="28"/>
        </w:rPr>
        <w:t>
      Отбор проб является важной операцией, при которой отбирается только небольшая часть серии. Достоверные заключения по отношению ко всей серии не могут основываться на испытаниях, проведенных на непредставительных пробах. Таким образом, правильный отбор проб является неотъемлемой частью системы обеспечения качества.</w:t>
      </w:r>
    </w:p>
    <w:bookmarkEnd w:id="4946"/>
    <w:bookmarkStart w:name="z5072" w:id="4947"/>
    <w:p>
      <w:pPr>
        <w:spacing w:after="0"/>
        <w:ind w:left="0"/>
        <w:jc w:val="both"/>
      </w:pPr>
      <w:r>
        <w:rPr>
          <w:rFonts w:ascii="Times New Roman"/>
          <w:b w:val="false"/>
          <w:i w:val="false"/>
          <w:color w:val="000000"/>
          <w:sz w:val="28"/>
        </w:rPr>
        <w:t>
      Отбор проб рассматривается в пунктах главы 6 части I Стандарта надлежащей производственной практики. Настоящее приложение содержит дополнительные указания по отбору проб исходных и упаковочных материалов.</w:t>
      </w:r>
    </w:p>
    <w:bookmarkEnd w:id="4947"/>
    <w:bookmarkStart w:name="z5073" w:id="4948"/>
    <w:p>
      <w:pPr>
        <w:spacing w:after="0"/>
        <w:ind w:left="0"/>
        <w:jc w:val="both"/>
      </w:pPr>
      <w:r>
        <w:rPr>
          <w:rFonts w:ascii="Times New Roman"/>
          <w:b w:val="false"/>
          <w:i w:val="false"/>
          <w:color w:val="000000"/>
          <w:sz w:val="28"/>
        </w:rPr>
        <w:t>
      Персонал</w:t>
      </w:r>
    </w:p>
    <w:bookmarkEnd w:id="4948"/>
    <w:bookmarkStart w:name="z5074" w:id="4949"/>
    <w:p>
      <w:pPr>
        <w:spacing w:after="0"/>
        <w:ind w:left="0"/>
        <w:jc w:val="both"/>
      </w:pPr>
      <w:r>
        <w:rPr>
          <w:rFonts w:ascii="Times New Roman"/>
          <w:b w:val="false"/>
          <w:i w:val="false"/>
          <w:color w:val="000000"/>
          <w:sz w:val="28"/>
        </w:rPr>
        <w:t>
      1. Персонал, проводящий отбор проб, проходят начальное обучение и в последующем регулярно проходить обучение по дисциплинам, имеющим отношение к правильному отбору проб. Такое обучение включает рассмотрение следующих вопросов:</w:t>
      </w:r>
    </w:p>
    <w:bookmarkEnd w:id="4949"/>
    <w:bookmarkStart w:name="z5075" w:id="4950"/>
    <w:p>
      <w:pPr>
        <w:spacing w:after="0"/>
        <w:ind w:left="0"/>
        <w:jc w:val="both"/>
      </w:pPr>
      <w:r>
        <w:rPr>
          <w:rFonts w:ascii="Times New Roman"/>
          <w:b w:val="false"/>
          <w:i w:val="false"/>
          <w:color w:val="000000"/>
          <w:sz w:val="28"/>
        </w:rPr>
        <w:t>
      порядок отбора проб;</w:t>
      </w:r>
    </w:p>
    <w:bookmarkEnd w:id="4950"/>
    <w:bookmarkStart w:name="z5076" w:id="4951"/>
    <w:p>
      <w:pPr>
        <w:spacing w:after="0"/>
        <w:ind w:left="0"/>
        <w:jc w:val="both"/>
      </w:pPr>
      <w:r>
        <w:rPr>
          <w:rFonts w:ascii="Times New Roman"/>
          <w:b w:val="false"/>
          <w:i w:val="false"/>
          <w:color w:val="000000"/>
          <w:sz w:val="28"/>
        </w:rPr>
        <w:t>
      письменные инструкции по отбору проб;</w:t>
      </w:r>
    </w:p>
    <w:bookmarkEnd w:id="4951"/>
    <w:bookmarkStart w:name="z5077" w:id="4952"/>
    <w:p>
      <w:pPr>
        <w:spacing w:after="0"/>
        <w:ind w:left="0"/>
        <w:jc w:val="both"/>
      </w:pPr>
      <w:r>
        <w:rPr>
          <w:rFonts w:ascii="Times New Roman"/>
          <w:b w:val="false"/>
          <w:i w:val="false"/>
          <w:color w:val="000000"/>
          <w:sz w:val="28"/>
        </w:rPr>
        <w:t>
      методы и оборудование, используемые при отборе проб; риск перекрестной контаминации;</w:t>
      </w:r>
    </w:p>
    <w:bookmarkEnd w:id="4952"/>
    <w:bookmarkStart w:name="z5078" w:id="4953"/>
    <w:p>
      <w:pPr>
        <w:spacing w:after="0"/>
        <w:ind w:left="0"/>
        <w:jc w:val="both"/>
      </w:pPr>
      <w:r>
        <w:rPr>
          <w:rFonts w:ascii="Times New Roman"/>
          <w:b w:val="false"/>
          <w:i w:val="false"/>
          <w:color w:val="000000"/>
          <w:sz w:val="28"/>
        </w:rPr>
        <w:t>
      меры предосторожности, которые необходимо принимать в отношении нестабильных и (или) стерильных веществ;</w:t>
      </w:r>
    </w:p>
    <w:bookmarkEnd w:id="4953"/>
    <w:bookmarkStart w:name="z5079" w:id="4954"/>
    <w:p>
      <w:pPr>
        <w:spacing w:after="0"/>
        <w:ind w:left="0"/>
        <w:jc w:val="both"/>
      </w:pPr>
      <w:r>
        <w:rPr>
          <w:rFonts w:ascii="Times New Roman"/>
          <w:b w:val="false"/>
          <w:i w:val="false"/>
          <w:color w:val="000000"/>
          <w:sz w:val="28"/>
        </w:rPr>
        <w:t>
      важность принятия во внимание результатов визуальной оценки внешнего вида материалов, упаковок и этикеток;</w:t>
      </w:r>
    </w:p>
    <w:bookmarkEnd w:id="4954"/>
    <w:bookmarkStart w:name="z5080" w:id="4955"/>
    <w:p>
      <w:pPr>
        <w:spacing w:after="0"/>
        <w:ind w:left="0"/>
        <w:jc w:val="both"/>
      </w:pPr>
      <w:r>
        <w:rPr>
          <w:rFonts w:ascii="Times New Roman"/>
          <w:b w:val="false"/>
          <w:i w:val="false"/>
          <w:color w:val="000000"/>
          <w:sz w:val="28"/>
        </w:rPr>
        <w:t>
      важность документального оформления любых непредвиденных или необычных обстоятельств.</w:t>
      </w:r>
    </w:p>
    <w:bookmarkEnd w:id="4955"/>
    <w:bookmarkStart w:name="z5081" w:id="4956"/>
    <w:p>
      <w:pPr>
        <w:spacing w:after="0"/>
        <w:ind w:left="0"/>
        <w:jc w:val="both"/>
      </w:pPr>
      <w:r>
        <w:rPr>
          <w:rFonts w:ascii="Times New Roman"/>
          <w:b w:val="false"/>
          <w:i w:val="false"/>
          <w:color w:val="000000"/>
          <w:sz w:val="28"/>
        </w:rPr>
        <w:t>
      Исходные материалы</w:t>
      </w:r>
    </w:p>
    <w:bookmarkEnd w:id="4956"/>
    <w:bookmarkStart w:name="z5082" w:id="4957"/>
    <w:p>
      <w:pPr>
        <w:spacing w:after="0"/>
        <w:ind w:left="0"/>
        <w:jc w:val="both"/>
      </w:pPr>
      <w:r>
        <w:rPr>
          <w:rFonts w:ascii="Times New Roman"/>
          <w:b w:val="false"/>
          <w:i w:val="false"/>
          <w:color w:val="000000"/>
          <w:sz w:val="28"/>
        </w:rPr>
        <w:t>
      2. Подлинность всей серии исходных материалов, как правило, может быть гарантирована только тогда, когда отдельные пробы были отобраны из всех емкостей и испытание на идентичность было проведено для каждой пробы. Допускается отбирать пробы только из части емкостей, если разработана прошедшая валидацию процедура, гарантирующая, что ни одна емкость с исходными материалами не была неправильно маркирована.</w:t>
      </w:r>
    </w:p>
    <w:bookmarkEnd w:id="4957"/>
    <w:bookmarkStart w:name="z5083" w:id="4958"/>
    <w:p>
      <w:pPr>
        <w:spacing w:after="0"/>
        <w:ind w:left="0"/>
        <w:jc w:val="both"/>
      </w:pPr>
      <w:r>
        <w:rPr>
          <w:rFonts w:ascii="Times New Roman"/>
          <w:b w:val="false"/>
          <w:i w:val="false"/>
          <w:color w:val="000000"/>
          <w:sz w:val="28"/>
        </w:rPr>
        <w:t>
      3. При такой валидации следует учитывать, по крайней мере, следующие аспекты:</w:t>
      </w:r>
    </w:p>
    <w:bookmarkEnd w:id="4958"/>
    <w:bookmarkStart w:name="z5084" w:id="4959"/>
    <w:p>
      <w:pPr>
        <w:spacing w:after="0"/>
        <w:ind w:left="0"/>
        <w:jc w:val="both"/>
      </w:pPr>
      <w:r>
        <w:rPr>
          <w:rFonts w:ascii="Times New Roman"/>
          <w:b w:val="false"/>
          <w:i w:val="false"/>
          <w:color w:val="000000"/>
          <w:sz w:val="28"/>
        </w:rPr>
        <w:t>
      данные о производителе и поставщике (их тип и текущее состояние), а также их понимание требований Стандарта надлежащей производственной практики;</w:t>
      </w:r>
    </w:p>
    <w:bookmarkEnd w:id="4959"/>
    <w:bookmarkStart w:name="z5085" w:id="4960"/>
    <w:p>
      <w:pPr>
        <w:spacing w:after="0"/>
        <w:ind w:left="0"/>
        <w:jc w:val="both"/>
      </w:pPr>
      <w:r>
        <w:rPr>
          <w:rFonts w:ascii="Times New Roman"/>
          <w:b w:val="false"/>
          <w:i w:val="false"/>
          <w:color w:val="000000"/>
          <w:sz w:val="28"/>
        </w:rPr>
        <w:t>
      наличие системы обеспечения качества у производителя исходных материалов;</w:t>
      </w:r>
    </w:p>
    <w:bookmarkEnd w:id="4960"/>
    <w:bookmarkStart w:name="z5086" w:id="4961"/>
    <w:p>
      <w:pPr>
        <w:spacing w:after="0"/>
        <w:ind w:left="0"/>
        <w:jc w:val="both"/>
      </w:pPr>
      <w:r>
        <w:rPr>
          <w:rFonts w:ascii="Times New Roman"/>
          <w:b w:val="false"/>
          <w:i w:val="false"/>
          <w:color w:val="000000"/>
          <w:sz w:val="28"/>
        </w:rPr>
        <w:t>
      условия производства, при которых исходные материалы производят и контролируют;</w:t>
      </w:r>
    </w:p>
    <w:bookmarkEnd w:id="4961"/>
    <w:bookmarkStart w:name="z5087" w:id="4962"/>
    <w:p>
      <w:pPr>
        <w:spacing w:after="0"/>
        <w:ind w:left="0"/>
        <w:jc w:val="both"/>
      </w:pPr>
      <w:r>
        <w:rPr>
          <w:rFonts w:ascii="Times New Roman"/>
          <w:b w:val="false"/>
          <w:i w:val="false"/>
          <w:color w:val="000000"/>
          <w:sz w:val="28"/>
        </w:rPr>
        <w:t>
      характер и свойства исходных материалов и лекарственных препаратов, для производства которых они будет использоваться.</w:t>
      </w:r>
    </w:p>
    <w:bookmarkEnd w:id="4962"/>
    <w:bookmarkStart w:name="z5088" w:id="4963"/>
    <w:p>
      <w:pPr>
        <w:spacing w:after="0"/>
        <w:ind w:left="0"/>
        <w:jc w:val="both"/>
      </w:pPr>
      <w:r>
        <w:rPr>
          <w:rFonts w:ascii="Times New Roman"/>
          <w:b w:val="false"/>
          <w:i w:val="false"/>
          <w:color w:val="000000"/>
          <w:sz w:val="28"/>
        </w:rPr>
        <w:t>
      При такой системе процедура, прошедшая валидацию и освобождающая от проведения испытаний подлинности исходных материалов в каждой поступающей емкости, может быть приемлема для:</w:t>
      </w:r>
    </w:p>
    <w:bookmarkEnd w:id="4963"/>
    <w:bookmarkStart w:name="z5089" w:id="4964"/>
    <w:p>
      <w:pPr>
        <w:spacing w:after="0"/>
        <w:ind w:left="0"/>
        <w:jc w:val="both"/>
      </w:pPr>
      <w:r>
        <w:rPr>
          <w:rFonts w:ascii="Times New Roman"/>
          <w:b w:val="false"/>
          <w:i w:val="false"/>
          <w:color w:val="000000"/>
          <w:sz w:val="28"/>
        </w:rPr>
        <w:t>
      исходных материалов, поступающих от одного производителя или с одного предприятия;</w:t>
      </w:r>
    </w:p>
    <w:bookmarkEnd w:id="4964"/>
    <w:bookmarkStart w:name="z5090" w:id="4965"/>
    <w:p>
      <w:pPr>
        <w:spacing w:after="0"/>
        <w:ind w:left="0"/>
        <w:jc w:val="both"/>
      </w:pPr>
      <w:r>
        <w:rPr>
          <w:rFonts w:ascii="Times New Roman"/>
          <w:b w:val="false"/>
          <w:i w:val="false"/>
          <w:color w:val="000000"/>
          <w:sz w:val="28"/>
        </w:rPr>
        <w:t>
      исходных материалов, поступающих непосредственно от производителя или в емкости, опечатанной производителем, при условии, что поставщик имеет безупречную репутацию, и проводятся регулярные аудиты системы обеспечения качества производителя покупателем (производителем лекарственного препарата) или официально аккредитованным органом.</w:t>
      </w:r>
    </w:p>
    <w:bookmarkEnd w:id="4965"/>
    <w:bookmarkStart w:name="z5091" w:id="4966"/>
    <w:p>
      <w:pPr>
        <w:spacing w:after="0"/>
        <w:ind w:left="0"/>
        <w:jc w:val="both"/>
      </w:pPr>
      <w:r>
        <w:rPr>
          <w:rFonts w:ascii="Times New Roman"/>
          <w:b w:val="false"/>
          <w:i w:val="false"/>
          <w:color w:val="000000"/>
          <w:sz w:val="28"/>
        </w:rPr>
        <w:t>
      Такая процедура не может удовлетворительно пройти валидацию и использоваться для:</w:t>
      </w:r>
    </w:p>
    <w:bookmarkEnd w:id="4966"/>
    <w:bookmarkStart w:name="z5092" w:id="4967"/>
    <w:p>
      <w:pPr>
        <w:spacing w:after="0"/>
        <w:ind w:left="0"/>
        <w:jc w:val="both"/>
      </w:pPr>
      <w:r>
        <w:rPr>
          <w:rFonts w:ascii="Times New Roman"/>
          <w:b w:val="false"/>
          <w:i w:val="false"/>
          <w:color w:val="000000"/>
          <w:sz w:val="28"/>
        </w:rPr>
        <w:t>
      исходных материалов, поставляемых посредниками, когда производитель неизвестен или не подвергается аудиту;</w:t>
      </w:r>
    </w:p>
    <w:bookmarkEnd w:id="4967"/>
    <w:bookmarkStart w:name="z5093" w:id="4968"/>
    <w:p>
      <w:pPr>
        <w:spacing w:after="0"/>
        <w:ind w:left="0"/>
        <w:jc w:val="both"/>
      </w:pPr>
      <w:r>
        <w:rPr>
          <w:rFonts w:ascii="Times New Roman"/>
          <w:b w:val="false"/>
          <w:i w:val="false"/>
          <w:color w:val="000000"/>
          <w:sz w:val="28"/>
        </w:rPr>
        <w:t>
      исходных материалов, используемых для производства парентеральных лекарственных препаратов.</w:t>
      </w:r>
    </w:p>
    <w:bookmarkEnd w:id="4968"/>
    <w:bookmarkStart w:name="z5094" w:id="4969"/>
    <w:p>
      <w:pPr>
        <w:spacing w:after="0"/>
        <w:ind w:left="0"/>
        <w:jc w:val="both"/>
      </w:pPr>
      <w:r>
        <w:rPr>
          <w:rFonts w:ascii="Times New Roman"/>
          <w:b w:val="false"/>
          <w:i w:val="false"/>
          <w:color w:val="000000"/>
          <w:sz w:val="28"/>
        </w:rPr>
        <w:t>
      4. Качество серии исходных материалов может быть оценено при отборе и проведении испытания представительной пробы. Для этой цели могут быть использованы пробы, отобранные для испытаний подлинности. Количество проб, отобранных для получения представительной пробы, определено статистически и указано в плане отбора проб. Количество отдельных проб, которые смешаны для формирования средней пробы, также определено с учетом вида сырья, сведений о поставщике и однородности средней пробы.</w:t>
      </w:r>
    </w:p>
    <w:bookmarkEnd w:id="4969"/>
    <w:bookmarkStart w:name="z5095" w:id="4970"/>
    <w:p>
      <w:pPr>
        <w:spacing w:after="0"/>
        <w:ind w:left="0"/>
        <w:jc w:val="both"/>
      </w:pPr>
      <w:r>
        <w:rPr>
          <w:rFonts w:ascii="Times New Roman"/>
          <w:b w:val="false"/>
          <w:i w:val="false"/>
          <w:color w:val="000000"/>
          <w:sz w:val="28"/>
        </w:rPr>
        <w:t>
      Упаковочные материалы</w:t>
      </w:r>
    </w:p>
    <w:bookmarkEnd w:id="4970"/>
    <w:bookmarkStart w:name="z5096" w:id="4971"/>
    <w:p>
      <w:pPr>
        <w:spacing w:after="0"/>
        <w:ind w:left="0"/>
        <w:jc w:val="both"/>
      </w:pPr>
      <w:r>
        <w:rPr>
          <w:rFonts w:ascii="Times New Roman"/>
          <w:b w:val="false"/>
          <w:i w:val="false"/>
          <w:color w:val="000000"/>
          <w:sz w:val="28"/>
        </w:rPr>
        <w:t>
      5. В плане по отбору проб упаковочных материалов учитывается, по крайней мере, следующее:</w:t>
      </w:r>
    </w:p>
    <w:bookmarkEnd w:id="4971"/>
    <w:bookmarkStart w:name="z5097" w:id="4972"/>
    <w:p>
      <w:pPr>
        <w:spacing w:after="0"/>
        <w:ind w:left="0"/>
        <w:jc w:val="both"/>
      </w:pPr>
      <w:r>
        <w:rPr>
          <w:rFonts w:ascii="Times New Roman"/>
          <w:b w:val="false"/>
          <w:i w:val="false"/>
          <w:color w:val="000000"/>
          <w:sz w:val="28"/>
        </w:rPr>
        <w:t>
      полученное количество; требуемое качество;</w:t>
      </w:r>
    </w:p>
    <w:bookmarkEnd w:id="4972"/>
    <w:bookmarkStart w:name="z5098" w:id="4973"/>
    <w:p>
      <w:pPr>
        <w:spacing w:after="0"/>
        <w:ind w:left="0"/>
        <w:jc w:val="both"/>
      </w:pPr>
      <w:r>
        <w:rPr>
          <w:rFonts w:ascii="Times New Roman"/>
          <w:b w:val="false"/>
          <w:i w:val="false"/>
          <w:color w:val="000000"/>
          <w:sz w:val="28"/>
        </w:rPr>
        <w:t>
      характер материала (например, первичные упаковочные материалы и (или) печатные упаковочные материалы);</w:t>
      </w:r>
    </w:p>
    <w:bookmarkEnd w:id="4973"/>
    <w:bookmarkStart w:name="z5099" w:id="4974"/>
    <w:p>
      <w:pPr>
        <w:spacing w:after="0"/>
        <w:ind w:left="0"/>
        <w:jc w:val="both"/>
      </w:pPr>
      <w:r>
        <w:rPr>
          <w:rFonts w:ascii="Times New Roman"/>
          <w:b w:val="false"/>
          <w:i w:val="false"/>
          <w:color w:val="000000"/>
          <w:sz w:val="28"/>
        </w:rPr>
        <w:t>
      методы производства;</w:t>
      </w:r>
    </w:p>
    <w:bookmarkEnd w:id="4974"/>
    <w:bookmarkStart w:name="z5100" w:id="4975"/>
    <w:p>
      <w:pPr>
        <w:spacing w:after="0"/>
        <w:ind w:left="0"/>
        <w:jc w:val="both"/>
      </w:pPr>
      <w:r>
        <w:rPr>
          <w:rFonts w:ascii="Times New Roman"/>
          <w:b w:val="false"/>
          <w:i w:val="false"/>
          <w:color w:val="000000"/>
          <w:sz w:val="28"/>
        </w:rPr>
        <w:t>
      сведения о системе обеспечения качества производителя упаковочных материалов, основанные на результатах проведения аудитов.</w:t>
      </w:r>
    </w:p>
    <w:bookmarkEnd w:id="4975"/>
    <w:bookmarkStart w:name="z5101" w:id="4976"/>
    <w:p>
      <w:pPr>
        <w:spacing w:after="0"/>
        <w:ind w:left="0"/>
        <w:jc w:val="both"/>
      </w:pPr>
      <w:r>
        <w:rPr>
          <w:rFonts w:ascii="Times New Roman"/>
          <w:b w:val="false"/>
          <w:i w:val="false"/>
          <w:color w:val="000000"/>
          <w:sz w:val="28"/>
        </w:rPr>
        <w:t>
      Количество отбираемых проб определено статистически и указано в плане по отбору проб.</w:t>
      </w:r>
    </w:p>
    <w:bookmarkEnd w:id="4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103" w:id="4977"/>
    <w:p>
      <w:pPr>
        <w:spacing w:after="0"/>
        <w:ind w:left="0"/>
        <w:jc w:val="left"/>
      </w:pPr>
      <w:r>
        <w:rPr>
          <w:rFonts w:ascii="Times New Roman"/>
          <w:b/>
          <w:i w:val="false"/>
          <w:color w:val="000000"/>
        </w:rPr>
        <w:t xml:space="preserve"> Требования производству жидких и мягких лекарственных форм</w:t>
      </w:r>
    </w:p>
    <w:bookmarkEnd w:id="4977"/>
    <w:bookmarkStart w:name="z5104" w:id="4978"/>
    <w:p>
      <w:pPr>
        <w:spacing w:after="0"/>
        <w:ind w:left="0"/>
        <w:jc w:val="both"/>
      </w:pPr>
      <w:r>
        <w:rPr>
          <w:rFonts w:ascii="Times New Roman"/>
          <w:b w:val="false"/>
          <w:i w:val="false"/>
          <w:color w:val="000000"/>
          <w:sz w:val="28"/>
        </w:rPr>
        <w:t>
      Принцип</w:t>
      </w:r>
    </w:p>
    <w:bookmarkEnd w:id="4978"/>
    <w:bookmarkStart w:name="z5105" w:id="4979"/>
    <w:p>
      <w:pPr>
        <w:spacing w:after="0"/>
        <w:ind w:left="0"/>
        <w:jc w:val="both"/>
      </w:pPr>
      <w:r>
        <w:rPr>
          <w:rFonts w:ascii="Times New Roman"/>
          <w:b w:val="false"/>
          <w:i w:val="false"/>
          <w:color w:val="000000"/>
          <w:sz w:val="28"/>
        </w:rPr>
        <w:t>
      Жидкие и мягкие лекарственные формы в особенности подвержены микробной и иной контаминации. Поэтому необходимо принимать специальные меры по предупреждению любой контаминации.</w:t>
      </w:r>
    </w:p>
    <w:bookmarkEnd w:id="4979"/>
    <w:bookmarkStart w:name="z5106" w:id="4980"/>
    <w:p>
      <w:pPr>
        <w:spacing w:after="0"/>
        <w:ind w:left="0"/>
        <w:jc w:val="both"/>
      </w:pPr>
      <w:r>
        <w:rPr>
          <w:rFonts w:ascii="Times New Roman"/>
          <w:b w:val="false"/>
          <w:i w:val="false"/>
          <w:color w:val="000000"/>
          <w:sz w:val="28"/>
        </w:rPr>
        <w:t>
      Помещения и оборудование</w:t>
      </w:r>
    </w:p>
    <w:bookmarkEnd w:id="4980"/>
    <w:bookmarkStart w:name="z5107" w:id="4981"/>
    <w:p>
      <w:pPr>
        <w:spacing w:after="0"/>
        <w:ind w:left="0"/>
        <w:jc w:val="both"/>
      </w:pPr>
      <w:r>
        <w:rPr>
          <w:rFonts w:ascii="Times New Roman"/>
          <w:b w:val="false"/>
          <w:i w:val="false"/>
          <w:color w:val="000000"/>
          <w:sz w:val="28"/>
        </w:rPr>
        <w:t>
      1. Для защиты от контаминации при производстве и перемещении продукции рекомендуется использовать закрытые системы. Производственные зоны, в которых находятся открытая продукция или открытые чистые упаковки, как правило, следует эффективно вентилировать отфильтрованным воздухом.</w:t>
      </w:r>
    </w:p>
    <w:bookmarkEnd w:id="4981"/>
    <w:bookmarkStart w:name="z5108" w:id="4982"/>
    <w:p>
      <w:pPr>
        <w:spacing w:after="0"/>
        <w:ind w:left="0"/>
        <w:jc w:val="both"/>
      </w:pPr>
      <w:r>
        <w:rPr>
          <w:rFonts w:ascii="Times New Roman"/>
          <w:b w:val="false"/>
          <w:i w:val="false"/>
          <w:color w:val="000000"/>
          <w:sz w:val="28"/>
        </w:rPr>
        <w:t xml:space="preserve">
      2. Конструкция и расположение реакторов, емкостей, трубопроводов и насосов предусматривает удобство их очистки при необходимости санитарной обработки. В частности, в конструкции оборудования сведено к минимуму наличие недоступных зон или участков, в которых могут скапливаться остатки продукции, создавая среду для размножения микроорганизмов. </w:t>
      </w:r>
    </w:p>
    <w:bookmarkEnd w:id="4982"/>
    <w:bookmarkStart w:name="z5109" w:id="4983"/>
    <w:p>
      <w:pPr>
        <w:spacing w:after="0"/>
        <w:ind w:left="0"/>
        <w:jc w:val="both"/>
      </w:pPr>
      <w:r>
        <w:rPr>
          <w:rFonts w:ascii="Times New Roman"/>
          <w:b w:val="false"/>
          <w:i w:val="false"/>
          <w:color w:val="000000"/>
          <w:sz w:val="28"/>
        </w:rPr>
        <w:t>
      3. По возможности не следует использовать аппаратуру из стекла. Как правило, части оборудования, контактирующие с продукцией, изготовлены из высококачественной нержавеющей стали.</w:t>
      </w:r>
    </w:p>
    <w:bookmarkEnd w:id="4983"/>
    <w:bookmarkStart w:name="z5110" w:id="4984"/>
    <w:p>
      <w:pPr>
        <w:spacing w:after="0"/>
        <w:ind w:left="0"/>
        <w:jc w:val="both"/>
      </w:pPr>
      <w:r>
        <w:rPr>
          <w:rFonts w:ascii="Times New Roman"/>
          <w:b w:val="false"/>
          <w:i w:val="false"/>
          <w:color w:val="000000"/>
          <w:sz w:val="28"/>
        </w:rPr>
        <w:t>
      Производство</w:t>
      </w:r>
    </w:p>
    <w:bookmarkEnd w:id="4984"/>
    <w:bookmarkStart w:name="z5111" w:id="4985"/>
    <w:p>
      <w:pPr>
        <w:spacing w:after="0"/>
        <w:ind w:left="0"/>
        <w:jc w:val="both"/>
      </w:pPr>
      <w:r>
        <w:rPr>
          <w:rFonts w:ascii="Times New Roman"/>
          <w:b w:val="false"/>
          <w:i w:val="false"/>
          <w:color w:val="000000"/>
          <w:sz w:val="28"/>
        </w:rPr>
        <w:t>
      4. Следует установить и контролировать качество используемой воды в отношении химической и микробиологической чистоты. Во избежание риска размножения микроорганизмов следует надлежащим образом организовать обслуживание систем подготовки воды. После любой химической санитарной обработки систем подготовки воды их необходимо промыть в соответствии с процедурой, прошедшей валидацию, которая гарантирует полное удаление дезинфицирующих средств.</w:t>
      </w:r>
    </w:p>
    <w:bookmarkEnd w:id="4985"/>
    <w:bookmarkStart w:name="z5112" w:id="4986"/>
    <w:p>
      <w:pPr>
        <w:spacing w:after="0"/>
        <w:ind w:left="0"/>
        <w:jc w:val="both"/>
      </w:pPr>
      <w:r>
        <w:rPr>
          <w:rFonts w:ascii="Times New Roman"/>
          <w:b w:val="false"/>
          <w:i w:val="false"/>
          <w:color w:val="000000"/>
          <w:sz w:val="28"/>
        </w:rPr>
        <w:t>
      5. Качество сырья, получаемого в емкостях большого объема, следует проверять до их перемещения в емкости для хранения.</w:t>
      </w:r>
    </w:p>
    <w:bookmarkEnd w:id="4986"/>
    <w:bookmarkStart w:name="z5113" w:id="4987"/>
    <w:p>
      <w:pPr>
        <w:spacing w:after="0"/>
        <w:ind w:left="0"/>
        <w:jc w:val="both"/>
      </w:pPr>
      <w:r>
        <w:rPr>
          <w:rFonts w:ascii="Times New Roman"/>
          <w:b w:val="false"/>
          <w:i w:val="false"/>
          <w:color w:val="000000"/>
          <w:sz w:val="28"/>
        </w:rPr>
        <w:t>
      6. Следует контролировать передачу сырья по трубопроводам, чтобы гарантировать их поступление в нужное место.</w:t>
      </w:r>
    </w:p>
    <w:bookmarkEnd w:id="4987"/>
    <w:bookmarkStart w:name="z5114" w:id="4988"/>
    <w:p>
      <w:pPr>
        <w:spacing w:after="0"/>
        <w:ind w:left="0"/>
        <w:jc w:val="both"/>
      </w:pPr>
      <w:r>
        <w:rPr>
          <w:rFonts w:ascii="Times New Roman"/>
          <w:b w:val="false"/>
          <w:i w:val="false"/>
          <w:color w:val="000000"/>
          <w:sz w:val="28"/>
        </w:rPr>
        <w:t>
      7. В помещениях, где содержатся открытая продукция или открытые чистые упаковки, не допускается нахождение материалов, от которых возможно отделение волокон и других контаминантов (например, картон или деревянные поддоны).</w:t>
      </w:r>
    </w:p>
    <w:bookmarkEnd w:id="4988"/>
    <w:bookmarkStart w:name="z5115" w:id="4989"/>
    <w:p>
      <w:pPr>
        <w:spacing w:after="0"/>
        <w:ind w:left="0"/>
        <w:jc w:val="both"/>
      </w:pPr>
      <w:r>
        <w:rPr>
          <w:rFonts w:ascii="Times New Roman"/>
          <w:b w:val="false"/>
          <w:i w:val="false"/>
          <w:color w:val="000000"/>
          <w:sz w:val="28"/>
        </w:rPr>
        <w:t>
      8. Во время фасовки необходимо обеспечить сохранение однородности смесей, суспензий и т. д. Процессы смешивания и фасовки проходят валидацию. Особое внимание необходимо уделять обеспечению однородности смеси в начале, после остановок и в конце процесса наполнения.</w:t>
      </w:r>
    </w:p>
    <w:bookmarkEnd w:id="4989"/>
    <w:bookmarkStart w:name="z5116" w:id="4990"/>
    <w:p>
      <w:pPr>
        <w:spacing w:after="0"/>
        <w:ind w:left="0"/>
        <w:jc w:val="both"/>
      </w:pPr>
      <w:r>
        <w:rPr>
          <w:rFonts w:ascii="Times New Roman"/>
          <w:b w:val="false"/>
          <w:i w:val="false"/>
          <w:color w:val="000000"/>
          <w:sz w:val="28"/>
        </w:rPr>
        <w:t xml:space="preserve">
      9. Если готовый продукт упаковывается не сразу, необходимо установить максимально допустимое время до его упаковки, а также соответствующие условия хранения, которые строго соблюдаются. </w:t>
      </w:r>
    </w:p>
    <w:bookmarkEnd w:id="4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118" w:id="4991"/>
    <w:p>
      <w:pPr>
        <w:spacing w:after="0"/>
        <w:ind w:left="0"/>
        <w:jc w:val="left"/>
      </w:pPr>
      <w:r>
        <w:rPr>
          <w:rFonts w:ascii="Times New Roman"/>
          <w:b/>
          <w:i w:val="false"/>
          <w:color w:val="000000"/>
        </w:rPr>
        <w:t xml:space="preserve"> Требования производству дозированных аэрозольных лекарственных препаратов под давлением для ингаляций</w:t>
      </w:r>
    </w:p>
    <w:bookmarkEnd w:id="4991"/>
    <w:bookmarkStart w:name="z5119" w:id="4992"/>
    <w:p>
      <w:pPr>
        <w:spacing w:after="0"/>
        <w:ind w:left="0"/>
        <w:jc w:val="both"/>
      </w:pPr>
      <w:r>
        <w:rPr>
          <w:rFonts w:ascii="Times New Roman"/>
          <w:b w:val="false"/>
          <w:i w:val="false"/>
          <w:color w:val="000000"/>
          <w:sz w:val="28"/>
        </w:rPr>
        <w:t>
      Принцип</w:t>
      </w:r>
    </w:p>
    <w:bookmarkEnd w:id="4992"/>
    <w:bookmarkStart w:name="z5120" w:id="4993"/>
    <w:p>
      <w:pPr>
        <w:spacing w:after="0"/>
        <w:ind w:left="0"/>
        <w:jc w:val="both"/>
      </w:pPr>
      <w:r>
        <w:rPr>
          <w:rFonts w:ascii="Times New Roman"/>
          <w:b w:val="false"/>
          <w:i w:val="false"/>
          <w:color w:val="000000"/>
          <w:sz w:val="28"/>
        </w:rPr>
        <w:t xml:space="preserve">
      Производство аэрозольных лекарственных препаратов под давлением </w:t>
      </w:r>
    </w:p>
    <w:bookmarkEnd w:id="4993"/>
    <w:bookmarkStart w:name="z5121" w:id="4994"/>
    <w:p>
      <w:pPr>
        <w:spacing w:after="0"/>
        <w:ind w:left="0"/>
        <w:jc w:val="both"/>
      </w:pPr>
      <w:r>
        <w:rPr>
          <w:rFonts w:ascii="Times New Roman"/>
          <w:b w:val="false"/>
          <w:i w:val="false"/>
          <w:color w:val="000000"/>
          <w:sz w:val="28"/>
        </w:rPr>
        <w:t>
      дозирующими клапанами, предназначенных для ингаляций, требует особого внимания из-за специфического характера этой лекарственной формы. Его необходимо осуществлять при условиях, сводящих к минимуму контаминацию микроорганизмами и частицами. Очень важно также обеспечить качество деталей клапана, а в случае суспензий - их однородность.</w:t>
      </w:r>
    </w:p>
    <w:bookmarkEnd w:id="4994"/>
    <w:bookmarkStart w:name="z5122" w:id="4995"/>
    <w:p>
      <w:pPr>
        <w:spacing w:after="0"/>
        <w:ind w:left="0"/>
        <w:jc w:val="both"/>
      </w:pPr>
      <w:r>
        <w:rPr>
          <w:rFonts w:ascii="Times New Roman"/>
          <w:b w:val="false"/>
          <w:i w:val="false"/>
          <w:color w:val="000000"/>
          <w:sz w:val="28"/>
        </w:rPr>
        <w:t>
      Общие требования</w:t>
      </w:r>
    </w:p>
    <w:bookmarkEnd w:id="4995"/>
    <w:bookmarkStart w:name="z5123" w:id="4996"/>
    <w:p>
      <w:pPr>
        <w:spacing w:after="0"/>
        <w:ind w:left="0"/>
        <w:jc w:val="both"/>
      </w:pPr>
      <w:r>
        <w:rPr>
          <w:rFonts w:ascii="Times New Roman"/>
          <w:b w:val="false"/>
          <w:i w:val="false"/>
          <w:color w:val="000000"/>
          <w:sz w:val="28"/>
        </w:rPr>
        <w:t>
      1. Как правило, используются 2 метода производства и наполнения:</w:t>
      </w:r>
    </w:p>
    <w:bookmarkEnd w:id="4996"/>
    <w:bookmarkStart w:name="z5124" w:id="4997"/>
    <w:p>
      <w:pPr>
        <w:spacing w:after="0"/>
        <w:ind w:left="0"/>
        <w:jc w:val="both"/>
      </w:pPr>
      <w:r>
        <w:rPr>
          <w:rFonts w:ascii="Times New Roman"/>
          <w:b w:val="false"/>
          <w:i w:val="false"/>
          <w:color w:val="000000"/>
          <w:sz w:val="28"/>
        </w:rPr>
        <w:t>
      a) Система двух стадийного наполнения (наполнение под давлением). Активная фармацевтическая субстанция суспендируется в пропелленте с высокой температурой кипения, доза суспензии подается контейнер, вставляется и обжимается клапан и через шток клапана вводится пропеллент с низкой температурой кипения для получения готового лекарственного препарата. При этом поддерживается достаточно низкая температура суспензии активной фармацевтической субстанции в пропелленте для снижения потерь за счет испарения;</w:t>
      </w:r>
    </w:p>
    <w:bookmarkEnd w:id="4997"/>
    <w:bookmarkStart w:name="z5125" w:id="4998"/>
    <w:p>
      <w:pPr>
        <w:spacing w:after="0"/>
        <w:ind w:left="0"/>
        <w:jc w:val="both"/>
      </w:pPr>
      <w:r>
        <w:rPr>
          <w:rFonts w:ascii="Times New Roman"/>
          <w:b w:val="false"/>
          <w:i w:val="false"/>
          <w:color w:val="000000"/>
          <w:sz w:val="28"/>
        </w:rPr>
        <w:t>
      b) процесс однократного наполнения (холодное наполнение). Активную фармацевтическую субстанцию суспендируется в смеси пропеллентов и суспензия содержится под давлением или при низкой температуре, или одновременно под давлением и при низкой температуре. Затем проводится наполнение упаковки суспензией в 1 прием.</w:t>
      </w:r>
    </w:p>
    <w:bookmarkEnd w:id="4998"/>
    <w:bookmarkStart w:name="z5126" w:id="4999"/>
    <w:p>
      <w:pPr>
        <w:spacing w:after="0"/>
        <w:ind w:left="0"/>
        <w:jc w:val="both"/>
      </w:pPr>
      <w:r>
        <w:rPr>
          <w:rFonts w:ascii="Times New Roman"/>
          <w:b w:val="false"/>
          <w:i w:val="false"/>
          <w:color w:val="000000"/>
          <w:sz w:val="28"/>
        </w:rPr>
        <w:t>
      Помещения и оборудование</w:t>
      </w:r>
    </w:p>
    <w:bookmarkEnd w:id="4999"/>
    <w:bookmarkStart w:name="z5127" w:id="5000"/>
    <w:p>
      <w:pPr>
        <w:spacing w:after="0"/>
        <w:ind w:left="0"/>
        <w:jc w:val="both"/>
      </w:pPr>
      <w:r>
        <w:rPr>
          <w:rFonts w:ascii="Times New Roman"/>
          <w:b w:val="false"/>
          <w:i w:val="false"/>
          <w:color w:val="000000"/>
          <w:sz w:val="28"/>
        </w:rPr>
        <w:t>
      2. Производство и наполнение следует проводить по возможности закрытых системах.</w:t>
      </w:r>
    </w:p>
    <w:bookmarkEnd w:id="5000"/>
    <w:bookmarkStart w:name="z5128" w:id="5001"/>
    <w:p>
      <w:pPr>
        <w:spacing w:after="0"/>
        <w:ind w:left="0"/>
        <w:jc w:val="both"/>
      </w:pPr>
      <w:r>
        <w:rPr>
          <w:rFonts w:ascii="Times New Roman"/>
          <w:b w:val="false"/>
          <w:i w:val="false"/>
          <w:color w:val="000000"/>
          <w:sz w:val="28"/>
        </w:rPr>
        <w:t>
      3. Зона, в которой продукция или чистые компоненты содержатся открытыми, снабжается отфильтрованным воздухом и соответствовать требованиям к производственной среде по крайней мере класса D. Входить в зону следует через воздушные шлюзы.</w:t>
      </w:r>
    </w:p>
    <w:bookmarkEnd w:id="5001"/>
    <w:bookmarkStart w:name="z5129" w:id="5002"/>
    <w:p>
      <w:pPr>
        <w:spacing w:after="0"/>
        <w:ind w:left="0"/>
        <w:jc w:val="both"/>
      </w:pPr>
      <w:r>
        <w:rPr>
          <w:rFonts w:ascii="Times New Roman"/>
          <w:b w:val="false"/>
          <w:i w:val="false"/>
          <w:color w:val="000000"/>
          <w:sz w:val="28"/>
        </w:rPr>
        <w:t>
      Производство и контроль качества</w:t>
      </w:r>
    </w:p>
    <w:bookmarkEnd w:id="5002"/>
    <w:bookmarkStart w:name="z5130" w:id="5003"/>
    <w:p>
      <w:pPr>
        <w:spacing w:after="0"/>
        <w:ind w:left="0"/>
        <w:jc w:val="both"/>
      </w:pPr>
      <w:r>
        <w:rPr>
          <w:rFonts w:ascii="Times New Roman"/>
          <w:b w:val="false"/>
          <w:i w:val="false"/>
          <w:color w:val="000000"/>
          <w:sz w:val="28"/>
        </w:rPr>
        <w:t>
      4. Дозирующие клапаны для аэрозолей являются более сложными по сравнению с большинством устройств, используемых в фармацевтической промышленности. Это учтено в спецификациях на них, а также при отборе проб и при испытаниях. Особое значение имеет проведение аудита системы обеспечения качества у производителя дозирующих клапанов.</w:t>
      </w:r>
    </w:p>
    <w:bookmarkEnd w:id="5003"/>
    <w:bookmarkStart w:name="z5131" w:id="5004"/>
    <w:p>
      <w:pPr>
        <w:spacing w:after="0"/>
        <w:ind w:left="0"/>
        <w:jc w:val="both"/>
      </w:pPr>
      <w:r>
        <w:rPr>
          <w:rFonts w:ascii="Times New Roman"/>
          <w:b w:val="false"/>
          <w:i w:val="false"/>
          <w:color w:val="000000"/>
          <w:sz w:val="28"/>
        </w:rPr>
        <w:t>
      5. Все жидкости (например, жидкие или сжиженные под давлением газообразные пропелленты) профильтрованы для удаления частиц, размер которых больше 0,2 мкм. При наличии возможности желательно проведение дополнительной фильтрации непосредственно перед наполнением.</w:t>
      </w:r>
    </w:p>
    <w:bookmarkEnd w:id="5004"/>
    <w:bookmarkStart w:name="z5132" w:id="5005"/>
    <w:p>
      <w:pPr>
        <w:spacing w:after="0"/>
        <w:ind w:left="0"/>
        <w:jc w:val="both"/>
      </w:pPr>
      <w:r>
        <w:rPr>
          <w:rFonts w:ascii="Times New Roman"/>
          <w:b w:val="false"/>
          <w:i w:val="false"/>
          <w:color w:val="000000"/>
          <w:sz w:val="28"/>
        </w:rPr>
        <w:t>
      6. Контейнеры и клапаны необходимо очищать согласно валидированной процедуре, которая соответствует назначению лекарственного препарата и обеспечивает отсутствие любой контаминации (например, контаминация технологическими вспомогательными материалами (например, смазочными) или микробная контаминация). После очистки клапаны следует хранить в чистых закрытых емкостях. Кроме того, приняты меры предосторожности, предотвращающие контаминацию во время последующих операций, например, при отборе проб. Упаковки поступают на линию наполнения в чистом виде или очищаться на линии непосредственно перед наполнением.</w:t>
      </w:r>
    </w:p>
    <w:bookmarkEnd w:id="5005"/>
    <w:bookmarkStart w:name="z5133" w:id="5006"/>
    <w:p>
      <w:pPr>
        <w:spacing w:after="0"/>
        <w:ind w:left="0"/>
        <w:jc w:val="both"/>
      </w:pPr>
      <w:r>
        <w:rPr>
          <w:rFonts w:ascii="Times New Roman"/>
          <w:b w:val="false"/>
          <w:i w:val="false"/>
          <w:color w:val="000000"/>
          <w:sz w:val="28"/>
        </w:rPr>
        <w:t>
      7. Необходимо обеспечить однородность суспензии в точке наполнения в ходе всего процесса наполнения.</w:t>
      </w:r>
    </w:p>
    <w:bookmarkEnd w:id="5006"/>
    <w:bookmarkStart w:name="z5134" w:id="5007"/>
    <w:p>
      <w:pPr>
        <w:spacing w:after="0"/>
        <w:ind w:left="0"/>
        <w:jc w:val="both"/>
      </w:pPr>
      <w:r>
        <w:rPr>
          <w:rFonts w:ascii="Times New Roman"/>
          <w:b w:val="false"/>
          <w:i w:val="false"/>
          <w:color w:val="000000"/>
          <w:sz w:val="28"/>
        </w:rPr>
        <w:t>
      8. При использовании метода 2-стадийного наполнения для достижения правильного состава необходимо обеспечить точную массу вводимых веществ на обеих стадиях. Поэтому во многих случаях целесообразен 100-процентный контроль массы на каждой стадии.</w:t>
      </w:r>
    </w:p>
    <w:bookmarkEnd w:id="5007"/>
    <w:bookmarkStart w:name="z5135" w:id="5008"/>
    <w:p>
      <w:pPr>
        <w:spacing w:after="0"/>
        <w:ind w:left="0"/>
        <w:jc w:val="both"/>
      </w:pPr>
      <w:r>
        <w:rPr>
          <w:rFonts w:ascii="Times New Roman"/>
          <w:b w:val="false"/>
          <w:i w:val="false"/>
          <w:color w:val="000000"/>
          <w:sz w:val="28"/>
        </w:rPr>
        <w:t>
      9. Контроль после наполнения подтверждает отсутствие утечек. Проверку на наличие утечек проводят так, чтобы не допустить микробной контаминации или остаточной влаги.</w:t>
      </w:r>
    </w:p>
    <w:bookmarkEnd w:id="5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137" w:id="5009"/>
    <w:p>
      <w:pPr>
        <w:spacing w:after="0"/>
        <w:ind w:left="0"/>
        <w:jc w:val="left"/>
      </w:pPr>
      <w:r>
        <w:rPr>
          <w:rFonts w:ascii="Times New Roman"/>
          <w:b/>
          <w:i w:val="false"/>
          <w:color w:val="000000"/>
        </w:rPr>
        <w:t xml:space="preserve"> Требования к компьютеризированным системам</w:t>
      </w:r>
    </w:p>
    <w:bookmarkEnd w:id="5009"/>
    <w:bookmarkStart w:name="z5138" w:id="5010"/>
    <w:p>
      <w:pPr>
        <w:spacing w:after="0"/>
        <w:ind w:left="0"/>
        <w:jc w:val="both"/>
      </w:pPr>
      <w:r>
        <w:rPr>
          <w:rFonts w:ascii="Times New Roman"/>
          <w:b w:val="false"/>
          <w:i w:val="false"/>
          <w:color w:val="000000"/>
          <w:sz w:val="28"/>
        </w:rPr>
        <w:t>
      Принцип</w:t>
      </w:r>
    </w:p>
    <w:bookmarkEnd w:id="5010"/>
    <w:bookmarkStart w:name="z5139" w:id="5011"/>
    <w:p>
      <w:pPr>
        <w:spacing w:after="0"/>
        <w:ind w:left="0"/>
        <w:jc w:val="both"/>
      </w:pPr>
      <w:r>
        <w:rPr>
          <w:rFonts w:ascii="Times New Roman"/>
          <w:b w:val="false"/>
          <w:i w:val="false"/>
          <w:color w:val="000000"/>
          <w:sz w:val="28"/>
        </w:rPr>
        <w:t>
      Настоящее Приложение применяется ко всем типам компьютеризированных систем, используемых в рамках деятельности, регулируемой требованиями Стандарта надлежащей производственной практики. Компьютеризированная система представляет собой набор программных и аппаратных компонентов, которые совместно выполняют определенные функции.</w:t>
      </w:r>
    </w:p>
    <w:bookmarkEnd w:id="5011"/>
    <w:bookmarkStart w:name="z5140" w:id="5012"/>
    <w:p>
      <w:pPr>
        <w:spacing w:after="0"/>
        <w:ind w:left="0"/>
        <w:jc w:val="both"/>
      </w:pPr>
      <w:r>
        <w:rPr>
          <w:rFonts w:ascii="Times New Roman"/>
          <w:b w:val="false"/>
          <w:i w:val="false"/>
          <w:color w:val="000000"/>
          <w:sz w:val="28"/>
        </w:rPr>
        <w:t>
      Применение компьютеризированной системы валидировано, информационно-технологическая инфраструктура проходит квалификацию.</w:t>
      </w:r>
    </w:p>
    <w:bookmarkEnd w:id="5012"/>
    <w:bookmarkStart w:name="z5141" w:id="5013"/>
    <w:p>
      <w:pPr>
        <w:spacing w:after="0"/>
        <w:ind w:left="0"/>
        <w:jc w:val="both"/>
      </w:pPr>
      <w:r>
        <w:rPr>
          <w:rFonts w:ascii="Times New Roman"/>
          <w:b w:val="false"/>
          <w:i w:val="false"/>
          <w:color w:val="000000"/>
          <w:sz w:val="28"/>
        </w:rPr>
        <w:t>
      Если компьютеризированная система заменяет ручное управление, это не приводит к снижению качества продукции, технологического контроля или обеспечения качества. Общие риски процесса не возрастают.</w:t>
      </w:r>
    </w:p>
    <w:bookmarkEnd w:id="5013"/>
    <w:bookmarkStart w:name="z5142" w:id="5014"/>
    <w:p>
      <w:pPr>
        <w:spacing w:after="0"/>
        <w:ind w:left="0"/>
        <w:jc w:val="both"/>
      </w:pPr>
      <w:r>
        <w:rPr>
          <w:rFonts w:ascii="Times New Roman"/>
          <w:b w:val="false"/>
          <w:i w:val="false"/>
          <w:color w:val="000000"/>
          <w:sz w:val="28"/>
        </w:rPr>
        <w:t>
      Общие требования</w:t>
      </w:r>
    </w:p>
    <w:bookmarkEnd w:id="5014"/>
    <w:bookmarkStart w:name="z5143" w:id="5015"/>
    <w:p>
      <w:pPr>
        <w:spacing w:after="0"/>
        <w:ind w:left="0"/>
        <w:jc w:val="both"/>
      </w:pPr>
      <w:r>
        <w:rPr>
          <w:rFonts w:ascii="Times New Roman"/>
          <w:b w:val="false"/>
          <w:i w:val="false"/>
          <w:color w:val="000000"/>
          <w:sz w:val="28"/>
        </w:rPr>
        <w:t>
      1. Управление рисками</w:t>
      </w:r>
    </w:p>
    <w:bookmarkEnd w:id="5015"/>
    <w:bookmarkStart w:name="z5144" w:id="5016"/>
    <w:p>
      <w:pPr>
        <w:spacing w:after="0"/>
        <w:ind w:left="0"/>
        <w:jc w:val="both"/>
      </w:pPr>
      <w:r>
        <w:rPr>
          <w:rFonts w:ascii="Times New Roman"/>
          <w:b w:val="false"/>
          <w:i w:val="false"/>
          <w:color w:val="000000"/>
          <w:sz w:val="28"/>
        </w:rPr>
        <w:t>
      Управление рисками применяется в течение жизненного цикла компьютеризированной системы и учитывать безопасность пациентов, целостность данных и качество продукции. В рамках системы управления рисками решения по объему валидационных испытаний и проведению контролей целостности данных основываются на обоснованной и документально оформленной оценке рисков компьютеризированной системы.</w:t>
      </w:r>
    </w:p>
    <w:bookmarkEnd w:id="5016"/>
    <w:bookmarkStart w:name="z5145" w:id="5017"/>
    <w:p>
      <w:pPr>
        <w:spacing w:after="0"/>
        <w:ind w:left="0"/>
        <w:jc w:val="both"/>
      </w:pPr>
      <w:r>
        <w:rPr>
          <w:rFonts w:ascii="Times New Roman"/>
          <w:b w:val="false"/>
          <w:i w:val="false"/>
          <w:color w:val="000000"/>
          <w:sz w:val="28"/>
        </w:rPr>
        <w:t>
      2. Персонал</w:t>
      </w:r>
    </w:p>
    <w:bookmarkEnd w:id="5017"/>
    <w:bookmarkStart w:name="z5146" w:id="5018"/>
    <w:p>
      <w:pPr>
        <w:spacing w:after="0"/>
        <w:ind w:left="0"/>
        <w:jc w:val="both"/>
      </w:pPr>
      <w:r>
        <w:rPr>
          <w:rFonts w:ascii="Times New Roman"/>
          <w:b w:val="false"/>
          <w:i w:val="false"/>
          <w:color w:val="000000"/>
          <w:sz w:val="28"/>
        </w:rPr>
        <w:t>
      Поддерживается тесное сотрудничество между всем значимым персоналом, вовлеченным в данный процесс (например, с владельцем процесса, владельцем системы, Уполномоченными лицами техническим (IT) персоналом). Весь персонал имеет соответствующую квалификацию, уровень доступа и нести определенную ответственность для выполнения возложенных на него обязанностей.</w:t>
      </w:r>
    </w:p>
    <w:bookmarkEnd w:id="5018"/>
    <w:bookmarkStart w:name="z5147" w:id="5019"/>
    <w:p>
      <w:pPr>
        <w:spacing w:after="0"/>
        <w:ind w:left="0"/>
        <w:jc w:val="both"/>
      </w:pPr>
      <w:r>
        <w:rPr>
          <w:rFonts w:ascii="Times New Roman"/>
          <w:b w:val="false"/>
          <w:i w:val="false"/>
          <w:color w:val="000000"/>
          <w:sz w:val="28"/>
        </w:rPr>
        <w:t>
      3. Поставщики и провайдеры услуг</w:t>
      </w:r>
    </w:p>
    <w:bookmarkEnd w:id="5019"/>
    <w:bookmarkStart w:name="z5148" w:id="5020"/>
    <w:p>
      <w:pPr>
        <w:spacing w:after="0"/>
        <w:ind w:left="0"/>
        <w:jc w:val="both"/>
      </w:pPr>
      <w:r>
        <w:rPr>
          <w:rFonts w:ascii="Times New Roman"/>
          <w:b w:val="false"/>
          <w:i w:val="false"/>
          <w:color w:val="000000"/>
          <w:sz w:val="28"/>
        </w:rPr>
        <w:t>
      3.1. Если задействованы третьи лица (например, поставщики, провайдеры услуг), например, для поставки, установки, настройки, задания конфигурации, интегрирования, валидации, технического обслуживания (например, через удаленный доступ), модификации или поддержания компьютеризированных систем, связанных с ними услуг или обработки данных, имеются надлежаще оформленные договоры между производителем и любыми третьими лицами. В этих договорах четко установлена ответственность третьих лиц. Аналогичные требования предъявляют к подразделениям информационных технологий производителя.</w:t>
      </w:r>
    </w:p>
    <w:bookmarkEnd w:id="5020"/>
    <w:bookmarkStart w:name="z5149" w:id="5021"/>
    <w:p>
      <w:pPr>
        <w:spacing w:after="0"/>
        <w:ind w:left="0"/>
        <w:jc w:val="both"/>
      </w:pPr>
      <w:r>
        <w:rPr>
          <w:rFonts w:ascii="Times New Roman"/>
          <w:b w:val="false"/>
          <w:i w:val="false"/>
          <w:color w:val="000000"/>
          <w:sz w:val="28"/>
        </w:rPr>
        <w:t>
      3.2. Компетентность и надежность поставщиков являются ключевыми условиями выбора провайдеров программного продукта или услуг. Необходимость аудита основана на оценке рисков.</w:t>
      </w:r>
    </w:p>
    <w:bookmarkEnd w:id="5021"/>
    <w:bookmarkStart w:name="z5150" w:id="5022"/>
    <w:p>
      <w:pPr>
        <w:spacing w:after="0"/>
        <w:ind w:left="0"/>
        <w:jc w:val="both"/>
      </w:pPr>
      <w:r>
        <w:rPr>
          <w:rFonts w:ascii="Times New Roman"/>
          <w:b w:val="false"/>
          <w:i w:val="false"/>
          <w:color w:val="000000"/>
          <w:sz w:val="28"/>
        </w:rPr>
        <w:t>
      3.3. Документация, прилагаемая к коммерчески выпускаемым готовым для использования программным продуктам, рассмотрена уполномоченными представителями заказчика на предмет соответствия требованиям пользователя.</w:t>
      </w:r>
    </w:p>
    <w:bookmarkEnd w:id="5022"/>
    <w:bookmarkStart w:name="z5151" w:id="5023"/>
    <w:p>
      <w:pPr>
        <w:spacing w:after="0"/>
        <w:ind w:left="0"/>
        <w:jc w:val="both"/>
      </w:pPr>
      <w:r>
        <w:rPr>
          <w:rFonts w:ascii="Times New Roman"/>
          <w:b w:val="false"/>
          <w:i w:val="false"/>
          <w:color w:val="000000"/>
          <w:sz w:val="28"/>
        </w:rPr>
        <w:t>
      3.4. Информация о системе качества и аудитах поставщиков или разработчиков программного обеспечения и установленных компьютеризированных систем доступна для предоставления инспекторам по их требованию.</w:t>
      </w:r>
    </w:p>
    <w:bookmarkEnd w:id="5023"/>
    <w:bookmarkStart w:name="z5152" w:id="5024"/>
    <w:p>
      <w:pPr>
        <w:spacing w:after="0"/>
        <w:ind w:left="0"/>
        <w:jc w:val="both"/>
      </w:pPr>
      <w:r>
        <w:rPr>
          <w:rFonts w:ascii="Times New Roman"/>
          <w:b w:val="false"/>
          <w:i w:val="false"/>
          <w:color w:val="000000"/>
          <w:sz w:val="28"/>
        </w:rPr>
        <w:t>
      Стадия проекта</w:t>
      </w:r>
    </w:p>
    <w:bookmarkEnd w:id="5024"/>
    <w:bookmarkStart w:name="z5153" w:id="5025"/>
    <w:p>
      <w:pPr>
        <w:spacing w:after="0"/>
        <w:ind w:left="0"/>
        <w:jc w:val="both"/>
      </w:pPr>
      <w:r>
        <w:rPr>
          <w:rFonts w:ascii="Times New Roman"/>
          <w:b w:val="false"/>
          <w:i w:val="false"/>
          <w:color w:val="000000"/>
          <w:sz w:val="28"/>
        </w:rPr>
        <w:t>
      4. Валидация</w:t>
      </w:r>
    </w:p>
    <w:bookmarkEnd w:id="5025"/>
    <w:bookmarkStart w:name="z5154" w:id="5026"/>
    <w:p>
      <w:pPr>
        <w:spacing w:after="0"/>
        <w:ind w:left="0"/>
        <w:jc w:val="both"/>
      </w:pPr>
      <w:r>
        <w:rPr>
          <w:rFonts w:ascii="Times New Roman"/>
          <w:b w:val="false"/>
          <w:i w:val="false"/>
          <w:color w:val="000000"/>
          <w:sz w:val="28"/>
        </w:rPr>
        <w:t>
      4.1. Валидационная документация и отчеты охватывают соответствующие стадии жизненного цикла компьютеризированной системы. Производители способны обосновать свои стандарты, протоколы, критерии приемлемости, процедуры и записи на основе оценки рисков.</w:t>
      </w:r>
    </w:p>
    <w:bookmarkEnd w:id="5026"/>
    <w:bookmarkStart w:name="z5155" w:id="5027"/>
    <w:p>
      <w:pPr>
        <w:spacing w:after="0"/>
        <w:ind w:left="0"/>
        <w:jc w:val="both"/>
      </w:pPr>
      <w:r>
        <w:rPr>
          <w:rFonts w:ascii="Times New Roman"/>
          <w:b w:val="false"/>
          <w:i w:val="false"/>
          <w:color w:val="000000"/>
          <w:sz w:val="28"/>
        </w:rPr>
        <w:t>
      4.2. Валидационная документация включает в себя записи контроля изменений (если применимо) и отчеты о любых отклонениях, выявленных в ходе процесса валидации.</w:t>
      </w:r>
    </w:p>
    <w:bookmarkEnd w:id="5027"/>
    <w:bookmarkStart w:name="z5156" w:id="5028"/>
    <w:p>
      <w:pPr>
        <w:spacing w:after="0"/>
        <w:ind w:left="0"/>
        <w:jc w:val="both"/>
      </w:pPr>
      <w:r>
        <w:rPr>
          <w:rFonts w:ascii="Times New Roman"/>
          <w:b w:val="false"/>
          <w:i w:val="false"/>
          <w:color w:val="000000"/>
          <w:sz w:val="28"/>
        </w:rPr>
        <w:t>
      4.3. В наличии текущий перечень (реестр) всех используемых компьютеризированных систем с указанием их функциональности, регулируемой требованиями Стандарта.</w:t>
      </w:r>
    </w:p>
    <w:bookmarkEnd w:id="5028"/>
    <w:bookmarkStart w:name="z5157" w:id="5029"/>
    <w:p>
      <w:pPr>
        <w:spacing w:after="0"/>
        <w:ind w:left="0"/>
        <w:jc w:val="both"/>
      </w:pPr>
      <w:r>
        <w:rPr>
          <w:rFonts w:ascii="Times New Roman"/>
          <w:b w:val="false"/>
          <w:i w:val="false"/>
          <w:color w:val="000000"/>
          <w:sz w:val="28"/>
        </w:rPr>
        <w:t>
      Для критических компьютеризированных систем в наличии подробное текущее описание физических и логических взаимосвязей, потоков данных и интерфейсов с другими системами или процессами, требуемые ресурсы всего компьютерного оборудования и программного обеспечения, доступные меры безопасности.</w:t>
      </w:r>
    </w:p>
    <w:bookmarkEnd w:id="5029"/>
    <w:bookmarkStart w:name="z5158" w:id="5030"/>
    <w:p>
      <w:pPr>
        <w:spacing w:after="0"/>
        <w:ind w:left="0"/>
        <w:jc w:val="both"/>
      </w:pPr>
      <w:r>
        <w:rPr>
          <w:rFonts w:ascii="Times New Roman"/>
          <w:b w:val="false"/>
          <w:i w:val="false"/>
          <w:color w:val="000000"/>
          <w:sz w:val="28"/>
        </w:rPr>
        <w:t>
      4.4. Спецификации требований пользователя описывают необходимые функции компьютеризированной системы на основе документально оформленной оценки рисков и влияния с точки зрения соблюдения Стандарта. Требования пользователя прослеживаются на протяжении всего жизненного цикла компьютеризированной системы.</w:t>
      </w:r>
    </w:p>
    <w:bookmarkEnd w:id="5030"/>
    <w:bookmarkStart w:name="z5159" w:id="5031"/>
    <w:p>
      <w:pPr>
        <w:spacing w:after="0"/>
        <w:ind w:left="0"/>
        <w:jc w:val="both"/>
      </w:pPr>
      <w:r>
        <w:rPr>
          <w:rFonts w:ascii="Times New Roman"/>
          <w:b w:val="false"/>
          <w:i w:val="false"/>
          <w:color w:val="000000"/>
          <w:sz w:val="28"/>
        </w:rPr>
        <w:t>
      4.5. Заказчиком предприняты все меры, гарантирующие, что компьютеризированная система разработана в соответствии с надлежащей системой управления качеством. Поставщик оценен соответствующим образом.</w:t>
      </w:r>
    </w:p>
    <w:bookmarkEnd w:id="5031"/>
    <w:bookmarkStart w:name="z5160" w:id="5032"/>
    <w:p>
      <w:pPr>
        <w:spacing w:after="0"/>
        <w:ind w:left="0"/>
        <w:jc w:val="both"/>
      </w:pPr>
      <w:r>
        <w:rPr>
          <w:rFonts w:ascii="Times New Roman"/>
          <w:b w:val="false"/>
          <w:i w:val="false"/>
          <w:color w:val="000000"/>
          <w:sz w:val="28"/>
        </w:rPr>
        <w:t>
      4.6. С целью валидации компьютеризированных систем, изготовленных по индивидуальному заказу или модифицированных в соответствии с требованиями заказчика, следует разработать документированную процедуру оценки качества и эксплуатационных характеристик компьютеризированной системы на всех этапах ее жизненного цикла с оформлением соответствующих отчетов.</w:t>
      </w:r>
    </w:p>
    <w:bookmarkEnd w:id="5032"/>
    <w:bookmarkStart w:name="z5161" w:id="5033"/>
    <w:p>
      <w:pPr>
        <w:spacing w:after="0"/>
        <w:ind w:left="0"/>
        <w:jc w:val="both"/>
      </w:pPr>
      <w:r>
        <w:rPr>
          <w:rFonts w:ascii="Times New Roman"/>
          <w:b w:val="false"/>
          <w:i w:val="false"/>
          <w:color w:val="000000"/>
          <w:sz w:val="28"/>
        </w:rPr>
        <w:t>
      4.7. Представить доказательства соответствия методов и схем тестирования компьютеризированной системы. В частности, рассмотрены пределы параметров системы (процесса), границы данных и обработка ошибок. Документально оформить оценку соответствия применения автоматизированных средств тестирования и режимов их работы.</w:t>
      </w:r>
    </w:p>
    <w:bookmarkEnd w:id="5033"/>
    <w:bookmarkStart w:name="z5162" w:id="5034"/>
    <w:p>
      <w:pPr>
        <w:spacing w:after="0"/>
        <w:ind w:left="0"/>
        <w:jc w:val="both"/>
      </w:pPr>
      <w:r>
        <w:rPr>
          <w:rFonts w:ascii="Times New Roman"/>
          <w:b w:val="false"/>
          <w:i w:val="false"/>
          <w:color w:val="000000"/>
          <w:sz w:val="28"/>
        </w:rPr>
        <w:t>
      4.8. Если данные переводятся в другой формат или систему данных, валидация включает проверку неизменности значения и смысла данных в процессе их миграции.</w:t>
      </w:r>
    </w:p>
    <w:bookmarkEnd w:id="5034"/>
    <w:bookmarkStart w:name="z5163" w:id="5035"/>
    <w:p>
      <w:pPr>
        <w:spacing w:after="0"/>
        <w:ind w:left="0"/>
        <w:jc w:val="both"/>
      </w:pPr>
      <w:r>
        <w:rPr>
          <w:rFonts w:ascii="Times New Roman"/>
          <w:b w:val="false"/>
          <w:i w:val="false"/>
          <w:color w:val="000000"/>
          <w:sz w:val="28"/>
        </w:rPr>
        <w:t>
      Стадия эксплуатации</w:t>
      </w:r>
    </w:p>
    <w:bookmarkEnd w:id="5035"/>
    <w:bookmarkStart w:name="z5164" w:id="5036"/>
    <w:p>
      <w:pPr>
        <w:spacing w:after="0"/>
        <w:ind w:left="0"/>
        <w:jc w:val="both"/>
      </w:pPr>
      <w:r>
        <w:rPr>
          <w:rFonts w:ascii="Times New Roman"/>
          <w:b w:val="false"/>
          <w:i w:val="false"/>
          <w:color w:val="000000"/>
          <w:sz w:val="28"/>
        </w:rPr>
        <w:t>
      5. Данные</w:t>
      </w:r>
    </w:p>
    <w:bookmarkEnd w:id="5036"/>
    <w:bookmarkStart w:name="z5165" w:id="5037"/>
    <w:p>
      <w:pPr>
        <w:spacing w:after="0"/>
        <w:ind w:left="0"/>
        <w:jc w:val="both"/>
      </w:pPr>
      <w:r>
        <w:rPr>
          <w:rFonts w:ascii="Times New Roman"/>
          <w:b w:val="false"/>
          <w:i w:val="false"/>
          <w:color w:val="000000"/>
          <w:sz w:val="28"/>
        </w:rPr>
        <w:t>
      Компьютеризированные системы, осуществляющие электронный обмен данных с другими системами, включает соответствующие встроенные средства контроля правильного и безопасного ввода и обработки данных с целью минимизации рисков.</w:t>
      </w:r>
    </w:p>
    <w:bookmarkEnd w:id="5037"/>
    <w:bookmarkStart w:name="z5166" w:id="5038"/>
    <w:p>
      <w:pPr>
        <w:spacing w:after="0"/>
        <w:ind w:left="0"/>
        <w:jc w:val="both"/>
      </w:pPr>
      <w:r>
        <w:rPr>
          <w:rFonts w:ascii="Times New Roman"/>
          <w:b w:val="false"/>
          <w:i w:val="false"/>
          <w:color w:val="000000"/>
          <w:sz w:val="28"/>
        </w:rPr>
        <w:t>
      6. Контроль точности</w:t>
      </w:r>
    </w:p>
    <w:bookmarkEnd w:id="5038"/>
    <w:bookmarkStart w:name="z5167" w:id="5039"/>
    <w:p>
      <w:pPr>
        <w:spacing w:after="0"/>
        <w:ind w:left="0"/>
        <w:jc w:val="both"/>
      </w:pPr>
      <w:r>
        <w:rPr>
          <w:rFonts w:ascii="Times New Roman"/>
          <w:b w:val="false"/>
          <w:i w:val="false"/>
          <w:color w:val="000000"/>
          <w:sz w:val="28"/>
        </w:rPr>
        <w:t>
      Для критических данных, вводимых вручную, следует предусмотреть дополнительный контроль точности ввода данных. Этот контроль может осуществляться вторым оператором или с помощью валидированных электронных средств. Критичность и потенциальные последствия ошибочного или неправильного ввода данных в систему охватывает системой управления рисками.</w:t>
      </w:r>
    </w:p>
    <w:bookmarkEnd w:id="5039"/>
    <w:bookmarkStart w:name="z5168" w:id="5040"/>
    <w:p>
      <w:pPr>
        <w:spacing w:after="0"/>
        <w:ind w:left="0"/>
        <w:jc w:val="both"/>
      </w:pPr>
      <w:r>
        <w:rPr>
          <w:rFonts w:ascii="Times New Roman"/>
          <w:b w:val="false"/>
          <w:i w:val="false"/>
          <w:color w:val="000000"/>
          <w:sz w:val="28"/>
        </w:rPr>
        <w:t>
      7. Хранение данных</w:t>
      </w:r>
    </w:p>
    <w:bookmarkEnd w:id="5040"/>
    <w:bookmarkStart w:name="z5169" w:id="5041"/>
    <w:p>
      <w:pPr>
        <w:spacing w:after="0"/>
        <w:ind w:left="0"/>
        <w:jc w:val="both"/>
      </w:pPr>
      <w:r>
        <w:rPr>
          <w:rFonts w:ascii="Times New Roman"/>
          <w:b w:val="false"/>
          <w:i w:val="false"/>
          <w:color w:val="000000"/>
          <w:sz w:val="28"/>
        </w:rPr>
        <w:t>
      7.1. Данные защищены от повреждений как физическими, так и электронными мерами. Сохраненные данные проверяются на доступность, читаемость и точность. Доступ к данным обеспечен на протяжении всего периода их хранения.</w:t>
      </w:r>
    </w:p>
    <w:bookmarkEnd w:id="5041"/>
    <w:bookmarkStart w:name="z5170" w:id="5042"/>
    <w:p>
      <w:pPr>
        <w:spacing w:after="0"/>
        <w:ind w:left="0"/>
        <w:jc w:val="both"/>
      </w:pPr>
      <w:r>
        <w:rPr>
          <w:rFonts w:ascii="Times New Roman"/>
          <w:b w:val="false"/>
          <w:i w:val="false"/>
          <w:color w:val="000000"/>
          <w:sz w:val="28"/>
        </w:rPr>
        <w:t>
      7.2. Выполняется регулярное резервное копирование всех необходимых данных. Сохранность и точность резервных копий, а также возможность восстановления данных проверены в процессе валидации и периодически контролируются.</w:t>
      </w:r>
    </w:p>
    <w:bookmarkEnd w:id="5042"/>
    <w:bookmarkStart w:name="z5171" w:id="5043"/>
    <w:p>
      <w:pPr>
        <w:spacing w:after="0"/>
        <w:ind w:left="0"/>
        <w:jc w:val="both"/>
      </w:pPr>
      <w:r>
        <w:rPr>
          <w:rFonts w:ascii="Times New Roman"/>
          <w:b w:val="false"/>
          <w:i w:val="false"/>
          <w:color w:val="000000"/>
          <w:sz w:val="28"/>
        </w:rPr>
        <w:t>
      8. Распечатки</w:t>
      </w:r>
    </w:p>
    <w:bookmarkEnd w:id="5043"/>
    <w:bookmarkStart w:name="z5172" w:id="5044"/>
    <w:p>
      <w:pPr>
        <w:spacing w:after="0"/>
        <w:ind w:left="0"/>
        <w:jc w:val="both"/>
      </w:pPr>
      <w:r>
        <w:rPr>
          <w:rFonts w:ascii="Times New Roman"/>
          <w:b w:val="false"/>
          <w:i w:val="false"/>
          <w:color w:val="000000"/>
          <w:sz w:val="28"/>
        </w:rPr>
        <w:t>
      8.1. Необходимо иметь возможность получения четких печатных копий данных, хранящихся в электронном виде.</w:t>
      </w:r>
    </w:p>
    <w:bookmarkEnd w:id="5044"/>
    <w:bookmarkStart w:name="z5173" w:id="5045"/>
    <w:p>
      <w:pPr>
        <w:spacing w:after="0"/>
        <w:ind w:left="0"/>
        <w:jc w:val="both"/>
      </w:pPr>
      <w:r>
        <w:rPr>
          <w:rFonts w:ascii="Times New Roman"/>
          <w:b w:val="false"/>
          <w:i w:val="false"/>
          <w:color w:val="000000"/>
          <w:sz w:val="28"/>
        </w:rPr>
        <w:t>
      8.2. Для записей, сопровождающих разрешение на выпуск серии, предусмотрена возможность получения распечаток, указывающих, изменялись ли какие-либо данные с момента их первоначального ввода.</w:t>
      </w:r>
    </w:p>
    <w:bookmarkEnd w:id="5045"/>
    <w:bookmarkStart w:name="z5174" w:id="5046"/>
    <w:p>
      <w:pPr>
        <w:spacing w:after="0"/>
        <w:ind w:left="0"/>
        <w:jc w:val="both"/>
      </w:pPr>
      <w:r>
        <w:rPr>
          <w:rFonts w:ascii="Times New Roman"/>
          <w:b w:val="false"/>
          <w:i w:val="false"/>
          <w:color w:val="000000"/>
          <w:sz w:val="28"/>
        </w:rPr>
        <w:t>
      9. Контрольные следы</w:t>
      </w:r>
    </w:p>
    <w:bookmarkEnd w:id="5046"/>
    <w:bookmarkStart w:name="z5175" w:id="5047"/>
    <w:p>
      <w:pPr>
        <w:spacing w:after="0"/>
        <w:ind w:left="0"/>
        <w:jc w:val="both"/>
      </w:pPr>
      <w:r>
        <w:rPr>
          <w:rFonts w:ascii="Times New Roman"/>
          <w:b w:val="false"/>
          <w:i w:val="false"/>
          <w:color w:val="000000"/>
          <w:sz w:val="28"/>
        </w:rPr>
        <w:t>
      На основе оценки рисков уделяется внимание встраиванию в систему возможности создания записей всех существенных изменений и удалений, связанных с областью действия Стандарта (система, создающая "контрольные следы"). Причины таких связанных с Правилами изменений или удалений данных оформляются документально. Контрольные следы доступные, имеют возможность их преобразования в понятную для пользователей форму, регулярно проверяется.</w:t>
      </w:r>
    </w:p>
    <w:bookmarkEnd w:id="5047"/>
    <w:bookmarkStart w:name="z5176" w:id="5048"/>
    <w:p>
      <w:pPr>
        <w:spacing w:after="0"/>
        <w:ind w:left="0"/>
        <w:jc w:val="both"/>
      </w:pPr>
      <w:r>
        <w:rPr>
          <w:rFonts w:ascii="Times New Roman"/>
          <w:b w:val="false"/>
          <w:i w:val="false"/>
          <w:color w:val="000000"/>
          <w:sz w:val="28"/>
        </w:rPr>
        <w:t>
      10. Управление изменениями и конфигурацией</w:t>
      </w:r>
    </w:p>
    <w:bookmarkEnd w:id="5048"/>
    <w:bookmarkStart w:name="z5177" w:id="5049"/>
    <w:p>
      <w:pPr>
        <w:spacing w:after="0"/>
        <w:ind w:left="0"/>
        <w:jc w:val="both"/>
      </w:pPr>
      <w:r>
        <w:rPr>
          <w:rFonts w:ascii="Times New Roman"/>
          <w:b w:val="false"/>
          <w:i w:val="false"/>
          <w:color w:val="000000"/>
          <w:sz w:val="28"/>
        </w:rPr>
        <w:t>
      Любые изменения в компьютеризированной системе, включая конфигурацию системы, проводятся только контролируемым способом в соответствии с установленной процедурой.</w:t>
      </w:r>
    </w:p>
    <w:bookmarkEnd w:id="5049"/>
    <w:bookmarkStart w:name="z5178" w:id="5050"/>
    <w:p>
      <w:pPr>
        <w:spacing w:after="0"/>
        <w:ind w:left="0"/>
        <w:jc w:val="both"/>
      </w:pPr>
      <w:r>
        <w:rPr>
          <w:rFonts w:ascii="Times New Roman"/>
          <w:b w:val="false"/>
          <w:i w:val="false"/>
          <w:color w:val="000000"/>
          <w:sz w:val="28"/>
        </w:rPr>
        <w:t>
      11. Периодическая оценка</w:t>
      </w:r>
    </w:p>
    <w:bookmarkEnd w:id="5050"/>
    <w:bookmarkStart w:name="z5179" w:id="5051"/>
    <w:p>
      <w:pPr>
        <w:spacing w:after="0"/>
        <w:ind w:left="0"/>
        <w:jc w:val="both"/>
      </w:pPr>
      <w:r>
        <w:rPr>
          <w:rFonts w:ascii="Times New Roman"/>
          <w:b w:val="false"/>
          <w:i w:val="false"/>
          <w:color w:val="000000"/>
          <w:sz w:val="28"/>
        </w:rPr>
        <w:t>
      Компьютеризированные системы периодически оцениваются для подтверждения того, что они остаются в валидированном состоянии и соответствуют требованиям Стандарта. Такие оценки включают, в случае необходимости, оценку текущего диапазона функциональных возможностей, записей отклонений, сбоев, проблем, истории обновлении (upgrades), отчеты об эксплуатации, надежности, защищенности и о валидационном статусе.</w:t>
      </w:r>
    </w:p>
    <w:bookmarkEnd w:id="5051"/>
    <w:bookmarkStart w:name="z5180" w:id="5052"/>
    <w:p>
      <w:pPr>
        <w:spacing w:after="0"/>
        <w:ind w:left="0"/>
        <w:jc w:val="both"/>
      </w:pPr>
      <w:r>
        <w:rPr>
          <w:rFonts w:ascii="Times New Roman"/>
          <w:b w:val="false"/>
          <w:i w:val="false"/>
          <w:color w:val="000000"/>
          <w:sz w:val="28"/>
        </w:rPr>
        <w:t>
      12. Защита</w:t>
      </w:r>
    </w:p>
    <w:bookmarkEnd w:id="5052"/>
    <w:bookmarkStart w:name="z5181" w:id="5053"/>
    <w:p>
      <w:pPr>
        <w:spacing w:after="0"/>
        <w:ind w:left="0"/>
        <w:jc w:val="both"/>
      </w:pPr>
      <w:r>
        <w:rPr>
          <w:rFonts w:ascii="Times New Roman"/>
          <w:b w:val="false"/>
          <w:i w:val="false"/>
          <w:color w:val="000000"/>
          <w:sz w:val="28"/>
        </w:rPr>
        <w:t>
      12.1. Имеются в наличии физические и (или) логические элементы контроля для обеспечения доступа к компьютеризированной системе только уполномоченным на то лицам. Соответствующие способы предотвращения несанкционированного доступа к системе могут включать в себя использование ключей, карточек доступа, персональных кодов с паролями, биометрических данных, ограничения доступа к компьютерному оборудованию и зонам хранения данных.</w:t>
      </w:r>
    </w:p>
    <w:bookmarkEnd w:id="5053"/>
    <w:bookmarkStart w:name="z5182" w:id="5054"/>
    <w:p>
      <w:pPr>
        <w:spacing w:after="0"/>
        <w:ind w:left="0"/>
        <w:jc w:val="both"/>
      </w:pPr>
      <w:r>
        <w:rPr>
          <w:rFonts w:ascii="Times New Roman"/>
          <w:b w:val="false"/>
          <w:i w:val="false"/>
          <w:color w:val="000000"/>
          <w:sz w:val="28"/>
        </w:rPr>
        <w:t>
      12.2. Степень защиты зависит от критичности компьютеризированной системы.</w:t>
      </w:r>
    </w:p>
    <w:bookmarkEnd w:id="5054"/>
    <w:bookmarkStart w:name="z5183" w:id="5055"/>
    <w:p>
      <w:pPr>
        <w:spacing w:after="0"/>
        <w:ind w:left="0"/>
        <w:jc w:val="both"/>
      </w:pPr>
      <w:r>
        <w:rPr>
          <w:rFonts w:ascii="Times New Roman"/>
          <w:b w:val="false"/>
          <w:i w:val="false"/>
          <w:color w:val="000000"/>
          <w:sz w:val="28"/>
        </w:rPr>
        <w:t>
      12.3. Создание, изменение и аннулирование прав доступа зарегистрировано.</w:t>
      </w:r>
    </w:p>
    <w:bookmarkEnd w:id="5055"/>
    <w:bookmarkStart w:name="z5184" w:id="5056"/>
    <w:p>
      <w:pPr>
        <w:spacing w:after="0"/>
        <w:ind w:left="0"/>
        <w:jc w:val="both"/>
      </w:pPr>
      <w:r>
        <w:rPr>
          <w:rFonts w:ascii="Times New Roman"/>
          <w:b w:val="false"/>
          <w:i w:val="false"/>
          <w:color w:val="000000"/>
          <w:sz w:val="28"/>
        </w:rPr>
        <w:t>
      12.4. Разработана система управления данными и документами для идентификации операторов, осуществляющих вход, а также для регистрации изменения, подтверждения или удаления данных, включая дату и время.</w:t>
      </w:r>
    </w:p>
    <w:bookmarkEnd w:id="5056"/>
    <w:bookmarkStart w:name="z5185" w:id="5057"/>
    <w:p>
      <w:pPr>
        <w:spacing w:after="0"/>
        <w:ind w:left="0"/>
        <w:jc w:val="both"/>
      </w:pPr>
      <w:r>
        <w:rPr>
          <w:rFonts w:ascii="Times New Roman"/>
          <w:b w:val="false"/>
          <w:i w:val="false"/>
          <w:color w:val="000000"/>
          <w:sz w:val="28"/>
        </w:rPr>
        <w:t>
      13. Управление инцидентами</w:t>
      </w:r>
    </w:p>
    <w:bookmarkEnd w:id="5057"/>
    <w:bookmarkStart w:name="z5186" w:id="5058"/>
    <w:p>
      <w:pPr>
        <w:spacing w:after="0"/>
        <w:ind w:left="0"/>
        <w:jc w:val="both"/>
      </w:pPr>
      <w:r>
        <w:rPr>
          <w:rFonts w:ascii="Times New Roman"/>
          <w:b w:val="false"/>
          <w:i w:val="false"/>
          <w:color w:val="000000"/>
          <w:sz w:val="28"/>
        </w:rPr>
        <w:t>
      Все инциденты (непредвиденные случаи), включая системные сбои и ошибки данных, записаны и оценены. Установлена основная причина критических сбоев и используется информация в качестве основы корректирующих и предупреждающих действий.</w:t>
      </w:r>
    </w:p>
    <w:bookmarkEnd w:id="5058"/>
    <w:bookmarkStart w:name="z5187" w:id="5059"/>
    <w:p>
      <w:pPr>
        <w:spacing w:after="0"/>
        <w:ind w:left="0"/>
        <w:jc w:val="both"/>
      </w:pPr>
      <w:r>
        <w:rPr>
          <w:rFonts w:ascii="Times New Roman"/>
          <w:b w:val="false"/>
          <w:i w:val="false"/>
          <w:color w:val="000000"/>
          <w:sz w:val="28"/>
        </w:rPr>
        <w:t>
      14. Электронная подпись</w:t>
      </w:r>
    </w:p>
    <w:bookmarkEnd w:id="5059"/>
    <w:bookmarkStart w:name="z5188" w:id="5060"/>
    <w:p>
      <w:pPr>
        <w:spacing w:after="0"/>
        <w:ind w:left="0"/>
        <w:jc w:val="both"/>
      </w:pPr>
      <w:r>
        <w:rPr>
          <w:rFonts w:ascii="Times New Roman"/>
          <w:b w:val="false"/>
          <w:i w:val="false"/>
          <w:color w:val="000000"/>
          <w:sz w:val="28"/>
        </w:rPr>
        <w:t>
      Электронные записи подписаны в электронном виде.</w:t>
      </w:r>
    </w:p>
    <w:bookmarkEnd w:id="5060"/>
    <w:bookmarkStart w:name="z5189" w:id="5061"/>
    <w:p>
      <w:pPr>
        <w:spacing w:after="0"/>
        <w:ind w:left="0"/>
        <w:jc w:val="both"/>
      </w:pPr>
      <w:r>
        <w:rPr>
          <w:rFonts w:ascii="Times New Roman"/>
          <w:b w:val="false"/>
          <w:i w:val="false"/>
          <w:color w:val="000000"/>
          <w:sz w:val="28"/>
        </w:rPr>
        <w:t>
      Электронные подписи:</w:t>
      </w:r>
    </w:p>
    <w:bookmarkEnd w:id="5061"/>
    <w:bookmarkStart w:name="z5190" w:id="5062"/>
    <w:p>
      <w:pPr>
        <w:spacing w:after="0"/>
        <w:ind w:left="0"/>
        <w:jc w:val="both"/>
      </w:pPr>
      <w:r>
        <w:rPr>
          <w:rFonts w:ascii="Times New Roman"/>
          <w:b w:val="false"/>
          <w:i w:val="false"/>
          <w:color w:val="000000"/>
          <w:sz w:val="28"/>
        </w:rPr>
        <w:t>
      а) в рамках предприятия имеют такое же значение, как рукописные подписи;</w:t>
      </w:r>
    </w:p>
    <w:bookmarkEnd w:id="5062"/>
    <w:bookmarkStart w:name="z5191" w:id="5063"/>
    <w:p>
      <w:pPr>
        <w:spacing w:after="0"/>
        <w:ind w:left="0"/>
        <w:jc w:val="both"/>
      </w:pPr>
      <w:r>
        <w:rPr>
          <w:rFonts w:ascii="Times New Roman"/>
          <w:b w:val="false"/>
          <w:i w:val="false"/>
          <w:color w:val="000000"/>
          <w:sz w:val="28"/>
        </w:rPr>
        <w:t>
      b) неразрывно связанные с соответствующими записями;</w:t>
      </w:r>
    </w:p>
    <w:bookmarkEnd w:id="5063"/>
    <w:bookmarkStart w:name="z5192" w:id="5064"/>
    <w:p>
      <w:pPr>
        <w:spacing w:after="0"/>
        <w:ind w:left="0"/>
        <w:jc w:val="both"/>
      </w:pPr>
      <w:r>
        <w:rPr>
          <w:rFonts w:ascii="Times New Roman"/>
          <w:b w:val="false"/>
          <w:i w:val="false"/>
          <w:color w:val="000000"/>
          <w:sz w:val="28"/>
        </w:rPr>
        <w:t>
      c) включают время и дату, когда они были поставлены.</w:t>
      </w:r>
    </w:p>
    <w:bookmarkEnd w:id="5064"/>
    <w:bookmarkStart w:name="z5193" w:id="5065"/>
    <w:p>
      <w:pPr>
        <w:spacing w:after="0"/>
        <w:ind w:left="0"/>
        <w:jc w:val="both"/>
      </w:pPr>
      <w:r>
        <w:rPr>
          <w:rFonts w:ascii="Times New Roman"/>
          <w:b w:val="false"/>
          <w:i w:val="false"/>
          <w:color w:val="000000"/>
          <w:sz w:val="28"/>
        </w:rPr>
        <w:t>
      15. Выпуск серии</w:t>
      </w:r>
    </w:p>
    <w:bookmarkEnd w:id="5065"/>
    <w:bookmarkStart w:name="z5194" w:id="5066"/>
    <w:p>
      <w:pPr>
        <w:spacing w:after="0"/>
        <w:ind w:left="0"/>
        <w:jc w:val="both"/>
      </w:pPr>
      <w:r>
        <w:rPr>
          <w:rFonts w:ascii="Times New Roman"/>
          <w:b w:val="false"/>
          <w:i w:val="false"/>
          <w:color w:val="000000"/>
          <w:sz w:val="28"/>
        </w:rPr>
        <w:t>
      Если для регистрации процедуры одобрения и выпуска серии используется компьютеризированная система, она предоставляет доступ для выпуска серии только Уполномоченному лицу, а также четко идентифицирует и регистрирует сотрудника, который одобрил и выпустил серию в реализацию. Эти действия осуществляются с использованием электронной подписи.</w:t>
      </w:r>
    </w:p>
    <w:bookmarkEnd w:id="5066"/>
    <w:bookmarkStart w:name="z5195" w:id="5067"/>
    <w:p>
      <w:pPr>
        <w:spacing w:after="0"/>
        <w:ind w:left="0"/>
        <w:jc w:val="both"/>
      </w:pPr>
      <w:r>
        <w:rPr>
          <w:rFonts w:ascii="Times New Roman"/>
          <w:b w:val="false"/>
          <w:i w:val="false"/>
          <w:color w:val="000000"/>
          <w:sz w:val="28"/>
        </w:rPr>
        <w:t>
      16. Непрерывность работы</w:t>
      </w:r>
    </w:p>
    <w:bookmarkEnd w:id="5067"/>
    <w:bookmarkStart w:name="z5196" w:id="5068"/>
    <w:p>
      <w:pPr>
        <w:spacing w:after="0"/>
        <w:ind w:left="0"/>
        <w:jc w:val="both"/>
      </w:pPr>
      <w:r>
        <w:rPr>
          <w:rFonts w:ascii="Times New Roman"/>
          <w:b w:val="false"/>
          <w:i w:val="false"/>
          <w:color w:val="000000"/>
          <w:sz w:val="28"/>
        </w:rPr>
        <w:t>
      C целью обеспечения работоспособности компьютеризированных систем, сопровождающих критические процессы, следует принять меры предосторожности для гарантии непрерывности поддержки этих процессов в случае выхода системы из строя (например, с использованием ручной или альтернативной системы). Время, необходимое для введения в действие альтернативных средств, учитывают риски и соответствуют конкретной компьютеризированной системе и сопровождаемому рабочему процессу. Эти меры надлежащим образом оформляются документально и проверяются.</w:t>
      </w:r>
    </w:p>
    <w:bookmarkEnd w:id="5068"/>
    <w:bookmarkStart w:name="z5197" w:id="5069"/>
    <w:p>
      <w:pPr>
        <w:spacing w:after="0"/>
        <w:ind w:left="0"/>
        <w:jc w:val="both"/>
      </w:pPr>
      <w:r>
        <w:rPr>
          <w:rFonts w:ascii="Times New Roman"/>
          <w:b w:val="false"/>
          <w:i w:val="false"/>
          <w:color w:val="000000"/>
          <w:sz w:val="28"/>
        </w:rPr>
        <w:t>
      17. Архивирование</w:t>
      </w:r>
    </w:p>
    <w:bookmarkEnd w:id="5069"/>
    <w:bookmarkStart w:name="z5198" w:id="5070"/>
    <w:p>
      <w:pPr>
        <w:spacing w:after="0"/>
        <w:ind w:left="0"/>
        <w:jc w:val="both"/>
      </w:pPr>
      <w:r>
        <w:rPr>
          <w:rFonts w:ascii="Times New Roman"/>
          <w:b w:val="false"/>
          <w:i w:val="false"/>
          <w:color w:val="000000"/>
          <w:sz w:val="28"/>
        </w:rPr>
        <w:t>
      Данные могут архивироваться. Эти данные проверяются на доступность, удобство чтения и целостность. Если в компьютеризированной системе необходимо провести существенные изменения (например, компьютерного оборудования или программного обеспечения), обеспечивают и проверяют возможность восстановления данных.</w:t>
      </w:r>
    </w:p>
    <w:bookmarkEnd w:id="5070"/>
    <w:bookmarkStart w:name="z5199" w:id="5071"/>
    <w:p>
      <w:pPr>
        <w:spacing w:after="0"/>
        <w:ind w:left="0"/>
        <w:jc w:val="both"/>
      </w:pPr>
      <w:r>
        <w:rPr>
          <w:rFonts w:ascii="Times New Roman"/>
          <w:b w:val="false"/>
          <w:i w:val="false"/>
          <w:color w:val="000000"/>
          <w:sz w:val="28"/>
        </w:rPr>
        <w:t>
      Определения</w:t>
      </w:r>
    </w:p>
    <w:bookmarkEnd w:id="5071"/>
    <w:bookmarkStart w:name="z5200" w:id="5072"/>
    <w:p>
      <w:pPr>
        <w:spacing w:after="0"/>
        <w:ind w:left="0"/>
        <w:jc w:val="both"/>
      </w:pPr>
      <w:r>
        <w:rPr>
          <w:rFonts w:ascii="Times New Roman"/>
          <w:b w:val="false"/>
          <w:i w:val="false"/>
          <w:color w:val="000000"/>
          <w:sz w:val="28"/>
        </w:rPr>
        <w:t>
      "владелец процесса" (process owner) - лицо, ответственное за рабочий процесс;</w:t>
      </w:r>
    </w:p>
    <w:bookmarkEnd w:id="5072"/>
    <w:bookmarkStart w:name="z5201" w:id="5073"/>
    <w:p>
      <w:pPr>
        <w:spacing w:after="0"/>
        <w:ind w:left="0"/>
        <w:jc w:val="both"/>
      </w:pPr>
      <w:r>
        <w:rPr>
          <w:rFonts w:ascii="Times New Roman"/>
          <w:b w:val="false"/>
          <w:i w:val="false"/>
          <w:color w:val="000000"/>
          <w:sz w:val="28"/>
        </w:rPr>
        <w:t>
      "владелец системы" (system owner) - лицо, ответственное за работоспособность и обслуживание компьютеризированной системы, а также за защиту находящихся в ней данных;</w:t>
      </w:r>
    </w:p>
    <w:bookmarkEnd w:id="5073"/>
    <w:bookmarkStart w:name="z5202" w:id="5074"/>
    <w:p>
      <w:pPr>
        <w:spacing w:after="0"/>
        <w:ind w:left="0"/>
        <w:jc w:val="both"/>
      </w:pPr>
      <w:r>
        <w:rPr>
          <w:rFonts w:ascii="Times New Roman"/>
          <w:b w:val="false"/>
          <w:i w:val="false"/>
          <w:color w:val="000000"/>
          <w:sz w:val="28"/>
        </w:rPr>
        <w:t>
      "жизненный цикл" (lifecycle) - все стадии существования компьютеризированной системы от формирования первоначальных требований до прекращения эксплуатации, включая проектирование, определение технических требований, программирование, тестирование, установку, работу и обслуживание;</w:t>
      </w:r>
    </w:p>
    <w:bookmarkEnd w:id="5074"/>
    <w:bookmarkStart w:name="z5203" w:id="5075"/>
    <w:p>
      <w:pPr>
        <w:spacing w:after="0"/>
        <w:ind w:left="0"/>
        <w:jc w:val="both"/>
      </w:pPr>
      <w:r>
        <w:rPr>
          <w:rFonts w:ascii="Times New Roman"/>
          <w:b w:val="false"/>
          <w:i w:val="false"/>
          <w:color w:val="000000"/>
          <w:sz w:val="28"/>
        </w:rPr>
        <w:t>
      "информационно-технологическая инфраструктура" (IT-infrastructure) - компьютерное оборудование и программное обеспечение, такое как сетевое программное обеспечение и операционные системы, которые делают возможным функционирование приложений;</w:t>
      </w:r>
    </w:p>
    <w:bookmarkEnd w:id="5075"/>
    <w:bookmarkStart w:name="z5204" w:id="5076"/>
    <w:p>
      <w:pPr>
        <w:spacing w:after="0"/>
        <w:ind w:left="0"/>
        <w:jc w:val="both"/>
      </w:pPr>
      <w:r>
        <w:rPr>
          <w:rFonts w:ascii="Times New Roman"/>
          <w:b w:val="false"/>
          <w:i w:val="false"/>
          <w:color w:val="000000"/>
          <w:sz w:val="28"/>
        </w:rPr>
        <w:t>
      "компьютеризированная система, изготовленная по индивидуальному заказу" (Bespoke (Customized) computerized system) - индивидуально спроектированная компьютеризированная система для обеспечения конкретного рабочего процесса;</w:t>
      </w:r>
    </w:p>
    <w:bookmarkEnd w:id="5076"/>
    <w:bookmarkStart w:name="z5205" w:id="5077"/>
    <w:p>
      <w:pPr>
        <w:spacing w:after="0"/>
        <w:ind w:left="0"/>
        <w:jc w:val="both"/>
      </w:pPr>
      <w:r>
        <w:rPr>
          <w:rFonts w:ascii="Times New Roman"/>
          <w:b w:val="false"/>
          <w:i w:val="false"/>
          <w:color w:val="000000"/>
          <w:sz w:val="28"/>
        </w:rPr>
        <w:t>
      "приложение" (application) - программное обеспечение, установленное на определенной платформе (компьютерном оборудовании) и предоставляющее специальные функциональные возможности;</w:t>
      </w:r>
    </w:p>
    <w:bookmarkEnd w:id="5077"/>
    <w:bookmarkStart w:name="z5206" w:id="5078"/>
    <w:p>
      <w:pPr>
        <w:spacing w:after="0"/>
        <w:ind w:left="0"/>
        <w:jc w:val="both"/>
      </w:pPr>
      <w:r>
        <w:rPr>
          <w:rFonts w:ascii="Times New Roman"/>
          <w:b w:val="false"/>
          <w:i w:val="false"/>
          <w:color w:val="000000"/>
          <w:sz w:val="28"/>
        </w:rPr>
        <w:t>
      "серийное программное обеспечение" (commercial of the shelf software) - коммерчески доступное программное обеспечение, пригодность которого для использования продемонстрирована большим количеством пользователей;</w:t>
      </w:r>
    </w:p>
    <w:bookmarkEnd w:id="5078"/>
    <w:bookmarkStart w:name="z5207" w:id="5079"/>
    <w:p>
      <w:pPr>
        <w:spacing w:after="0"/>
        <w:ind w:left="0"/>
        <w:jc w:val="both"/>
      </w:pPr>
      <w:r>
        <w:rPr>
          <w:rFonts w:ascii="Times New Roman"/>
          <w:b w:val="false"/>
          <w:i w:val="false"/>
          <w:color w:val="000000"/>
          <w:sz w:val="28"/>
        </w:rPr>
        <w:t>
      "третья сторона" (third party) - стороны, которые не находятся в прямом подчинении держателя лицензии на производство лекарственных средств.</w:t>
      </w:r>
    </w:p>
    <w:bookmarkEnd w:id="5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209" w:id="5080"/>
    <w:p>
      <w:pPr>
        <w:spacing w:after="0"/>
        <w:ind w:left="0"/>
        <w:jc w:val="left"/>
      </w:pPr>
      <w:r>
        <w:rPr>
          <w:rFonts w:ascii="Times New Roman"/>
          <w:b/>
          <w:i w:val="false"/>
          <w:color w:val="000000"/>
        </w:rPr>
        <w:t xml:space="preserve"> Требования использованию ионизирующего излучения в производстве лекарственных препаратов</w:t>
      </w:r>
    </w:p>
    <w:bookmarkEnd w:id="5080"/>
    <w:bookmarkStart w:name="z5210" w:id="5081"/>
    <w:p>
      <w:pPr>
        <w:spacing w:after="0"/>
        <w:ind w:left="0"/>
        <w:jc w:val="both"/>
      </w:pPr>
      <w:r>
        <w:rPr>
          <w:rFonts w:ascii="Times New Roman"/>
          <w:b w:val="false"/>
          <w:i w:val="false"/>
          <w:color w:val="000000"/>
          <w:sz w:val="28"/>
        </w:rPr>
        <w:t>
      Производитель продукции, для которой ионизирующее облучение является составной частью технологического процесса, также руководствуется актами, регламентирующими использование ионизирующего излучения при производстве лекарственных средств.</w:t>
      </w:r>
    </w:p>
    <w:bookmarkEnd w:id="5081"/>
    <w:bookmarkStart w:name="z5211" w:id="5082"/>
    <w:p>
      <w:pPr>
        <w:spacing w:after="0"/>
        <w:ind w:left="0"/>
        <w:jc w:val="both"/>
      </w:pPr>
      <w:r>
        <w:rPr>
          <w:rFonts w:ascii="Times New Roman"/>
          <w:b w:val="false"/>
          <w:i w:val="false"/>
          <w:color w:val="000000"/>
          <w:sz w:val="28"/>
        </w:rPr>
        <w:t>
      Введение</w:t>
      </w:r>
    </w:p>
    <w:bookmarkEnd w:id="5082"/>
    <w:bookmarkStart w:name="z5212" w:id="5083"/>
    <w:p>
      <w:pPr>
        <w:spacing w:after="0"/>
        <w:ind w:left="0"/>
        <w:jc w:val="both"/>
      </w:pPr>
      <w:r>
        <w:rPr>
          <w:rFonts w:ascii="Times New Roman"/>
          <w:b w:val="false"/>
          <w:i w:val="false"/>
          <w:color w:val="000000"/>
          <w:sz w:val="28"/>
        </w:rPr>
        <w:t>
      Ионизирующее излучение используется в производственном процессе для различных целей, включая снижение степени бионагрузки и стерилизацию исходного сырья, компонентов упаковки или продукции, а также обработки препаратов крови.</w:t>
      </w:r>
    </w:p>
    <w:bookmarkEnd w:id="5083"/>
    <w:bookmarkStart w:name="z5213" w:id="5084"/>
    <w:p>
      <w:pPr>
        <w:spacing w:after="0"/>
        <w:ind w:left="0"/>
        <w:jc w:val="both"/>
      </w:pPr>
      <w:r>
        <w:rPr>
          <w:rFonts w:ascii="Times New Roman"/>
          <w:b w:val="false"/>
          <w:i w:val="false"/>
          <w:color w:val="000000"/>
          <w:sz w:val="28"/>
        </w:rPr>
        <w:t>
      Используется два вида ионизирующего излучения: гамма-излучение от радиоактивного источника и высокоэнергетическое электронное излучение (бета-излучение), полученное с помощью ускорителя.</w:t>
      </w:r>
    </w:p>
    <w:bookmarkEnd w:id="5084"/>
    <w:bookmarkStart w:name="z5214" w:id="5085"/>
    <w:p>
      <w:pPr>
        <w:spacing w:after="0"/>
        <w:ind w:left="0"/>
        <w:jc w:val="both"/>
      </w:pPr>
      <w:r>
        <w:rPr>
          <w:rFonts w:ascii="Times New Roman"/>
          <w:b w:val="false"/>
          <w:i w:val="false"/>
          <w:color w:val="000000"/>
          <w:sz w:val="28"/>
        </w:rPr>
        <w:t>
      При гамма-излучении используют два различных режима обработки:</w:t>
      </w:r>
    </w:p>
    <w:bookmarkEnd w:id="5085"/>
    <w:bookmarkStart w:name="z5215" w:id="5086"/>
    <w:p>
      <w:pPr>
        <w:spacing w:after="0"/>
        <w:ind w:left="0"/>
        <w:jc w:val="both"/>
      </w:pPr>
      <w:r>
        <w:rPr>
          <w:rFonts w:ascii="Times New Roman"/>
          <w:b w:val="false"/>
          <w:i w:val="false"/>
          <w:color w:val="000000"/>
          <w:sz w:val="28"/>
        </w:rPr>
        <w:t>
      порционный режим: продукция размещается в фиксированном положении вокруг источника излучения и не может быть загружена или выгружена, пока открыт источник ионизирующего излучения;</w:t>
      </w:r>
    </w:p>
    <w:bookmarkEnd w:id="5086"/>
    <w:bookmarkStart w:name="z5216" w:id="5087"/>
    <w:p>
      <w:pPr>
        <w:spacing w:after="0"/>
        <w:ind w:left="0"/>
        <w:jc w:val="both"/>
      </w:pPr>
      <w:r>
        <w:rPr>
          <w:rFonts w:ascii="Times New Roman"/>
          <w:b w:val="false"/>
          <w:i w:val="false"/>
          <w:color w:val="000000"/>
          <w:sz w:val="28"/>
        </w:rPr>
        <w:t>
      непрерывный режим: автоматизированная система транспортирует продукцию в камеру для облучения мимо открытого источника ионизирующего излучения, перемещает ее с соответствующей скоростью по заданному маршруту, а затем выводит из камеры.</w:t>
      </w:r>
    </w:p>
    <w:bookmarkEnd w:id="5087"/>
    <w:bookmarkStart w:name="z5217" w:id="5088"/>
    <w:p>
      <w:pPr>
        <w:spacing w:after="0"/>
        <w:ind w:left="0"/>
        <w:jc w:val="both"/>
      </w:pPr>
      <w:r>
        <w:rPr>
          <w:rFonts w:ascii="Times New Roman"/>
          <w:b w:val="false"/>
          <w:i w:val="false"/>
          <w:color w:val="000000"/>
          <w:sz w:val="28"/>
        </w:rPr>
        <w:t>
      Радиационные установки с ускорителями электронов: продукцию перемещают через непрерывный или пульсирующий пучок электронов высокой энергии (бета-излучение), развертку которого производят в обоих направлениях перпендикулярно к перемещению продукции.</w:t>
      </w:r>
    </w:p>
    <w:bookmarkEnd w:id="5088"/>
    <w:bookmarkStart w:name="z5218" w:id="5089"/>
    <w:p>
      <w:pPr>
        <w:spacing w:after="0"/>
        <w:ind w:left="0"/>
        <w:jc w:val="both"/>
      </w:pPr>
      <w:r>
        <w:rPr>
          <w:rFonts w:ascii="Times New Roman"/>
          <w:b w:val="false"/>
          <w:i w:val="false"/>
          <w:color w:val="000000"/>
          <w:sz w:val="28"/>
        </w:rPr>
        <w:t>
      Ответственность</w:t>
      </w:r>
    </w:p>
    <w:bookmarkEnd w:id="5089"/>
    <w:bookmarkStart w:name="z5219" w:id="5090"/>
    <w:p>
      <w:pPr>
        <w:spacing w:after="0"/>
        <w:ind w:left="0"/>
        <w:jc w:val="both"/>
      </w:pPr>
      <w:r>
        <w:rPr>
          <w:rFonts w:ascii="Times New Roman"/>
          <w:b w:val="false"/>
          <w:i w:val="false"/>
          <w:color w:val="000000"/>
          <w:sz w:val="28"/>
        </w:rPr>
        <w:t>
      1. Радиационная обработка может осуществляться непосредственно производителем лекарственных средств или по контракту с организацией, имеющей в распоряжении радиационную установку. При этом каждый из них имеет соответствующую лицензию на производство и (или) иные разрешения, предусмотренные законодательством.</w:t>
      </w:r>
    </w:p>
    <w:bookmarkEnd w:id="5090"/>
    <w:bookmarkStart w:name="z5220" w:id="5091"/>
    <w:p>
      <w:pPr>
        <w:spacing w:after="0"/>
        <w:ind w:left="0"/>
        <w:jc w:val="both"/>
      </w:pPr>
      <w:r>
        <w:rPr>
          <w:rFonts w:ascii="Times New Roman"/>
          <w:b w:val="false"/>
          <w:i w:val="false"/>
          <w:color w:val="000000"/>
          <w:sz w:val="28"/>
        </w:rPr>
        <w:t>
      2. Производитель лекарственных препаратов несет ответственность за качество продукции, в том числе за результаты воздействия ионизирующего излучения. Организация, проводящая радиационную обработку, несет ответственность за то, чтобы каждая упаковка получила дозу, определенную производителем (в том числе упаковка с продукцией, самая удаленная от источника излучения).</w:t>
      </w:r>
    </w:p>
    <w:bookmarkEnd w:id="5091"/>
    <w:bookmarkStart w:name="z5221" w:id="5092"/>
    <w:p>
      <w:pPr>
        <w:spacing w:after="0"/>
        <w:ind w:left="0"/>
        <w:jc w:val="both"/>
      </w:pPr>
      <w:r>
        <w:rPr>
          <w:rFonts w:ascii="Times New Roman"/>
          <w:b w:val="false"/>
          <w:i w:val="false"/>
          <w:color w:val="000000"/>
          <w:sz w:val="28"/>
        </w:rPr>
        <w:t>
      3. Требуемая доза с обоснованными предельными значениями указана в регистрационном досье на лекарственный препарат.</w:t>
      </w:r>
    </w:p>
    <w:bookmarkEnd w:id="5092"/>
    <w:bookmarkStart w:name="z5222" w:id="5093"/>
    <w:p>
      <w:pPr>
        <w:spacing w:after="0"/>
        <w:ind w:left="0"/>
        <w:jc w:val="both"/>
      </w:pPr>
      <w:r>
        <w:rPr>
          <w:rFonts w:ascii="Times New Roman"/>
          <w:b w:val="false"/>
          <w:i w:val="false"/>
          <w:color w:val="000000"/>
          <w:sz w:val="28"/>
        </w:rPr>
        <w:t>
      Дозиметрия</w:t>
      </w:r>
    </w:p>
    <w:bookmarkEnd w:id="5093"/>
    <w:bookmarkStart w:name="z5223" w:id="5094"/>
    <w:p>
      <w:pPr>
        <w:spacing w:after="0"/>
        <w:ind w:left="0"/>
        <w:jc w:val="both"/>
      </w:pPr>
      <w:r>
        <w:rPr>
          <w:rFonts w:ascii="Times New Roman"/>
          <w:b w:val="false"/>
          <w:i w:val="false"/>
          <w:color w:val="000000"/>
          <w:sz w:val="28"/>
        </w:rPr>
        <w:t>
      4. Дозиметрия - это измерение поглощенной дозы ионизирующего излучения с помощью дозиметров. Понимание принципов работы и правильное использование техники имеют важное значение для валидации, ввода установки в эксплуатацию и контроля процесса.</w:t>
      </w:r>
    </w:p>
    <w:bookmarkEnd w:id="5094"/>
    <w:bookmarkStart w:name="z5224" w:id="5095"/>
    <w:p>
      <w:pPr>
        <w:spacing w:after="0"/>
        <w:ind w:left="0"/>
        <w:jc w:val="both"/>
      </w:pPr>
      <w:r>
        <w:rPr>
          <w:rFonts w:ascii="Times New Roman"/>
          <w:b w:val="false"/>
          <w:i w:val="false"/>
          <w:color w:val="000000"/>
          <w:sz w:val="28"/>
        </w:rPr>
        <w:t>
      5. Калибровка каждой партии рабочих дозиметров прослеживаемой вплоть до национального или международного эталонов. Срок действия калибровки установлен, обоснован и строго выдержан.</w:t>
      </w:r>
    </w:p>
    <w:bookmarkEnd w:id="5095"/>
    <w:bookmarkStart w:name="z5225" w:id="5096"/>
    <w:p>
      <w:pPr>
        <w:spacing w:after="0"/>
        <w:ind w:left="0"/>
        <w:jc w:val="both"/>
      </w:pPr>
      <w:r>
        <w:rPr>
          <w:rFonts w:ascii="Times New Roman"/>
          <w:b w:val="false"/>
          <w:i w:val="false"/>
          <w:color w:val="000000"/>
          <w:sz w:val="28"/>
        </w:rPr>
        <w:t>
      6. Для определения изменения показаний штатных дозиметров после облучения и при их калибровке, как правило, используется один и тот же прибор. При использовании разных приборов они калиброваны в абсолютных единицах поглощения.</w:t>
      </w:r>
    </w:p>
    <w:bookmarkEnd w:id="5096"/>
    <w:bookmarkStart w:name="z5226" w:id="5097"/>
    <w:p>
      <w:pPr>
        <w:spacing w:after="0"/>
        <w:ind w:left="0"/>
        <w:jc w:val="both"/>
      </w:pPr>
      <w:r>
        <w:rPr>
          <w:rFonts w:ascii="Times New Roman"/>
          <w:b w:val="false"/>
          <w:i w:val="false"/>
          <w:color w:val="000000"/>
          <w:sz w:val="28"/>
        </w:rPr>
        <w:t>
      7. В зависимости от типа используемых дозиметров необходимо учитывать возможные источники погрешностей, включая влажность, изменения температуры, период времени между облучением и измерением, а также мощность поглощенной дозы.</w:t>
      </w:r>
    </w:p>
    <w:bookmarkEnd w:id="5097"/>
    <w:bookmarkStart w:name="z5227" w:id="5098"/>
    <w:p>
      <w:pPr>
        <w:spacing w:after="0"/>
        <w:ind w:left="0"/>
        <w:jc w:val="both"/>
      </w:pPr>
      <w:r>
        <w:rPr>
          <w:rFonts w:ascii="Times New Roman"/>
          <w:b w:val="false"/>
          <w:i w:val="false"/>
          <w:color w:val="000000"/>
          <w:sz w:val="28"/>
        </w:rPr>
        <w:t>
      8. Длину волны прибора, используемого для измерения изменений поглощении дозиметров, и прибор, используемый для измерения плотности потока, регулярно проверяют путем калибровки через определенные временные интервалы, установленные на основании стабильности, назначения и способа применения прибора.</w:t>
      </w:r>
    </w:p>
    <w:bookmarkEnd w:id="5098"/>
    <w:bookmarkStart w:name="z5228" w:id="5099"/>
    <w:p>
      <w:pPr>
        <w:spacing w:after="0"/>
        <w:ind w:left="0"/>
        <w:jc w:val="both"/>
      </w:pPr>
      <w:r>
        <w:rPr>
          <w:rFonts w:ascii="Times New Roman"/>
          <w:b w:val="false"/>
          <w:i w:val="false"/>
          <w:color w:val="000000"/>
          <w:sz w:val="28"/>
        </w:rPr>
        <w:t>
      Валидация процесса</w:t>
      </w:r>
    </w:p>
    <w:bookmarkEnd w:id="5099"/>
    <w:bookmarkStart w:name="z5229" w:id="5100"/>
    <w:p>
      <w:pPr>
        <w:spacing w:after="0"/>
        <w:ind w:left="0"/>
        <w:jc w:val="both"/>
      </w:pPr>
      <w:r>
        <w:rPr>
          <w:rFonts w:ascii="Times New Roman"/>
          <w:b w:val="false"/>
          <w:i w:val="false"/>
          <w:color w:val="000000"/>
          <w:sz w:val="28"/>
        </w:rPr>
        <w:t>
      9. Валидация - это действие, доказывающее, что процесс, то есть получение продукцией заданной поглощенной дозы, достигает ожидаемых результатов. Более полно требования к валидации приведены в актах по использованию ионизирующего излучения в производстве лекарственных средств.</w:t>
      </w:r>
    </w:p>
    <w:bookmarkEnd w:id="5100"/>
    <w:bookmarkStart w:name="z5230" w:id="5101"/>
    <w:p>
      <w:pPr>
        <w:spacing w:after="0"/>
        <w:ind w:left="0"/>
        <w:jc w:val="both"/>
      </w:pPr>
      <w:r>
        <w:rPr>
          <w:rFonts w:ascii="Times New Roman"/>
          <w:b w:val="false"/>
          <w:i w:val="false"/>
          <w:color w:val="000000"/>
          <w:sz w:val="28"/>
        </w:rPr>
        <w:t>
      10. Валидация включает в себя составление карты дозного поля, чтобы установить распределение поглощенной дозы внутри облучаемого контейнера с продукцией при определенной схеме размещения продукции в нем.</w:t>
      </w:r>
    </w:p>
    <w:bookmarkEnd w:id="5101"/>
    <w:bookmarkStart w:name="z5231" w:id="5102"/>
    <w:p>
      <w:pPr>
        <w:spacing w:after="0"/>
        <w:ind w:left="0"/>
        <w:jc w:val="both"/>
      </w:pPr>
      <w:r>
        <w:rPr>
          <w:rFonts w:ascii="Times New Roman"/>
          <w:b w:val="false"/>
          <w:i w:val="false"/>
          <w:color w:val="000000"/>
          <w:sz w:val="28"/>
        </w:rPr>
        <w:t>
      11. Технические требования к процессу облучения, как минимум, включают в себя:</w:t>
      </w:r>
    </w:p>
    <w:bookmarkEnd w:id="5102"/>
    <w:bookmarkStart w:name="z5232" w:id="5103"/>
    <w:p>
      <w:pPr>
        <w:spacing w:after="0"/>
        <w:ind w:left="0"/>
        <w:jc w:val="both"/>
      </w:pPr>
      <w:r>
        <w:rPr>
          <w:rFonts w:ascii="Times New Roman"/>
          <w:b w:val="false"/>
          <w:i w:val="false"/>
          <w:color w:val="000000"/>
          <w:sz w:val="28"/>
        </w:rPr>
        <w:t>
      a) подробные сведения об упаковке продукции;</w:t>
      </w:r>
    </w:p>
    <w:bookmarkEnd w:id="5103"/>
    <w:bookmarkStart w:name="z5233" w:id="5104"/>
    <w:p>
      <w:pPr>
        <w:spacing w:after="0"/>
        <w:ind w:left="0"/>
        <w:jc w:val="both"/>
      </w:pPr>
      <w:r>
        <w:rPr>
          <w:rFonts w:ascii="Times New Roman"/>
          <w:b w:val="false"/>
          <w:i w:val="false"/>
          <w:color w:val="000000"/>
          <w:sz w:val="28"/>
        </w:rPr>
        <w:t>
      b) схему(ы) укладки продукции внутри контейнера для облучения. Если в облучаемом контейнере находятся различные виды продукции, особое внимание необходимо уделять тому, чтобы плотная продукция получила полную дозу и не экранировала другую продукцию. Каждый способ укладки в контейнер разных видов продукции описан в технической документации и проходит валидацию;</w:t>
      </w:r>
    </w:p>
    <w:bookmarkEnd w:id="5104"/>
    <w:bookmarkStart w:name="z5234" w:id="5105"/>
    <w:p>
      <w:pPr>
        <w:spacing w:after="0"/>
        <w:ind w:left="0"/>
        <w:jc w:val="both"/>
      </w:pPr>
      <w:r>
        <w:rPr>
          <w:rFonts w:ascii="Times New Roman"/>
          <w:b w:val="false"/>
          <w:i w:val="false"/>
          <w:color w:val="000000"/>
          <w:sz w:val="28"/>
        </w:rPr>
        <w:t>
      c) схему расположения контейнеров вокруг источника (порционный режим) или маршрут облучаемых объектов внутри камеры для облучения (непрерывный режим);</w:t>
      </w:r>
    </w:p>
    <w:bookmarkEnd w:id="5105"/>
    <w:bookmarkStart w:name="z5235" w:id="5106"/>
    <w:p>
      <w:pPr>
        <w:spacing w:after="0"/>
        <w:ind w:left="0"/>
        <w:jc w:val="both"/>
      </w:pPr>
      <w:r>
        <w:rPr>
          <w:rFonts w:ascii="Times New Roman"/>
          <w:b w:val="false"/>
          <w:i w:val="false"/>
          <w:color w:val="000000"/>
          <w:sz w:val="28"/>
        </w:rPr>
        <w:t>
      d) верхнее и нижнее предельно допустимые значения поглощенной дозы излучения для продукции (и соответствующие методы дозиметрии);</w:t>
      </w:r>
    </w:p>
    <w:bookmarkEnd w:id="5106"/>
    <w:bookmarkStart w:name="z5236" w:id="5107"/>
    <w:p>
      <w:pPr>
        <w:spacing w:after="0"/>
        <w:ind w:left="0"/>
        <w:jc w:val="both"/>
      </w:pPr>
      <w:r>
        <w:rPr>
          <w:rFonts w:ascii="Times New Roman"/>
          <w:b w:val="false"/>
          <w:i w:val="false"/>
          <w:color w:val="000000"/>
          <w:sz w:val="28"/>
        </w:rPr>
        <w:t>
      e) верхнее и нижнее предельные значения поглощенной дозы излучения для облучаемого контейнера и соответствующие методы дозиметрии для контроля этой поглощенной дозы;</w:t>
      </w:r>
    </w:p>
    <w:bookmarkEnd w:id="5107"/>
    <w:bookmarkStart w:name="z5237" w:id="5108"/>
    <w:p>
      <w:pPr>
        <w:spacing w:after="0"/>
        <w:ind w:left="0"/>
        <w:jc w:val="both"/>
      </w:pPr>
      <w:r>
        <w:rPr>
          <w:rFonts w:ascii="Times New Roman"/>
          <w:b w:val="false"/>
          <w:i w:val="false"/>
          <w:color w:val="000000"/>
          <w:sz w:val="28"/>
        </w:rPr>
        <w:t>
      f) другие параметры процесса, включая мощность поглощенной дозы, максимальное время экспозиции, число экспозиций, количество циклов облучения и пр.</w:t>
      </w:r>
    </w:p>
    <w:bookmarkEnd w:id="5108"/>
    <w:bookmarkStart w:name="z5238" w:id="5109"/>
    <w:p>
      <w:pPr>
        <w:spacing w:after="0"/>
        <w:ind w:left="0"/>
        <w:jc w:val="both"/>
      </w:pPr>
      <w:r>
        <w:rPr>
          <w:rFonts w:ascii="Times New Roman"/>
          <w:b w:val="false"/>
          <w:i w:val="false"/>
          <w:color w:val="000000"/>
          <w:sz w:val="28"/>
        </w:rPr>
        <w:t>
      Если облучение проводят по контракту, то в этом контракте описаны, по крайней мере, подпункты d) и e), регламентирующие технические требования к процессу облучения.</w:t>
      </w:r>
    </w:p>
    <w:bookmarkEnd w:id="5109"/>
    <w:bookmarkStart w:name="z5239" w:id="5110"/>
    <w:p>
      <w:pPr>
        <w:spacing w:after="0"/>
        <w:ind w:left="0"/>
        <w:jc w:val="both"/>
      </w:pPr>
      <w:r>
        <w:rPr>
          <w:rFonts w:ascii="Times New Roman"/>
          <w:b w:val="false"/>
          <w:i w:val="false"/>
          <w:color w:val="000000"/>
          <w:sz w:val="28"/>
        </w:rPr>
        <w:t>
      Ввод установки в эксплуатацию</w:t>
      </w:r>
    </w:p>
    <w:bookmarkEnd w:id="5110"/>
    <w:bookmarkStart w:name="z5240" w:id="5111"/>
    <w:p>
      <w:pPr>
        <w:spacing w:after="0"/>
        <w:ind w:left="0"/>
        <w:jc w:val="both"/>
      </w:pPr>
      <w:r>
        <w:rPr>
          <w:rFonts w:ascii="Times New Roman"/>
          <w:b w:val="false"/>
          <w:i w:val="false"/>
          <w:color w:val="000000"/>
          <w:sz w:val="28"/>
        </w:rPr>
        <w:t>
      Общие требования</w:t>
      </w:r>
    </w:p>
    <w:bookmarkEnd w:id="5111"/>
    <w:bookmarkStart w:name="z5241" w:id="5112"/>
    <w:p>
      <w:pPr>
        <w:spacing w:after="0"/>
        <w:ind w:left="0"/>
        <w:jc w:val="both"/>
      </w:pPr>
      <w:r>
        <w:rPr>
          <w:rFonts w:ascii="Times New Roman"/>
          <w:b w:val="false"/>
          <w:i w:val="false"/>
          <w:color w:val="000000"/>
          <w:sz w:val="28"/>
        </w:rPr>
        <w:t>
      12. Ввод в эксплуатацию - это экспериментально полученное и документально оформленное доказательство того, что радиационная установка при работе в соответствии с техническими требованиями к процессу постоянно будет работать в заранее установленных пределах. Согласно данному Приложению, заранее установленные пределы - это максимальное и минимальное допустимые значения дозы, предназначенной для поглощения облучаемым контейнером. Изменения в работе установки, которые могут привести к выходу значений поглощенной контейнером дозы за эти пределы, ни при каких условиях не происходят без ведома оператора.</w:t>
      </w:r>
    </w:p>
    <w:bookmarkEnd w:id="5112"/>
    <w:bookmarkStart w:name="z5242" w:id="5113"/>
    <w:p>
      <w:pPr>
        <w:spacing w:after="0"/>
        <w:ind w:left="0"/>
        <w:jc w:val="both"/>
      </w:pPr>
      <w:r>
        <w:rPr>
          <w:rFonts w:ascii="Times New Roman"/>
          <w:b w:val="false"/>
          <w:i w:val="false"/>
          <w:color w:val="000000"/>
          <w:sz w:val="28"/>
        </w:rPr>
        <w:t>
      13. Ввод в эксплуатацию включает в себя следующие элементы:</w:t>
      </w:r>
    </w:p>
    <w:bookmarkEnd w:id="5113"/>
    <w:bookmarkStart w:name="z5243" w:id="5114"/>
    <w:p>
      <w:pPr>
        <w:spacing w:after="0"/>
        <w:ind w:left="0"/>
        <w:jc w:val="both"/>
      </w:pPr>
      <w:r>
        <w:rPr>
          <w:rFonts w:ascii="Times New Roman"/>
          <w:b w:val="false"/>
          <w:i w:val="false"/>
          <w:color w:val="000000"/>
          <w:sz w:val="28"/>
        </w:rPr>
        <w:t>
      a) планирование;</w:t>
      </w:r>
    </w:p>
    <w:bookmarkEnd w:id="5114"/>
    <w:bookmarkStart w:name="z5244" w:id="5115"/>
    <w:p>
      <w:pPr>
        <w:spacing w:after="0"/>
        <w:ind w:left="0"/>
        <w:jc w:val="both"/>
      </w:pPr>
      <w:r>
        <w:rPr>
          <w:rFonts w:ascii="Times New Roman"/>
          <w:b w:val="false"/>
          <w:i w:val="false"/>
          <w:color w:val="000000"/>
          <w:sz w:val="28"/>
        </w:rPr>
        <w:t xml:space="preserve">
      b) составление карты дозного поля; </w:t>
      </w:r>
    </w:p>
    <w:bookmarkEnd w:id="5115"/>
    <w:bookmarkStart w:name="z5245" w:id="5116"/>
    <w:p>
      <w:pPr>
        <w:spacing w:after="0"/>
        <w:ind w:left="0"/>
        <w:jc w:val="both"/>
      </w:pPr>
      <w:r>
        <w:rPr>
          <w:rFonts w:ascii="Times New Roman"/>
          <w:b w:val="false"/>
          <w:i w:val="false"/>
          <w:color w:val="000000"/>
          <w:sz w:val="28"/>
        </w:rPr>
        <w:t>
      c) документальное оформление;</w:t>
      </w:r>
    </w:p>
    <w:bookmarkEnd w:id="5116"/>
    <w:bookmarkStart w:name="z5246" w:id="5117"/>
    <w:p>
      <w:pPr>
        <w:spacing w:after="0"/>
        <w:ind w:left="0"/>
        <w:jc w:val="both"/>
      </w:pPr>
      <w:r>
        <w:rPr>
          <w:rFonts w:ascii="Times New Roman"/>
          <w:b w:val="false"/>
          <w:i w:val="false"/>
          <w:color w:val="000000"/>
          <w:sz w:val="28"/>
        </w:rPr>
        <w:t>
      d) определение требований к повторному вводу установки в эксплуатацию.</w:t>
      </w:r>
    </w:p>
    <w:bookmarkEnd w:id="5117"/>
    <w:bookmarkStart w:name="z5247" w:id="5118"/>
    <w:p>
      <w:pPr>
        <w:spacing w:after="0"/>
        <w:ind w:left="0"/>
        <w:jc w:val="both"/>
      </w:pPr>
      <w:r>
        <w:rPr>
          <w:rFonts w:ascii="Times New Roman"/>
          <w:b w:val="false"/>
          <w:i w:val="false"/>
          <w:color w:val="000000"/>
          <w:sz w:val="28"/>
        </w:rPr>
        <w:t>
      Источники гамма-излучения</w:t>
      </w:r>
    </w:p>
    <w:bookmarkEnd w:id="5118"/>
    <w:bookmarkStart w:name="z5248" w:id="5119"/>
    <w:p>
      <w:pPr>
        <w:spacing w:after="0"/>
        <w:ind w:left="0"/>
        <w:jc w:val="both"/>
      </w:pPr>
      <w:r>
        <w:rPr>
          <w:rFonts w:ascii="Times New Roman"/>
          <w:b w:val="false"/>
          <w:i w:val="false"/>
          <w:color w:val="000000"/>
          <w:sz w:val="28"/>
        </w:rPr>
        <w:t>
      Конструкция</w:t>
      </w:r>
    </w:p>
    <w:bookmarkEnd w:id="5119"/>
    <w:bookmarkStart w:name="z5249" w:id="5120"/>
    <w:p>
      <w:pPr>
        <w:spacing w:after="0"/>
        <w:ind w:left="0"/>
        <w:jc w:val="both"/>
      </w:pPr>
      <w:r>
        <w:rPr>
          <w:rFonts w:ascii="Times New Roman"/>
          <w:b w:val="false"/>
          <w:i w:val="false"/>
          <w:color w:val="000000"/>
          <w:sz w:val="28"/>
        </w:rPr>
        <w:t>
      14. Поглощенная доза, полученная определенной частью облучаемого контейнера в любой определенной точке вокруг излучателя, зависит, в первую очередь, от следующих факторов:</w:t>
      </w:r>
    </w:p>
    <w:bookmarkEnd w:id="5120"/>
    <w:bookmarkStart w:name="z5250" w:id="5121"/>
    <w:p>
      <w:pPr>
        <w:spacing w:after="0"/>
        <w:ind w:left="0"/>
        <w:jc w:val="both"/>
      </w:pPr>
      <w:r>
        <w:rPr>
          <w:rFonts w:ascii="Times New Roman"/>
          <w:b w:val="false"/>
          <w:i w:val="false"/>
          <w:color w:val="000000"/>
          <w:sz w:val="28"/>
        </w:rPr>
        <w:t xml:space="preserve">
      a) активности и геометрии источника излучения; </w:t>
      </w:r>
    </w:p>
    <w:bookmarkEnd w:id="5121"/>
    <w:bookmarkStart w:name="z5251" w:id="5122"/>
    <w:p>
      <w:pPr>
        <w:spacing w:after="0"/>
        <w:ind w:left="0"/>
        <w:jc w:val="both"/>
      </w:pPr>
      <w:r>
        <w:rPr>
          <w:rFonts w:ascii="Times New Roman"/>
          <w:b w:val="false"/>
          <w:i w:val="false"/>
          <w:color w:val="000000"/>
          <w:sz w:val="28"/>
        </w:rPr>
        <w:t>
      b) расстояния от источника до контейнера;</w:t>
      </w:r>
    </w:p>
    <w:bookmarkEnd w:id="5122"/>
    <w:bookmarkStart w:name="z5252" w:id="5123"/>
    <w:p>
      <w:pPr>
        <w:spacing w:after="0"/>
        <w:ind w:left="0"/>
        <w:jc w:val="both"/>
      </w:pPr>
      <w:r>
        <w:rPr>
          <w:rFonts w:ascii="Times New Roman"/>
          <w:b w:val="false"/>
          <w:i w:val="false"/>
          <w:color w:val="000000"/>
          <w:sz w:val="28"/>
        </w:rPr>
        <w:t>
      c) продолжительности облучения, контролируемой таймером или скоростью движения конвейера;</w:t>
      </w:r>
    </w:p>
    <w:bookmarkEnd w:id="5123"/>
    <w:bookmarkStart w:name="z5253" w:id="5124"/>
    <w:p>
      <w:pPr>
        <w:spacing w:after="0"/>
        <w:ind w:left="0"/>
        <w:jc w:val="both"/>
      </w:pPr>
      <w:r>
        <w:rPr>
          <w:rFonts w:ascii="Times New Roman"/>
          <w:b w:val="false"/>
          <w:i w:val="false"/>
          <w:color w:val="000000"/>
          <w:sz w:val="28"/>
        </w:rPr>
        <w:t>
      d) состава и плотности материала, включая другую продукцию между источником и определенной частью контейнера.</w:t>
      </w:r>
    </w:p>
    <w:bookmarkEnd w:id="5124"/>
    <w:bookmarkStart w:name="z5254" w:id="5125"/>
    <w:p>
      <w:pPr>
        <w:spacing w:after="0"/>
        <w:ind w:left="0"/>
        <w:jc w:val="both"/>
      </w:pPr>
      <w:r>
        <w:rPr>
          <w:rFonts w:ascii="Times New Roman"/>
          <w:b w:val="false"/>
          <w:i w:val="false"/>
          <w:color w:val="000000"/>
          <w:sz w:val="28"/>
        </w:rPr>
        <w:t>
      15. Суммарная поглощенная доза зависит также от маршрута, по которому движутся контейнеры при непрерывном режиме облучения, или от схемы загрузки при порционном режиме облучения, а также от количества циклов облучения.</w:t>
      </w:r>
    </w:p>
    <w:bookmarkEnd w:id="5125"/>
    <w:bookmarkStart w:name="z5255" w:id="5126"/>
    <w:p>
      <w:pPr>
        <w:spacing w:after="0"/>
        <w:ind w:left="0"/>
        <w:jc w:val="both"/>
      </w:pPr>
      <w:r>
        <w:rPr>
          <w:rFonts w:ascii="Times New Roman"/>
          <w:b w:val="false"/>
          <w:i w:val="false"/>
          <w:color w:val="000000"/>
          <w:sz w:val="28"/>
        </w:rPr>
        <w:t>
      16. При фиксированном маршруте (при непрерывном облучении) или при фиксированной схеме загрузки (при порционном режиме облучения), а также при постоянной мощности источника и виде продукции основным параметром установки, контролируемым оператором, является скорость конвейера или время, установленное на таймере.</w:t>
      </w:r>
    </w:p>
    <w:bookmarkEnd w:id="5126"/>
    <w:bookmarkStart w:name="z5256" w:id="5127"/>
    <w:p>
      <w:pPr>
        <w:spacing w:after="0"/>
        <w:ind w:left="0"/>
        <w:jc w:val="both"/>
      </w:pPr>
      <w:r>
        <w:rPr>
          <w:rFonts w:ascii="Times New Roman"/>
          <w:b w:val="false"/>
          <w:i w:val="false"/>
          <w:color w:val="000000"/>
          <w:sz w:val="28"/>
        </w:rPr>
        <w:t>
      Составление карты дозного поля</w:t>
      </w:r>
    </w:p>
    <w:bookmarkEnd w:id="5127"/>
    <w:bookmarkStart w:name="z5257" w:id="5128"/>
    <w:p>
      <w:pPr>
        <w:spacing w:after="0"/>
        <w:ind w:left="0"/>
        <w:jc w:val="both"/>
      </w:pPr>
      <w:r>
        <w:rPr>
          <w:rFonts w:ascii="Times New Roman"/>
          <w:b w:val="false"/>
          <w:i w:val="false"/>
          <w:color w:val="000000"/>
          <w:sz w:val="28"/>
        </w:rPr>
        <w:t>
      17. При составлении карты дозного поля камера для облучения заполнена контейнерами с муляжами или представительными образцами продукции однородной плотности. Дозиметры расположены не менее чем в трех заполненных контейнерах, которые проходят через излучатель. Эти контейнеры окружены аналогичными контейнерами или муляжами продукции. Если продукция уложена неравномерно, дозиметры размещены в большем количестве контейнеров.</w:t>
      </w:r>
    </w:p>
    <w:bookmarkEnd w:id="5128"/>
    <w:bookmarkStart w:name="z5258" w:id="5129"/>
    <w:p>
      <w:pPr>
        <w:spacing w:after="0"/>
        <w:ind w:left="0"/>
        <w:jc w:val="both"/>
      </w:pPr>
      <w:r>
        <w:rPr>
          <w:rFonts w:ascii="Times New Roman"/>
          <w:b w:val="false"/>
          <w:i w:val="false"/>
          <w:color w:val="000000"/>
          <w:sz w:val="28"/>
        </w:rPr>
        <w:t>
      18. Расположение дозиметров зависит от размеров облучаемого контейнера. Например, для контейнеров размером 1×1×0,5 м, дозиметры могут располагаться в узлах трехмерной решетки с шагом 20 см с учетом внешней поверхности контейнера. Если предполагаемые зоны с максимальной и минимальной дозами известны из предыдущих опытов, то часть дозиметров может быть изъята из зон со средними значениями доз и помещена в зоны с экстремальными значениями дозы шагом 10 см.</w:t>
      </w:r>
    </w:p>
    <w:bookmarkEnd w:id="5129"/>
    <w:bookmarkStart w:name="z5259" w:id="5130"/>
    <w:p>
      <w:pPr>
        <w:spacing w:after="0"/>
        <w:ind w:left="0"/>
        <w:jc w:val="both"/>
      </w:pPr>
      <w:r>
        <w:rPr>
          <w:rFonts w:ascii="Times New Roman"/>
          <w:b w:val="false"/>
          <w:i w:val="false"/>
          <w:color w:val="000000"/>
          <w:sz w:val="28"/>
        </w:rPr>
        <w:t>
      19. В результате этой процедуры определены минимальная и максимальная дозы, поглощенные продукцией и поверхностью контейнера при заданных параметрах установки, плотности продукции и схеме загрузки.</w:t>
      </w:r>
    </w:p>
    <w:bookmarkEnd w:id="5130"/>
    <w:bookmarkStart w:name="z5260" w:id="5131"/>
    <w:p>
      <w:pPr>
        <w:spacing w:after="0"/>
        <w:ind w:left="0"/>
        <w:jc w:val="both"/>
      </w:pPr>
      <w:r>
        <w:rPr>
          <w:rFonts w:ascii="Times New Roman"/>
          <w:b w:val="false"/>
          <w:i w:val="false"/>
          <w:color w:val="000000"/>
          <w:sz w:val="28"/>
        </w:rPr>
        <w:t>
      20. В идеальном случае для определения карты дозного поля следует использовать эталонные дозиметры, поскольку они имеют большую точность. Также допустимо использование обычных дозиметров, но рекомендуется размещать рядом с ними эталонные дозиметры в местах, где предполагаются минимальная и максимальная дозы, и в обычно контролируемом месте в каждом модельном контейнере для облучения. Полученные значения поглощенной дозы будут иметь случайную погрешность, которая может быть определена путем многократных измерений.</w:t>
      </w:r>
    </w:p>
    <w:bookmarkEnd w:id="5131"/>
    <w:bookmarkStart w:name="z5261" w:id="5132"/>
    <w:p>
      <w:pPr>
        <w:spacing w:after="0"/>
        <w:ind w:left="0"/>
        <w:jc w:val="both"/>
      </w:pPr>
      <w:r>
        <w:rPr>
          <w:rFonts w:ascii="Times New Roman"/>
          <w:b w:val="false"/>
          <w:i w:val="false"/>
          <w:color w:val="000000"/>
          <w:sz w:val="28"/>
        </w:rPr>
        <w:t>
      21. Измеренная обычным дозиметром минимальная наблюдаемая доза, необходимая для гарантии того, что все облученные контейнеры получили минимальную требуемую дозу, установлена на основании знания случайной погрешности измерения штатных дозиметров.</w:t>
      </w:r>
    </w:p>
    <w:bookmarkEnd w:id="5132"/>
    <w:bookmarkStart w:name="z5262" w:id="5133"/>
    <w:p>
      <w:pPr>
        <w:spacing w:after="0"/>
        <w:ind w:left="0"/>
        <w:jc w:val="both"/>
      </w:pPr>
      <w:r>
        <w:rPr>
          <w:rFonts w:ascii="Times New Roman"/>
          <w:b w:val="false"/>
          <w:i w:val="false"/>
          <w:color w:val="000000"/>
          <w:sz w:val="28"/>
        </w:rPr>
        <w:t>
      22. Во время определения карты дозного поля параметры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следует сохранять.</w:t>
      </w:r>
    </w:p>
    <w:bookmarkEnd w:id="5133"/>
    <w:bookmarkStart w:name="z5263" w:id="5134"/>
    <w:p>
      <w:pPr>
        <w:spacing w:after="0"/>
        <w:ind w:left="0"/>
        <w:jc w:val="both"/>
      </w:pPr>
      <w:r>
        <w:rPr>
          <w:rFonts w:ascii="Times New Roman"/>
          <w:b w:val="false"/>
          <w:i w:val="false"/>
          <w:color w:val="000000"/>
          <w:sz w:val="28"/>
        </w:rPr>
        <w:t>
      Радиационные установки с ускорителями электронов</w:t>
      </w:r>
    </w:p>
    <w:bookmarkEnd w:id="5134"/>
    <w:bookmarkStart w:name="z5264" w:id="5135"/>
    <w:p>
      <w:pPr>
        <w:spacing w:after="0"/>
        <w:ind w:left="0"/>
        <w:jc w:val="both"/>
      </w:pPr>
      <w:r>
        <w:rPr>
          <w:rFonts w:ascii="Times New Roman"/>
          <w:b w:val="false"/>
          <w:i w:val="false"/>
          <w:color w:val="000000"/>
          <w:sz w:val="28"/>
        </w:rPr>
        <w:t>
      Конструкция</w:t>
      </w:r>
    </w:p>
    <w:bookmarkEnd w:id="5135"/>
    <w:bookmarkStart w:name="z5265" w:id="5136"/>
    <w:p>
      <w:pPr>
        <w:spacing w:after="0"/>
        <w:ind w:left="0"/>
        <w:jc w:val="both"/>
      </w:pPr>
      <w:r>
        <w:rPr>
          <w:rFonts w:ascii="Times New Roman"/>
          <w:b w:val="false"/>
          <w:i w:val="false"/>
          <w:color w:val="000000"/>
          <w:sz w:val="28"/>
        </w:rPr>
        <w:t>
      23. Поглощенная доза ионизирующего излучения в продукции зависит, в первую очередь, от следующих основных факторов:</w:t>
      </w:r>
    </w:p>
    <w:bookmarkEnd w:id="5136"/>
    <w:bookmarkStart w:name="z5266" w:id="5137"/>
    <w:p>
      <w:pPr>
        <w:spacing w:after="0"/>
        <w:ind w:left="0"/>
        <w:jc w:val="both"/>
      </w:pPr>
      <w:r>
        <w:rPr>
          <w:rFonts w:ascii="Times New Roman"/>
          <w:b w:val="false"/>
          <w:i w:val="false"/>
          <w:color w:val="000000"/>
          <w:sz w:val="28"/>
        </w:rPr>
        <w:t>
      a) характеристики пучка, а именно: энергии электронов, среднего потока пучка, ширины развертки и равномерности пучка по ширине развертки;</w:t>
      </w:r>
    </w:p>
    <w:bookmarkEnd w:id="5137"/>
    <w:bookmarkStart w:name="z5267" w:id="5138"/>
    <w:p>
      <w:pPr>
        <w:spacing w:after="0"/>
        <w:ind w:left="0"/>
        <w:jc w:val="both"/>
      </w:pPr>
      <w:r>
        <w:rPr>
          <w:rFonts w:ascii="Times New Roman"/>
          <w:b w:val="false"/>
          <w:i w:val="false"/>
          <w:color w:val="000000"/>
          <w:sz w:val="28"/>
        </w:rPr>
        <w:t>
      b) скорости конвейера;</w:t>
      </w:r>
    </w:p>
    <w:bookmarkEnd w:id="5138"/>
    <w:bookmarkStart w:name="z5268" w:id="5139"/>
    <w:p>
      <w:pPr>
        <w:spacing w:after="0"/>
        <w:ind w:left="0"/>
        <w:jc w:val="both"/>
      </w:pPr>
      <w:r>
        <w:rPr>
          <w:rFonts w:ascii="Times New Roman"/>
          <w:b w:val="false"/>
          <w:i w:val="false"/>
          <w:color w:val="000000"/>
          <w:sz w:val="28"/>
        </w:rPr>
        <w:t>
      c) состава и плотности продукции;</w:t>
      </w:r>
    </w:p>
    <w:bookmarkEnd w:id="5139"/>
    <w:bookmarkStart w:name="z5269" w:id="5140"/>
    <w:p>
      <w:pPr>
        <w:spacing w:after="0"/>
        <w:ind w:left="0"/>
        <w:jc w:val="both"/>
      </w:pPr>
      <w:r>
        <w:rPr>
          <w:rFonts w:ascii="Times New Roman"/>
          <w:b w:val="false"/>
          <w:i w:val="false"/>
          <w:color w:val="000000"/>
          <w:sz w:val="28"/>
        </w:rPr>
        <w:t>
      d) состава, плотности и толщины материала, находящегося между выходным окном и облучаемой частью продукции;</w:t>
      </w:r>
    </w:p>
    <w:bookmarkEnd w:id="5140"/>
    <w:bookmarkStart w:name="z5270" w:id="5141"/>
    <w:p>
      <w:pPr>
        <w:spacing w:after="0"/>
        <w:ind w:left="0"/>
        <w:jc w:val="both"/>
      </w:pPr>
      <w:r>
        <w:rPr>
          <w:rFonts w:ascii="Times New Roman"/>
          <w:b w:val="false"/>
          <w:i w:val="false"/>
          <w:color w:val="000000"/>
          <w:sz w:val="28"/>
        </w:rPr>
        <w:t>
      e) расстояния от выходного окна до контейнера.</w:t>
      </w:r>
    </w:p>
    <w:bookmarkEnd w:id="5141"/>
    <w:bookmarkStart w:name="z5271" w:id="5142"/>
    <w:p>
      <w:pPr>
        <w:spacing w:after="0"/>
        <w:ind w:left="0"/>
        <w:jc w:val="both"/>
      </w:pPr>
      <w:r>
        <w:rPr>
          <w:rFonts w:ascii="Times New Roman"/>
          <w:b w:val="false"/>
          <w:i w:val="false"/>
          <w:color w:val="000000"/>
          <w:sz w:val="28"/>
        </w:rPr>
        <w:t>
      24. Основными параметрами, контролируемыми оператором, являются характеристики пучка и скорость конвейера.</w:t>
      </w:r>
    </w:p>
    <w:bookmarkEnd w:id="5142"/>
    <w:bookmarkStart w:name="z5272" w:id="5143"/>
    <w:p>
      <w:pPr>
        <w:spacing w:after="0"/>
        <w:ind w:left="0"/>
        <w:jc w:val="both"/>
      </w:pPr>
      <w:r>
        <w:rPr>
          <w:rFonts w:ascii="Times New Roman"/>
          <w:b w:val="false"/>
          <w:i w:val="false"/>
          <w:color w:val="000000"/>
          <w:sz w:val="28"/>
        </w:rPr>
        <w:t>
      Составление карты дозного поля</w:t>
      </w:r>
    </w:p>
    <w:bookmarkEnd w:id="5143"/>
    <w:bookmarkStart w:name="z5273" w:id="5144"/>
    <w:p>
      <w:pPr>
        <w:spacing w:after="0"/>
        <w:ind w:left="0"/>
        <w:jc w:val="both"/>
      </w:pPr>
      <w:r>
        <w:rPr>
          <w:rFonts w:ascii="Times New Roman"/>
          <w:b w:val="false"/>
          <w:i w:val="false"/>
          <w:color w:val="000000"/>
          <w:sz w:val="28"/>
        </w:rPr>
        <w:t>
      25. При составлении карты дозного поля дозиметры следует располагать между слоями гомогенного поглотителя, моделирующего реальную продукцию, или между слоями реальной представительной продукции однородной плотности так, чтобы не менее 10 измерений были проведены в пределах максимального пробега электронов. Необходимо также соблюдать требования, изложенные в пунктах 18 - 21 настоящего приложения.</w:t>
      </w:r>
    </w:p>
    <w:bookmarkEnd w:id="5144"/>
    <w:bookmarkStart w:name="z5274" w:id="5145"/>
    <w:p>
      <w:pPr>
        <w:spacing w:after="0"/>
        <w:ind w:left="0"/>
        <w:jc w:val="both"/>
      </w:pPr>
      <w:r>
        <w:rPr>
          <w:rFonts w:ascii="Times New Roman"/>
          <w:b w:val="false"/>
          <w:i w:val="false"/>
          <w:color w:val="000000"/>
          <w:sz w:val="28"/>
        </w:rPr>
        <w:t>
      26. При определении карты дозного поля параметры радиационной установки необходимо поддерживать постоянными, контролировать и регистрировать их. Эти записи вместе с результатами дозиметрии и другими полученными записями следует сохранять.</w:t>
      </w:r>
    </w:p>
    <w:bookmarkEnd w:id="5145"/>
    <w:bookmarkStart w:name="z5275" w:id="5146"/>
    <w:p>
      <w:pPr>
        <w:spacing w:after="0"/>
        <w:ind w:left="0"/>
        <w:jc w:val="both"/>
      </w:pPr>
      <w:r>
        <w:rPr>
          <w:rFonts w:ascii="Times New Roman"/>
          <w:b w:val="false"/>
          <w:i w:val="false"/>
          <w:color w:val="000000"/>
          <w:sz w:val="28"/>
        </w:rPr>
        <w:t>
      Повторный ввод установки в эксплуатацию</w:t>
      </w:r>
    </w:p>
    <w:bookmarkEnd w:id="5146"/>
    <w:bookmarkStart w:name="z5276" w:id="5147"/>
    <w:p>
      <w:pPr>
        <w:spacing w:after="0"/>
        <w:ind w:left="0"/>
        <w:jc w:val="both"/>
      </w:pPr>
      <w:r>
        <w:rPr>
          <w:rFonts w:ascii="Times New Roman"/>
          <w:b w:val="false"/>
          <w:i w:val="false"/>
          <w:color w:val="000000"/>
          <w:sz w:val="28"/>
        </w:rPr>
        <w:t>
      27. Процедура повторного ввода в эксплуатацию проводится заново каждый раз, когда происходят изменения процесса или параметров радиационной установки, способные повлиять на распределение поглощенной дозы в облучаемом контейнере (например, при замене стержней облучателя). Объем работ по повторному вводу в эксплуатацию зависит от степени изменений, внесенных в конструкцию облучателя радиационной установки или в конфигурацию загрузки. При наличии сомнений процедуру повторного ввода установки в эксплуатацию следует провести заново.</w:t>
      </w:r>
    </w:p>
    <w:bookmarkEnd w:id="5147"/>
    <w:bookmarkStart w:name="z5277" w:id="5148"/>
    <w:p>
      <w:pPr>
        <w:spacing w:after="0"/>
        <w:ind w:left="0"/>
        <w:jc w:val="both"/>
      </w:pPr>
      <w:r>
        <w:rPr>
          <w:rFonts w:ascii="Times New Roman"/>
          <w:b w:val="false"/>
          <w:i w:val="false"/>
          <w:color w:val="000000"/>
          <w:sz w:val="28"/>
        </w:rPr>
        <w:t>
      Помещения</w:t>
      </w:r>
    </w:p>
    <w:bookmarkEnd w:id="5148"/>
    <w:bookmarkStart w:name="z5278" w:id="5149"/>
    <w:p>
      <w:pPr>
        <w:spacing w:after="0"/>
        <w:ind w:left="0"/>
        <w:jc w:val="both"/>
      </w:pPr>
      <w:r>
        <w:rPr>
          <w:rFonts w:ascii="Times New Roman"/>
          <w:b w:val="false"/>
          <w:i w:val="false"/>
          <w:color w:val="000000"/>
          <w:sz w:val="28"/>
        </w:rPr>
        <w:t>
      28. Помещения следует проектировать и эксплуатировать таким образом, чтобы облученные контейнеры были отделены от необлученных во избежание перекрестной контаминации. Если материалы обрабатывают в закрытых контейнерах для облучения, то нет необходимости отделять фармацевтические и нефармацевтические материалы друг от друга при условии, что в последующем не будет риска их контаминации.</w:t>
      </w:r>
    </w:p>
    <w:bookmarkEnd w:id="5149"/>
    <w:bookmarkStart w:name="z5279" w:id="5150"/>
    <w:p>
      <w:pPr>
        <w:spacing w:after="0"/>
        <w:ind w:left="0"/>
        <w:jc w:val="both"/>
      </w:pPr>
      <w:r>
        <w:rPr>
          <w:rFonts w:ascii="Times New Roman"/>
          <w:b w:val="false"/>
          <w:i w:val="false"/>
          <w:color w:val="000000"/>
          <w:sz w:val="28"/>
        </w:rPr>
        <w:t>
      Любая возможность загрязнения продукции радионуклидами исключена.</w:t>
      </w:r>
    </w:p>
    <w:bookmarkEnd w:id="5150"/>
    <w:bookmarkStart w:name="z5280" w:id="5151"/>
    <w:p>
      <w:pPr>
        <w:spacing w:after="0"/>
        <w:ind w:left="0"/>
        <w:jc w:val="both"/>
      </w:pPr>
      <w:r>
        <w:rPr>
          <w:rFonts w:ascii="Times New Roman"/>
          <w:b w:val="false"/>
          <w:i w:val="false"/>
          <w:color w:val="000000"/>
          <w:sz w:val="28"/>
        </w:rPr>
        <w:t>
      Технологический процесс</w:t>
      </w:r>
    </w:p>
    <w:bookmarkEnd w:id="5151"/>
    <w:bookmarkStart w:name="z5281" w:id="5152"/>
    <w:p>
      <w:pPr>
        <w:spacing w:after="0"/>
        <w:ind w:left="0"/>
        <w:jc w:val="both"/>
      </w:pPr>
      <w:r>
        <w:rPr>
          <w:rFonts w:ascii="Times New Roman"/>
          <w:b w:val="false"/>
          <w:i w:val="false"/>
          <w:color w:val="000000"/>
          <w:sz w:val="28"/>
        </w:rPr>
        <w:t>
      29. Контейнеры с продукцией следует загружать в соответствии со схемой загрузки, установленной в процессе валидации.</w:t>
      </w:r>
    </w:p>
    <w:bookmarkEnd w:id="5152"/>
    <w:bookmarkStart w:name="z5282" w:id="5153"/>
    <w:p>
      <w:pPr>
        <w:spacing w:after="0"/>
        <w:ind w:left="0"/>
        <w:jc w:val="both"/>
      </w:pPr>
      <w:r>
        <w:rPr>
          <w:rFonts w:ascii="Times New Roman"/>
          <w:b w:val="false"/>
          <w:i w:val="false"/>
          <w:color w:val="000000"/>
          <w:sz w:val="28"/>
        </w:rPr>
        <w:t>
      30. Во время процесса дозу облучения для облучаемых контейнеров необходимо контролировать с использованием прошедших аттестацию дозиметрических методик. Зависимость между этой дозой и дозой, поглощенной продукцией внутри контейнера, установлена при валидации процесса и вводе радиационной установки в эксплуатацию.</w:t>
      </w:r>
    </w:p>
    <w:bookmarkEnd w:id="5153"/>
    <w:bookmarkStart w:name="z5283" w:id="5154"/>
    <w:p>
      <w:pPr>
        <w:spacing w:after="0"/>
        <w:ind w:left="0"/>
        <w:jc w:val="both"/>
      </w:pPr>
      <w:r>
        <w:rPr>
          <w:rFonts w:ascii="Times New Roman"/>
          <w:b w:val="false"/>
          <w:i w:val="false"/>
          <w:color w:val="000000"/>
          <w:sz w:val="28"/>
        </w:rPr>
        <w:t>
      31. Для того, чтобы различать облученные и необлученные контейнеры, необходимо использовать индикаторы ионизирующего излучения. Однако их не следует использовать в качестве единственного средства различения или как единственный показатель удовлетворительных результатов обработки.</w:t>
      </w:r>
    </w:p>
    <w:bookmarkEnd w:id="5154"/>
    <w:bookmarkStart w:name="z5284" w:id="5155"/>
    <w:p>
      <w:pPr>
        <w:spacing w:after="0"/>
        <w:ind w:left="0"/>
        <w:jc w:val="both"/>
      </w:pPr>
      <w:r>
        <w:rPr>
          <w:rFonts w:ascii="Times New Roman"/>
          <w:b w:val="false"/>
          <w:i w:val="false"/>
          <w:color w:val="000000"/>
          <w:sz w:val="28"/>
        </w:rPr>
        <w:t>
      32. Одновременную обработку разных видов продукции в одной загрузке в радиационной камере следует проводить только тогда, когда по результатам эксплуатации установки или по другим данным установлено, что поглощенная доза в каждом отдельном контейнере находится в установленных пределах.</w:t>
      </w:r>
    </w:p>
    <w:bookmarkEnd w:id="5155"/>
    <w:bookmarkStart w:name="z5285" w:id="5156"/>
    <w:p>
      <w:pPr>
        <w:spacing w:after="0"/>
        <w:ind w:left="0"/>
        <w:jc w:val="both"/>
      </w:pPr>
      <w:r>
        <w:rPr>
          <w:rFonts w:ascii="Times New Roman"/>
          <w:b w:val="false"/>
          <w:i w:val="false"/>
          <w:color w:val="000000"/>
          <w:sz w:val="28"/>
        </w:rPr>
        <w:t>
      33. Если требуемая доза излучения получается более чем за одну экспозицию или более чем за один проход через радиационную камеру, это согласовано с держателем регистрационного удостоверения; кроме того, эта доза получена в течение предварительно установленного промежутка времени. Держатель регистрационного удостоверения уведомлен о незапланированных перерывах во время облучения, если они удлиняют процесс облучения свыше заранее согласованного времени.</w:t>
      </w:r>
    </w:p>
    <w:bookmarkEnd w:id="5156"/>
    <w:bookmarkStart w:name="z5286" w:id="5157"/>
    <w:p>
      <w:pPr>
        <w:spacing w:after="0"/>
        <w:ind w:left="0"/>
        <w:jc w:val="both"/>
      </w:pPr>
      <w:r>
        <w:rPr>
          <w:rFonts w:ascii="Times New Roman"/>
          <w:b w:val="false"/>
          <w:i w:val="false"/>
          <w:color w:val="000000"/>
          <w:sz w:val="28"/>
        </w:rPr>
        <w:t>
      34. Облученная продукция всегда отделена от необлученной. Способы достижения этого включают в себя использование индикаторов радиации (пункт 31 настоящего приложения) и соответствующей планировки помещений (пункт 28 настоящего приложения).</w:t>
      </w:r>
    </w:p>
    <w:bookmarkEnd w:id="5157"/>
    <w:bookmarkStart w:name="z5287" w:id="5158"/>
    <w:p>
      <w:pPr>
        <w:spacing w:after="0"/>
        <w:ind w:left="0"/>
        <w:jc w:val="both"/>
      </w:pPr>
      <w:r>
        <w:rPr>
          <w:rFonts w:ascii="Times New Roman"/>
          <w:b w:val="false"/>
          <w:i w:val="false"/>
          <w:color w:val="000000"/>
          <w:sz w:val="28"/>
        </w:rPr>
        <w:t>
      Гамма-излучатель</w:t>
      </w:r>
    </w:p>
    <w:bookmarkEnd w:id="5158"/>
    <w:bookmarkStart w:name="z5288" w:id="5159"/>
    <w:p>
      <w:pPr>
        <w:spacing w:after="0"/>
        <w:ind w:left="0"/>
        <w:jc w:val="both"/>
      </w:pPr>
      <w:r>
        <w:rPr>
          <w:rFonts w:ascii="Times New Roman"/>
          <w:b w:val="false"/>
          <w:i w:val="false"/>
          <w:color w:val="000000"/>
          <w:sz w:val="28"/>
        </w:rPr>
        <w:t>
      35. При непрерывном режиме облучения дозиметры расположены таким образом, чтобы под воздействием излучения одновременно находились не менее двух дозиметров в течение всего процесса.</w:t>
      </w:r>
    </w:p>
    <w:bookmarkEnd w:id="5159"/>
    <w:bookmarkStart w:name="z5289" w:id="5160"/>
    <w:p>
      <w:pPr>
        <w:spacing w:after="0"/>
        <w:ind w:left="0"/>
        <w:jc w:val="both"/>
      </w:pPr>
      <w:r>
        <w:rPr>
          <w:rFonts w:ascii="Times New Roman"/>
          <w:b w:val="false"/>
          <w:i w:val="false"/>
          <w:color w:val="000000"/>
          <w:sz w:val="28"/>
        </w:rPr>
        <w:t>
      36. При порционном режиме не менее двух дозиметров подвергаться воздействию ионизирующего излучения в местах получения минимальной дозы.</w:t>
      </w:r>
    </w:p>
    <w:bookmarkEnd w:id="5160"/>
    <w:bookmarkStart w:name="z5290" w:id="5161"/>
    <w:p>
      <w:pPr>
        <w:spacing w:after="0"/>
        <w:ind w:left="0"/>
        <w:jc w:val="both"/>
      </w:pPr>
      <w:r>
        <w:rPr>
          <w:rFonts w:ascii="Times New Roman"/>
          <w:b w:val="false"/>
          <w:i w:val="false"/>
          <w:color w:val="000000"/>
          <w:sz w:val="28"/>
        </w:rPr>
        <w:t>
      37. При непрерывном режиме облучения предусмотрена индикация требуемого рабочего положения источника. Положение источника и движение конвейера связаны блокировкой. Скорость движения конвейера необходимо постоянно контролировать и регистрировать.</w:t>
      </w:r>
    </w:p>
    <w:bookmarkEnd w:id="5161"/>
    <w:bookmarkStart w:name="z5291" w:id="5162"/>
    <w:p>
      <w:pPr>
        <w:spacing w:after="0"/>
        <w:ind w:left="0"/>
        <w:jc w:val="both"/>
      </w:pPr>
      <w:r>
        <w:rPr>
          <w:rFonts w:ascii="Times New Roman"/>
          <w:b w:val="false"/>
          <w:i w:val="false"/>
          <w:color w:val="000000"/>
          <w:sz w:val="28"/>
        </w:rPr>
        <w:t>
      38. При порционном режиме облучения перемещение источника и время экспозиции для каждой серии продукции контролироваться регистрироваться.</w:t>
      </w:r>
    </w:p>
    <w:bookmarkEnd w:id="5162"/>
    <w:bookmarkStart w:name="z5292" w:id="5163"/>
    <w:p>
      <w:pPr>
        <w:spacing w:after="0"/>
        <w:ind w:left="0"/>
        <w:jc w:val="both"/>
      </w:pPr>
      <w:r>
        <w:rPr>
          <w:rFonts w:ascii="Times New Roman"/>
          <w:b w:val="false"/>
          <w:i w:val="false"/>
          <w:color w:val="000000"/>
          <w:sz w:val="28"/>
        </w:rPr>
        <w:t>
      39. Для получения желаемой дозы следует корректировать время облучения и скорость движения конвейера с учетом распада или дозарядки источника излучения. Срок действия параметров установки или скорости конвейера следует фиксировать документально и строго соблюдать.</w:t>
      </w:r>
    </w:p>
    <w:bookmarkEnd w:id="5163"/>
    <w:bookmarkStart w:name="z5293" w:id="5164"/>
    <w:p>
      <w:pPr>
        <w:spacing w:after="0"/>
        <w:ind w:left="0"/>
        <w:jc w:val="both"/>
      </w:pPr>
      <w:r>
        <w:rPr>
          <w:rFonts w:ascii="Times New Roman"/>
          <w:b w:val="false"/>
          <w:i w:val="false"/>
          <w:color w:val="000000"/>
          <w:sz w:val="28"/>
        </w:rPr>
        <w:t>
      Радиационные установки с ускорителями электронов</w:t>
      </w:r>
    </w:p>
    <w:bookmarkEnd w:id="5164"/>
    <w:bookmarkStart w:name="z5294" w:id="5165"/>
    <w:p>
      <w:pPr>
        <w:spacing w:after="0"/>
        <w:ind w:left="0"/>
        <w:jc w:val="both"/>
      </w:pPr>
      <w:r>
        <w:rPr>
          <w:rFonts w:ascii="Times New Roman"/>
          <w:b w:val="false"/>
          <w:i w:val="false"/>
          <w:color w:val="000000"/>
          <w:sz w:val="28"/>
        </w:rPr>
        <w:t>
      40. В каждый контейнер помещен дозиметр.</w:t>
      </w:r>
    </w:p>
    <w:bookmarkEnd w:id="5165"/>
    <w:bookmarkStart w:name="z5295" w:id="5166"/>
    <w:p>
      <w:pPr>
        <w:spacing w:after="0"/>
        <w:ind w:left="0"/>
        <w:jc w:val="both"/>
      </w:pPr>
      <w:r>
        <w:rPr>
          <w:rFonts w:ascii="Times New Roman"/>
          <w:b w:val="false"/>
          <w:i w:val="false"/>
          <w:color w:val="000000"/>
          <w:sz w:val="28"/>
        </w:rPr>
        <w:t>
      41. Необходимо непрерывно регистрировать среднее значение потока пучка, энергию электронов, ширину развертки и скорость конвейера. Эти параметры, за исключением скорости конвейера, необходимо контролировать в установленных пределах, определенных во время ввода в эксплуатацию, поскольку они подвержены спонтанным изменениям.</w:t>
      </w:r>
    </w:p>
    <w:bookmarkEnd w:id="5166"/>
    <w:bookmarkStart w:name="z5296" w:id="5167"/>
    <w:p>
      <w:pPr>
        <w:spacing w:after="0"/>
        <w:ind w:left="0"/>
        <w:jc w:val="both"/>
      </w:pPr>
      <w:r>
        <w:rPr>
          <w:rFonts w:ascii="Times New Roman"/>
          <w:b w:val="false"/>
          <w:i w:val="false"/>
          <w:color w:val="000000"/>
          <w:sz w:val="28"/>
        </w:rPr>
        <w:t>
      Документация</w:t>
      </w:r>
    </w:p>
    <w:bookmarkEnd w:id="5167"/>
    <w:bookmarkStart w:name="z5297" w:id="5168"/>
    <w:p>
      <w:pPr>
        <w:spacing w:after="0"/>
        <w:ind w:left="0"/>
        <w:jc w:val="both"/>
      </w:pPr>
      <w:r>
        <w:rPr>
          <w:rFonts w:ascii="Times New Roman"/>
          <w:b w:val="false"/>
          <w:i w:val="false"/>
          <w:color w:val="000000"/>
          <w:sz w:val="28"/>
        </w:rPr>
        <w:t>
      42. Количество поступивших контейнеров и контейнеров, прошедших облучение и вывезенных с предприятия, соответствует значениям, указанным в сопроводительной документации. Любые расхождения регистрируются и расследуются.</w:t>
      </w:r>
    </w:p>
    <w:bookmarkEnd w:id="5168"/>
    <w:bookmarkStart w:name="z5298" w:id="5169"/>
    <w:p>
      <w:pPr>
        <w:spacing w:after="0"/>
        <w:ind w:left="0"/>
        <w:jc w:val="both"/>
      </w:pPr>
      <w:r>
        <w:rPr>
          <w:rFonts w:ascii="Times New Roman"/>
          <w:b w:val="false"/>
          <w:i w:val="false"/>
          <w:color w:val="000000"/>
          <w:sz w:val="28"/>
        </w:rPr>
        <w:t>
      43. Оператор радиационной установки удостоверяет в письменном виде диапазон значений поглощенных доз, полученных каждым контейнером при каждой загрузке или в серии продукции.</w:t>
      </w:r>
    </w:p>
    <w:bookmarkEnd w:id="5169"/>
    <w:bookmarkStart w:name="z5299" w:id="5170"/>
    <w:p>
      <w:pPr>
        <w:spacing w:after="0"/>
        <w:ind w:left="0"/>
        <w:jc w:val="both"/>
      </w:pPr>
      <w:r>
        <w:rPr>
          <w:rFonts w:ascii="Times New Roman"/>
          <w:b w:val="false"/>
          <w:i w:val="false"/>
          <w:color w:val="000000"/>
          <w:sz w:val="28"/>
        </w:rPr>
        <w:t>
      44. Технологические записи и записи по контролю для каждой серии продукции, прошедшей облучение, проверяются и подписываются специально назначенным лицом и сохраняются. Метод и место хранения согласованы между организацией, проводившей облучение, и держателем регистрационного удостоверения на лекарственный препарат.</w:t>
      </w:r>
    </w:p>
    <w:bookmarkEnd w:id="5170"/>
    <w:bookmarkStart w:name="z5300" w:id="5171"/>
    <w:p>
      <w:pPr>
        <w:spacing w:after="0"/>
        <w:ind w:left="0"/>
        <w:jc w:val="both"/>
      </w:pPr>
      <w:r>
        <w:rPr>
          <w:rFonts w:ascii="Times New Roman"/>
          <w:b w:val="false"/>
          <w:i w:val="false"/>
          <w:color w:val="000000"/>
          <w:sz w:val="28"/>
        </w:rPr>
        <w:t>
      45. Документация, относящаяся к валидации радиационной установки, хранится в течение 1 года после истечения срока годности или, по крайней мере, в течение 5 лет после выпуска последней продукции, прошедшей облучение на этой установке, в зависимости от того, какой период дольше.</w:t>
      </w:r>
    </w:p>
    <w:bookmarkEnd w:id="5171"/>
    <w:bookmarkStart w:name="z5301" w:id="5172"/>
    <w:p>
      <w:pPr>
        <w:spacing w:after="0"/>
        <w:ind w:left="0"/>
        <w:jc w:val="both"/>
      </w:pPr>
      <w:r>
        <w:rPr>
          <w:rFonts w:ascii="Times New Roman"/>
          <w:b w:val="false"/>
          <w:i w:val="false"/>
          <w:color w:val="000000"/>
          <w:sz w:val="28"/>
        </w:rPr>
        <w:t>
      Микробиологический контроль</w:t>
      </w:r>
    </w:p>
    <w:bookmarkEnd w:id="5172"/>
    <w:bookmarkStart w:name="z5302" w:id="5173"/>
    <w:p>
      <w:pPr>
        <w:spacing w:after="0"/>
        <w:ind w:left="0"/>
        <w:jc w:val="both"/>
      </w:pPr>
      <w:r>
        <w:rPr>
          <w:rFonts w:ascii="Times New Roman"/>
          <w:b w:val="false"/>
          <w:i w:val="false"/>
          <w:color w:val="000000"/>
          <w:sz w:val="28"/>
        </w:rPr>
        <w:t>
      Ответственность за микробиологический мониторинг несет производитель лекарственных средств. Этот мониторинг может включать мониторинг производственной среды и контроль продукции перед облучением, как установлено в регистрационном досье.</w:t>
      </w:r>
    </w:p>
    <w:bookmarkEnd w:id="5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304" w:id="5174"/>
    <w:p>
      <w:pPr>
        <w:spacing w:after="0"/>
        <w:ind w:left="0"/>
        <w:jc w:val="left"/>
      </w:pPr>
      <w:r>
        <w:rPr>
          <w:rFonts w:ascii="Times New Roman"/>
          <w:b/>
          <w:i w:val="false"/>
          <w:color w:val="000000"/>
        </w:rPr>
        <w:t xml:space="preserve"> Требования лекарственным препаратам для клинических исследований</w:t>
      </w:r>
    </w:p>
    <w:bookmarkEnd w:id="5174"/>
    <w:bookmarkStart w:name="z5305" w:id="5175"/>
    <w:p>
      <w:pPr>
        <w:spacing w:after="0"/>
        <w:ind w:left="0"/>
        <w:jc w:val="both"/>
      </w:pPr>
      <w:r>
        <w:rPr>
          <w:rFonts w:ascii="Times New Roman"/>
          <w:b w:val="false"/>
          <w:i w:val="false"/>
          <w:color w:val="000000"/>
          <w:sz w:val="28"/>
        </w:rPr>
        <w:t>
      Принцип</w:t>
      </w:r>
    </w:p>
    <w:bookmarkEnd w:id="5175"/>
    <w:bookmarkStart w:name="z5306" w:id="5176"/>
    <w:p>
      <w:pPr>
        <w:spacing w:after="0"/>
        <w:ind w:left="0"/>
        <w:jc w:val="both"/>
      </w:pPr>
      <w:r>
        <w:rPr>
          <w:rFonts w:ascii="Times New Roman"/>
          <w:b w:val="false"/>
          <w:i w:val="false"/>
          <w:color w:val="000000"/>
          <w:sz w:val="28"/>
        </w:rPr>
        <w:t>
      Лекарственные препараты для клинических исследований произведены в соответствии со Стандартом надлежащей производственной практики. Следует принимать во внимание и другие соответствующие руководства в зависимости от стадии разработки лекарственного препарата. Методы работы гибкие, чтобы обеспечить возможность внесения изменений по мере расширения знаний о процессе, и отвечать стадии разработки лекарственного препарата.</w:t>
      </w:r>
    </w:p>
    <w:bookmarkEnd w:id="5176"/>
    <w:bookmarkStart w:name="z5307" w:id="5177"/>
    <w:p>
      <w:pPr>
        <w:spacing w:after="0"/>
        <w:ind w:left="0"/>
        <w:jc w:val="both"/>
      </w:pPr>
      <w:r>
        <w:rPr>
          <w:rFonts w:ascii="Times New Roman"/>
          <w:b w:val="false"/>
          <w:i w:val="false"/>
          <w:color w:val="000000"/>
          <w:sz w:val="28"/>
        </w:rPr>
        <w:t>
      При клинических исследованиях возникают дополнительные риски для субъектов исследований по сравнению с пациентами, которые принимают зарегистрированные лекарственные препараты. Применение Стандарта надлежащей производственной практики к производству лекарственных препаратов для клинических исследований необходимо для того, чтобы гарантировать субъектам исследования отсутствие рисков, а также чтобы на результаты клинических исследований не повлияли недостаточные безопасность, качество или эффективность, являющиеся следствием ненадлежащего производства. В равной мере эти требования предназначены для обеспечения постоянства от серии к серии одного и того же лекарственного препарата для клинических исследований, используемого в одном или в разных клинических исследованиях, а также для документального оформления и обоснования изменений в процессе разработки такого лекарственного препарата.</w:t>
      </w:r>
    </w:p>
    <w:bookmarkEnd w:id="5177"/>
    <w:bookmarkStart w:name="z5308" w:id="5178"/>
    <w:p>
      <w:pPr>
        <w:spacing w:after="0"/>
        <w:ind w:left="0"/>
        <w:jc w:val="both"/>
      </w:pPr>
      <w:r>
        <w:rPr>
          <w:rFonts w:ascii="Times New Roman"/>
          <w:b w:val="false"/>
          <w:i w:val="false"/>
          <w:color w:val="000000"/>
          <w:sz w:val="28"/>
        </w:rPr>
        <w:t>
      Производство лекарственных препаратов для клинических исследований связано с дополнительной сложностью по сравнению с зарегистрированными лекарственными препаратами из-за отсутствия установленных процедур, разных схем клинических исследований и, как следствие, разных требований к упаковкам, необходимости рандомизации и использования "слепого" метода (маскировки), а также из-за большого риска перекрестной контаминации и перепутывания лекарственных препаратов. Кроме того, данные об эффективности и токсичности лекарственного препарата могут быть неполными, может отсутствовать полная валидация процесса или могут использоваться зарегистрированные лекарственные препараты, которые были переупакованы или некоторым образом модифицированы. В связи с этим персонал в полной мере понимает Стандарт надлежащей производственной практики в отношении лекарственных препаратов для клинических исследований и проходит соответствующее обучение. Установлено взаимодействие со спонсорами клинических исследований, на которых лежит вся ответственность по вопросам клинических исследований, включая качество лекарственных препаратов для клинических исследований. Возросшая сложность технологических процессов требует применения высокоэффективной системы обеспечения качества.</w:t>
      </w:r>
    </w:p>
    <w:bookmarkEnd w:id="5178"/>
    <w:bookmarkStart w:name="z5309" w:id="5179"/>
    <w:p>
      <w:pPr>
        <w:spacing w:after="0"/>
        <w:ind w:left="0"/>
        <w:jc w:val="both"/>
      </w:pPr>
      <w:r>
        <w:rPr>
          <w:rFonts w:ascii="Times New Roman"/>
          <w:b w:val="false"/>
          <w:i w:val="false"/>
          <w:color w:val="000000"/>
          <w:sz w:val="28"/>
        </w:rPr>
        <w:t>
      В настоящем приложении также установлены требования к оформлению заказов, отгрузке, транспортированию и возврату материалов для клинических исследований, которые взаимосвязаны и дополняют Стандарт надлежащей клинической практики.</w:t>
      </w:r>
    </w:p>
    <w:bookmarkEnd w:id="5179"/>
    <w:bookmarkStart w:name="z5310" w:id="5180"/>
    <w:p>
      <w:pPr>
        <w:spacing w:after="0"/>
        <w:ind w:left="0"/>
        <w:jc w:val="both"/>
      </w:pPr>
      <w:r>
        <w:rPr>
          <w:rFonts w:ascii="Times New Roman"/>
          <w:b w:val="false"/>
          <w:i w:val="false"/>
          <w:color w:val="000000"/>
          <w:sz w:val="28"/>
        </w:rPr>
        <w:t>
      Лекарственные препараты, не являющиеся исследуемыми средствами</w:t>
      </w:r>
    </w:p>
    <w:bookmarkEnd w:id="5180"/>
    <w:bookmarkStart w:name="z5311" w:id="5181"/>
    <w:p>
      <w:pPr>
        <w:spacing w:after="0"/>
        <w:ind w:left="0"/>
        <w:jc w:val="both"/>
      </w:pPr>
      <w:r>
        <w:rPr>
          <w:rFonts w:ascii="Times New Roman"/>
          <w:b w:val="false"/>
          <w:i w:val="false"/>
          <w:color w:val="000000"/>
          <w:sz w:val="28"/>
        </w:rPr>
        <w:t>
      Субъектам клинических исследований могут быть предоставлены лекарственные препараты, которые не являются испытуемым препаратом, плацебо или препаратом сравнения. Такие лекарственные препараты могут применяться для сопутствующей терапии или для оказания медицинской помощи с целью профилактики, диагностики или лечения, и (или) вследствие необходимости обеспечения адекватного медицинского ухода, предусмотренного для субъектов исследований. Такие средства также допускается применять в соответствии с протоколом исследования, для того чтобы вызвать физиологическую реакцию. Эти лекарственные препараты не являются лекарственными препаратами для клинических исследований и могут быть предоставлены спонсором или исследователем. Спонсор гарантирует, что данные лекарственные препараты соответствуют запросу (заявке) на разрешение проведения клинического исследования имеют требуемое для цели исследования качество. При этом он принимает во внимание источник лекарственных препаратов, являются ли они зарегистрированными лекарственными препаратами и были ли они переупакованы. Рекомендуется привлекать к этой работе уполномоченное лицо и учитывать его мнение.</w:t>
      </w:r>
    </w:p>
    <w:bookmarkEnd w:id="5181"/>
    <w:bookmarkStart w:name="z5312" w:id="5182"/>
    <w:p>
      <w:pPr>
        <w:spacing w:after="0"/>
        <w:ind w:left="0"/>
        <w:jc w:val="both"/>
      </w:pPr>
      <w:r>
        <w:rPr>
          <w:rFonts w:ascii="Times New Roman"/>
          <w:b w:val="false"/>
          <w:i w:val="false"/>
          <w:color w:val="000000"/>
          <w:sz w:val="28"/>
        </w:rPr>
        <w:t>
      Лицензирование производства и подготовка к применению</w:t>
      </w:r>
    </w:p>
    <w:bookmarkEnd w:id="5182"/>
    <w:bookmarkStart w:name="z5313" w:id="5183"/>
    <w:p>
      <w:pPr>
        <w:spacing w:after="0"/>
        <w:ind w:left="0"/>
        <w:jc w:val="both"/>
      </w:pPr>
      <w:r>
        <w:rPr>
          <w:rFonts w:ascii="Times New Roman"/>
          <w:b w:val="false"/>
          <w:i w:val="false"/>
          <w:color w:val="000000"/>
          <w:sz w:val="28"/>
        </w:rPr>
        <w:t>
      Как полное производство, так и отдельные стадии производства лекарственных препаратов для клинических исследований, а также различные процессы их разделения, упаковки или их передача подлежат лицензированию. Однако такое лицензирование не требуется для подготовки к применению лекарственных препаратов перед использованием или упаковкой, если эти процессы осуществляют в медицинских учреждениях фармацевты или другие лица, которые имеют полномочия осуществлять такие процессы, а также если лекарственные препараты для клинических исследований предназначены для использования исключительно в этих учреждениях.</w:t>
      </w:r>
    </w:p>
    <w:bookmarkEnd w:id="5183"/>
    <w:bookmarkStart w:name="z5314" w:id="5184"/>
    <w:p>
      <w:pPr>
        <w:spacing w:after="0"/>
        <w:ind w:left="0"/>
        <w:jc w:val="both"/>
      </w:pPr>
      <w:r>
        <w:rPr>
          <w:rFonts w:ascii="Times New Roman"/>
          <w:b w:val="false"/>
          <w:i w:val="false"/>
          <w:color w:val="000000"/>
          <w:sz w:val="28"/>
        </w:rPr>
        <w:t>
      В рамках указанных положений под подготовкой к применению следует понимать простой процесс, такой как:</w:t>
      </w:r>
    </w:p>
    <w:bookmarkEnd w:id="5184"/>
    <w:bookmarkStart w:name="z5315" w:id="5185"/>
    <w:p>
      <w:pPr>
        <w:spacing w:after="0"/>
        <w:ind w:left="0"/>
        <w:jc w:val="both"/>
      </w:pPr>
      <w:r>
        <w:rPr>
          <w:rFonts w:ascii="Times New Roman"/>
          <w:b w:val="false"/>
          <w:i w:val="false"/>
          <w:color w:val="000000"/>
          <w:sz w:val="28"/>
        </w:rPr>
        <w:t>
      растворение или диспергирование лекарственного препарата для клинических исследований для ввода лекарственного препарата субъекту испытания, или разведение или смешивание лекарственных препаратов (лекарственного препарата) для клинических исследований с другим веществом (веществами), которое применяют как носитель с целью введения лекарственного препарата.</w:t>
      </w:r>
    </w:p>
    <w:bookmarkEnd w:id="5185"/>
    <w:bookmarkStart w:name="z5316" w:id="5186"/>
    <w:p>
      <w:pPr>
        <w:spacing w:after="0"/>
        <w:ind w:left="0"/>
        <w:jc w:val="both"/>
      </w:pPr>
      <w:r>
        <w:rPr>
          <w:rFonts w:ascii="Times New Roman"/>
          <w:b w:val="false"/>
          <w:i w:val="false"/>
          <w:color w:val="000000"/>
          <w:sz w:val="28"/>
        </w:rPr>
        <w:t>
      Смешивание нескольких ингредиентов вместе, включая действующее вещество, с целью получения лекарственного препарата для клинических исследований, не является подготовкой к применению.</w:t>
      </w:r>
    </w:p>
    <w:bookmarkEnd w:id="5186"/>
    <w:bookmarkStart w:name="z5317" w:id="5187"/>
    <w:p>
      <w:pPr>
        <w:spacing w:after="0"/>
        <w:ind w:left="0"/>
        <w:jc w:val="both"/>
      </w:pPr>
      <w:r>
        <w:rPr>
          <w:rFonts w:ascii="Times New Roman"/>
          <w:b w:val="false"/>
          <w:i w:val="false"/>
          <w:color w:val="000000"/>
          <w:sz w:val="28"/>
        </w:rPr>
        <w:t>
      Лекарственный препарат для клинических исследований уже в наличии до процесса подготовки к применению.</w:t>
      </w:r>
    </w:p>
    <w:bookmarkEnd w:id="5187"/>
    <w:bookmarkStart w:name="z5318" w:id="5188"/>
    <w:p>
      <w:pPr>
        <w:spacing w:after="0"/>
        <w:ind w:left="0"/>
        <w:jc w:val="both"/>
      </w:pPr>
      <w:r>
        <w:rPr>
          <w:rFonts w:ascii="Times New Roman"/>
          <w:b w:val="false"/>
          <w:i w:val="false"/>
          <w:color w:val="000000"/>
          <w:sz w:val="28"/>
        </w:rPr>
        <w:t>
      Процесс подготовки к применению осуществляют непосредственно перед введением.</w:t>
      </w:r>
    </w:p>
    <w:bookmarkEnd w:id="5188"/>
    <w:bookmarkStart w:name="z5319" w:id="5189"/>
    <w:p>
      <w:pPr>
        <w:spacing w:after="0"/>
        <w:ind w:left="0"/>
        <w:jc w:val="both"/>
      </w:pPr>
      <w:r>
        <w:rPr>
          <w:rFonts w:ascii="Times New Roman"/>
          <w:b w:val="false"/>
          <w:i w:val="false"/>
          <w:color w:val="000000"/>
          <w:sz w:val="28"/>
        </w:rPr>
        <w:t>
      Такой процесс указан в заявлении на проведение клинических исследований (досье исследуемого лекарственного препарата) и в протоколе клинического исследования или соответствующем документе, имеющемся на клинической базе.</w:t>
      </w:r>
    </w:p>
    <w:bookmarkEnd w:id="5189"/>
    <w:bookmarkStart w:name="z5320" w:id="5190"/>
    <w:p>
      <w:pPr>
        <w:spacing w:after="0"/>
        <w:ind w:left="0"/>
        <w:jc w:val="both"/>
      </w:pPr>
      <w:r>
        <w:rPr>
          <w:rFonts w:ascii="Times New Roman"/>
          <w:b w:val="false"/>
          <w:i w:val="false"/>
          <w:color w:val="000000"/>
          <w:sz w:val="28"/>
        </w:rPr>
        <w:t>
      Определения</w:t>
      </w:r>
    </w:p>
    <w:bookmarkEnd w:id="5190"/>
    <w:bookmarkStart w:name="z5321" w:id="5191"/>
    <w:p>
      <w:pPr>
        <w:spacing w:after="0"/>
        <w:ind w:left="0"/>
        <w:jc w:val="both"/>
      </w:pPr>
      <w:r>
        <w:rPr>
          <w:rFonts w:ascii="Times New Roman"/>
          <w:b w:val="false"/>
          <w:i w:val="false"/>
          <w:color w:val="000000"/>
          <w:sz w:val="28"/>
        </w:rPr>
        <w:t>
      "досье на исследуемый препарат" (product specification file) - комплект документов, содержащих всю информацию (или ссылки на соответствующие документы), необходимую для составления подробных инструкций по производству, упаковке, контролю качества, выдаче разрешения на выпуск серии и отгрузке лекарственного препарата для клинических исследований;</w:t>
      </w:r>
    </w:p>
    <w:bookmarkEnd w:id="5191"/>
    <w:bookmarkStart w:name="z5322" w:id="5192"/>
    <w:p>
      <w:pPr>
        <w:spacing w:after="0"/>
        <w:ind w:left="0"/>
        <w:jc w:val="both"/>
      </w:pPr>
      <w:r>
        <w:rPr>
          <w:rFonts w:ascii="Times New Roman"/>
          <w:b w:val="false"/>
          <w:i w:val="false"/>
          <w:color w:val="000000"/>
          <w:sz w:val="28"/>
        </w:rPr>
        <w:t>
      "заказ" (order) - задание на производство, упаковку и (или) доставку определенного количества единиц лекарственных препаратов для клинических исследований;</w:t>
      </w:r>
    </w:p>
    <w:bookmarkEnd w:id="5192"/>
    <w:bookmarkStart w:name="z5323" w:id="5193"/>
    <w:p>
      <w:pPr>
        <w:spacing w:after="0"/>
        <w:ind w:left="0"/>
        <w:jc w:val="both"/>
      </w:pPr>
      <w:r>
        <w:rPr>
          <w:rFonts w:ascii="Times New Roman"/>
          <w:b w:val="false"/>
          <w:i w:val="false"/>
          <w:color w:val="000000"/>
          <w:sz w:val="28"/>
        </w:rPr>
        <w:t>
      "исследователь" (investigator) - лицо, ответственное за проведение клинического исследования в медицинском учреждении. При проведении клинического исследования группой лиц исследователем является руководитель группы, который может называться ответственным исследователем;</w:t>
      </w:r>
    </w:p>
    <w:bookmarkEnd w:id="5193"/>
    <w:bookmarkStart w:name="z5324" w:id="5194"/>
    <w:p>
      <w:pPr>
        <w:spacing w:after="0"/>
        <w:ind w:left="0"/>
        <w:jc w:val="both"/>
      </w:pPr>
      <w:r>
        <w:rPr>
          <w:rFonts w:ascii="Times New Roman"/>
          <w:b w:val="false"/>
          <w:i w:val="false"/>
          <w:color w:val="000000"/>
          <w:sz w:val="28"/>
        </w:rPr>
        <w:t>
      "клиническое исследование" (clinical trial) - исследование, проводимое на людях - субъектах исследования для выявления или подтверждения клинических, фармакологических и (или) других фармакодинамических эффектов лекарственных препаратов для клинических исследований и (или) для выявления побочных реакций на него, и (или) для изучения его абсорбции, распределения, метаболизма выведения с целью оценки его безопасности и (или) эффективности; "код рандомизации" (randomization code) - перечень, содержащий описание лечения, назначенного каждому субъекту исследования с учетом рандомизации;</w:t>
      </w:r>
    </w:p>
    <w:bookmarkEnd w:id="5194"/>
    <w:bookmarkStart w:name="z5325" w:id="5195"/>
    <w:p>
      <w:pPr>
        <w:spacing w:after="0"/>
        <w:ind w:left="0"/>
        <w:jc w:val="both"/>
      </w:pPr>
      <w:r>
        <w:rPr>
          <w:rFonts w:ascii="Times New Roman"/>
          <w:b w:val="false"/>
          <w:i w:val="false"/>
          <w:color w:val="000000"/>
          <w:sz w:val="28"/>
        </w:rPr>
        <w:t>
      "лекарственный препарат для клинических исследований" (investigational medicinal product) - активная фармацевтическая субстанция в лекарственной форме или плацебо, исследуемые или используемые в качестве препарата сравнения при проведении клинического исследования. К лекарственным препаратам для клинических исследований относятся также уже зарегистрированные лекарственные препараты, если способ их применения или производства (лекарственная форма или упаковка) отличается от зарегистрированного, а также в случае их использования по еще не одобренным показаниям или для получения дополнительной информации об уже зарегистрированной лекарственной форме;</w:t>
      </w:r>
    </w:p>
    <w:bookmarkEnd w:id="5195"/>
    <w:bookmarkStart w:name="z5326" w:id="5196"/>
    <w:p>
      <w:pPr>
        <w:spacing w:after="0"/>
        <w:ind w:left="0"/>
        <w:jc w:val="both"/>
      </w:pPr>
      <w:r>
        <w:rPr>
          <w:rFonts w:ascii="Times New Roman"/>
          <w:b w:val="false"/>
          <w:i w:val="false"/>
          <w:color w:val="000000"/>
          <w:sz w:val="28"/>
        </w:rPr>
        <w:t>
      "отгрузка" (shipping) - операции по упаковке для отгрузки и по транспортированию заказанных лекарственных препаратов для клинических исследований;</w:t>
      </w:r>
    </w:p>
    <w:bookmarkEnd w:id="5196"/>
    <w:bookmarkStart w:name="z5327" w:id="5197"/>
    <w:p>
      <w:pPr>
        <w:spacing w:after="0"/>
        <w:ind w:left="0"/>
        <w:jc w:val="both"/>
      </w:pPr>
      <w:r>
        <w:rPr>
          <w:rFonts w:ascii="Times New Roman"/>
          <w:b w:val="false"/>
          <w:i w:val="false"/>
          <w:color w:val="000000"/>
          <w:sz w:val="28"/>
        </w:rPr>
        <w:t>
      "препарат сравнения" (comparator product) - исследуемый или зарегистрированный лекарственный препарат (т.е. активный контроль), либо плацебо, используемый как контроль в клиническом исследовании;</w:t>
      </w:r>
    </w:p>
    <w:bookmarkEnd w:id="5197"/>
    <w:bookmarkStart w:name="z5328" w:id="5198"/>
    <w:p>
      <w:pPr>
        <w:spacing w:after="0"/>
        <w:ind w:left="0"/>
        <w:jc w:val="both"/>
      </w:pPr>
      <w:r>
        <w:rPr>
          <w:rFonts w:ascii="Times New Roman"/>
          <w:b w:val="false"/>
          <w:i w:val="false"/>
          <w:color w:val="000000"/>
          <w:sz w:val="28"/>
        </w:rPr>
        <w:t>
      "производитель (импортер) лекарственного препарата для клинических исследований" (manufacturer (importer) of investigational medicinal products) - лицо, имеющее лицензию на производство или разрешение на ввоз лекарственного препарата для клинических исследований, выданные в установленном порядке;</w:t>
      </w:r>
    </w:p>
    <w:bookmarkEnd w:id="5198"/>
    <w:bookmarkStart w:name="z5329" w:id="5199"/>
    <w:p>
      <w:pPr>
        <w:spacing w:after="0"/>
        <w:ind w:left="0"/>
        <w:jc w:val="both"/>
      </w:pPr>
      <w:r>
        <w:rPr>
          <w:rFonts w:ascii="Times New Roman"/>
          <w:b w:val="false"/>
          <w:i w:val="false"/>
          <w:color w:val="000000"/>
          <w:sz w:val="28"/>
        </w:rPr>
        <w:t>
      "рандомизация" (randomisation) - процесс распределения субъектов исследования по основным и контрольным группам с использованием элемента случайности с целью сведения к минимуму возможности необъективного заключения;</w:t>
      </w:r>
    </w:p>
    <w:bookmarkEnd w:id="5199"/>
    <w:bookmarkStart w:name="z5330" w:id="5200"/>
    <w:p>
      <w:pPr>
        <w:spacing w:after="0"/>
        <w:ind w:left="0"/>
        <w:jc w:val="both"/>
      </w:pPr>
      <w:r>
        <w:rPr>
          <w:rFonts w:ascii="Times New Roman"/>
          <w:b w:val="false"/>
          <w:i w:val="false"/>
          <w:color w:val="000000"/>
          <w:sz w:val="28"/>
        </w:rPr>
        <w:t>
      "слепое" исследование ("слепой" метод)" (blinding) - процедура клинических исследований, при которой одна или более сторон, участвующих в исследовании, не информированы о проводимом терапевтическом назначении. Простой "слепой" метод означает неосведомленность субъекта исследования, а двойной "слепой" метод - неосведомленность о проводимом терапевтическом назначении (назначениях) субъекта исследования, исследователя, наблюдателей и в некоторых случаях лиц, анализирующих полученные данные. В отношении лекарственного препарата для клинических исследований "слепой" метод исследования означает преднамеренное маскирование идентичности этого лекарственного препарата в соответствии с указаниями спонсора. Раскодирование (снятие маскировки) означает раскрытие информации об идентичности лекарственного препарата;</w:t>
      </w:r>
    </w:p>
    <w:bookmarkEnd w:id="5200"/>
    <w:bookmarkStart w:name="z5331" w:id="5201"/>
    <w:p>
      <w:pPr>
        <w:spacing w:after="0"/>
        <w:ind w:left="0"/>
        <w:jc w:val="both"/>
      </w:pPr>
      <w:r>
        <w:rPr>
          <w:rFonts w:ascii="Times New Roman"/>
          <w:b w:val="false"/>
          <w:i w:val="false"/>
          <w:color w:val="000000"/>
          <w:sz w:val="28"/>
        </w:rPr>
        <w:t>
      "спонсор" (sponsor) - физическое лицо, предприятие, учреждение или организация, несущие ответственность за начало клинического исследования, его организацию и (или) финансирование.</w:t>
      </w:r>
    </w:p>
    <w:bookmarkEnd w:id="5201"/>
    <w:bookmarkStart w:name="z5332" w:id="5202"/>
    <w:p>
      <w:pPr>
        <w:spacing w:after="0"/>
        <w:ind w:left="0"/>
        <w:jc w:val="both"/>
      </w:pPr>
      <w:r>
        <w:rPr>
          <w:rFonts w:ascii="Times New Roman"/>
          <w:b w:val="false"/>
          <w:i w:val="false"/>
          <w:color w:val="000000"/>
          <w:sz w:val="28"/>
        </w:rPr>
        <w:t>
      Управление качеством</w:t>
      </w:r>
    </w:p>
    <w:bookmarkEnd w:id="5202"/>
    <w:bookmarkStart w:name="z5333" w:id="5203"/>
    <w:p>
      <w:pPr>
        <w:spacing w:after="0"/>
        <w:ind w:left="0"/>
        <w:jc w:val="both"/>
      </w:pPr>
      <w:r>
        <w:rPr>
          <w:rFonts w:ascii="Times New Roman"/>
          <w:b w:val="false"/>
          <w:i w:val="false"/>
          <w:color w:val="000000"/>
          <w:sz w:val="28"/>
        </w:rPr>
        <w:t>
      1. Система обеспечения качества, разработанная и проверенная производителем или импортером, соответствует требованиям настоящего Стандарта, относящимся к лекарственным препаратам для клинических исследований, документально оформлена в виде письменных процедур и доступна спонсору клинического исследования.</w:t>
      </w:r>
    </w:p>
    <w:bookmarkEnd w:id="5203"/>
    <w:bookmarkStart w:name="z5334" w:id="5204"/>
    <w:p>
      <w:pPr>
        <w:spacing w:after="0"/>
        <w:ind w:left="0"/>
        <w:jc w:val="both"/>
      </w:pPr>
      <w:r>
        <w:rPr>
          <w:rFonts w:ascii="Times New Roman"/>
          <w:b w:val="false"/>
          <w:i w:val="false"/>
          <w:color w:val="000000"/>
          <w:sz w:val="28"/>
        </w:rPr>
        <w:t>
      2. Спецификации и технологические инструкции на лекарственные препараты для клинических исследований изменяются в процессе их разработки, но при этом необходимо обеспечить их полный контроль прослеживаемость всех изменений.</w:t>
      </w:r>
    </w:p>
    <w:bookmarkEnd w:id="5204"/>
    <w:bookmarkStart w:name="z5335" w:id="5205"/>
    <w:p>
      <w:pPr>
        <w:spacing w:after="0"/>
        <w:ind w:left="0"/>
        <w:jc w:val="both"/>
      </w:pPr>
      <w:r>
        <w:rPr>
          <w:rFonts w:ascii="Times New Roman"/>
          <w:b w:val="false"/>
          <w:i w:val="false"/>
          <w:color w:val="000000"/>
          <w:sz w:val="28"/>
        </w:rPr>
        <w:t>
      Персонал</w:t>
      </w:r>
    </w:p>
    <w:bookmarkEnd w:id="5205"/>
    <w:bookmarkStart w:name="z5336" w:id="5206"/>
    <w:p>
      <w:pPr>
        <w:spacing w:after="0"/>
        <w:ind w:left="0"/>
        <w:jc w:val="both"/>
      </w:pPr>
      <w:r>
        <w:rPr>
          <w:rFonts w:ascii="Times New Roman"/>
          <w:b w:val="false"/>
          <w:i w:val="false"/>
          <w:color w:val="000000"/>
          <w:sz w:val="28"/>
        </w:rPr>
        <w:t>
      3. Весь персонал, деятельность которого связана с лекарственными препаратами для исследований, проходит соответствующее обучение, связанное со спецификой данного вида продукции.</w:t>
      </w:r>
    </w:p>
    <w:bookmarkEnd w:id="5206"/>
    <w:bookmarkStart w:name="z5337" w:id="5207"/>
    <w:p>
      <w:pPr>
        <w:spacing w:after="0"/>
        <w:ind w:left="0"/>
        <w:jc w:val="both"/>
      </w:pPr>
      <w:r>
        <w:rPr>
          <w:rFonts w:ascii="Times New Roman"/>
          <w:b w:val="false"/>
          <w:i w:val="false"/>
          <w:color w:val="000000"/>
          <w:sz w:val="28"/>
        </w:rPr>
        <w:t>
      Даже в случаях, когда количество вовлеченного персонала мало, для производства каждой серии определен отдельный персонал, отвечающий за производство и контроль качества.</w:t>
      </w:r>
    </w:p>
    <w:bookmarkEnd w:id="5207"/>
    <w:bookmarkStart w:name="z5338" w:id="5208"/>
    <w:p>
      <w:pPr>
        <w:spacing w:after="0"/>
        <w:ind w:left="0"/>
        <w:jc w:val="both"/>
      </w:pPr>
      <w:r>
        <w:rPr>
          <w:rFonts w:ascii="Times New Roman"/>
          <w:b w:val="false"/>
          <w:i w:val="false"/>
          <w:color w:val="000000"/>
          <w:sz w:val="28"/>
        </w:rPr>
        <w:t>
      4. Уполномоченное лицо обеспечивает наличие соответствующих систем, отвечающих требованиям настоящего приложения. Для этого уполномоченное лицо имеет хорошую подготовку в области разработки лекарственных препаратов и проведения клинических исследований. Руководство для уполномоченного лица по оценке лекарственных препаратов для клинических исследований приведено в пунктах 38 - 41 настоящего приложения.</w:t>
      </w:r>
    </w:p>
    <w:bookmarkEnd w:id="5208"/>
    <w:bookmarkStart w:name="z5339" w:id="5209"/>
    <w:p>
      <w:pPr>
        <w:spacing w:after="0"/>
        <w:ind w:left="0"/>
        <w:jc w:val="both"/>
      </w:pPr>
      <w:r>
        <w:rPr>
          <w:rFonts w:ascii="Times New Roman"/>
          <w:b w:val="false"/>
          <w:i w:val="false"/>
          <w:color w:val="000000"/>
          <w:sz w:val="28"/>
        </w:rPr>
        <w:t>
      Помещения и оборудование</w:t>
      </w:r>
    </w:p>
    <w:bookmarkEnd w:id="5209"/>
    <w:bookmarkStart w:name="z5340" w:id="5210"/>
    <w:p>
      <w:pPr>
        <w:spacing w:after="0"/>
        <w:ind w:left="0"/>
        <w:jc w:val="both"/>
      </w:pPr>
      <w:r>
        <w:rPr>
          <w:rFonts w:ascii="Times New Roman"/>
          <w:b w:val="false"/>
          <w:i w:val="false"/>
          <w:color w:val="000000"/>
          <w:sz w:val="28"/>
        </w:rPr>
        <w:t>
      5. При работе с лекарственными препаратами для клинических исследований информация о токсичности, активности и сенсибилизирующих свойствах может быть неполной, в связи с чем следует уделять особое внимание сведению к минимуму рисков перекрестной контаминации. Конструкция оборудования и помещений, методы испытаний и контроля и пределы допустимых концентраций остатков после очистки учитывают характер этих рисков. Обращать внимание на организацию работы производственными циклами (кампаниями), если это возможно. При выборе моющего средства учитывают растворимость лекарственного препарата.</w:t>
      </w:r>
    </w:p>
    <w:bookmarkEnd w:id="5210"/>
    <w:bookmarkStart w:name="z5341" w:id="5211"/>
    <w:p>
      <w:pPr>
        <w:spacing w:after="0"/>
        <w:ind w:left="0"/>
        <w:jc w:val="both"/>
      </w:pPr>
      <w:r>
        <w:rPr>
          <w:rFonts w:ascii="Times New Roman"/>
          <w:b w:val="false"/>
          <w:i w:val="false"/>
          <w:color w:val="000000"/>
          <w:sz w:val="28"/>
        </w:rPr>
        <w:t>
      Документация</w:t>
      </w:r>
    </w:p>
    <w:bookmarkEnd w:id="5211"/>
    <w:bookmarkStart w:name="z5342" w:id="5212"/>
    <w:p>
      <w:pPr>
        <w:spacing w:after="0"/>
        <w:ind w:left="0"/>
        <w:jc w:val="both"/>
      </w:pPr>
      <w:r>
        <w:rPr>
          <w:rFonts w:ascii="Times New Roman"/>
          <w:b w:val="false"/>
          <w:i w:val="false"/>
          <w:color w:val="000000"/>
          <w:sz w:val="28"/>
        </w:rPr>
        <w:t>
      Спецификации и инструкции</w:t>
      </w:r>
    </w:p>
    <w:bookmarkEnd w:id="5212"/>
    <w:bookmarkStart w:name="z5343" w:id="5213"/>
    <w:p>
      <w:pPr>
        <w:spacing w:after="0"/>
        <w:ind w:left="0"/>
        <w:jc w:val="both"/>
      </w:pPr>
      <w:r>
        <w:rPr>
          <w:rFonts w:ascii="Times New Roman"/>
          <w:b w:val="false"/>
          <w:i w:val="false"/>
          <w:color w:val="000000"/>
          <w:sz w:val="28"/>
        </w:rPr>
        <w:t>
      6. Спецификации (на исходное сырье, первичные упаковочные материалы, промежуточные продукты, нерасфасованную и готовую продукцию), регламенты, технологические инструкции и инструкции по упаковке полная, насколько это позволяет существующий уровень знаний о продукте. По ходу разработки лекарственного препарата их периодически оценивают и обновляют (при необходимости). В каждой новой версии учтены самые последние данные, используемая в настоящее время технология, нормативные и фармакопейные требования, новая версия также содержат ссылку на предыдущую версию, чтобы обеспечить прослеживаемость. Любые изменения, которые имеют последствия для качества лекарственного препарата, в частности для его стабильности и биоэквивалентности, вносят в соответствии с письменной процедурой.</w:t>
      </w:r>
    </w:p>
    <w:bookmarkEnd w:id="5213"/>
    <w:bookmarkStart w:name="z5344" w:id="5214"/>
    <w:p>
      <w:pPr>
        <w:spacing w:after="0"/>
        <w:ind w:left="0"/>
        <w:jc w:val="both"/>
      </w:pPr>
      <w:r>
        <w:rPr>
          <w:rFonts w:ascii="Times New Roman"/>
          <w:b w:val="false"/>
          <w:i w:val="false"/>
          <w:color w:val="000000"/>
          <w:sz w:val="28"/>
        </w:rPr>
        <w:t>
      7. Документально оформляют причины внесения изменений, исследованы и документально оформлены последствия изменения в отношении качества лекарственного препарата и любых текущих клинических исследований.</w:t>
      </w:r>
    </w:p>
    <w:bookmarkEnd w:id="5214"/>
    <w:bookmarkStart w:name="z5345" w:id="5215"/>
    <w:p>
      <w:pPr>
        <w:spacing w:after="0"/>
        <w:ind w:left="0"/>
        <w:jc w:val="both"/>
      </w:pPr>
      <w:r>
        <w:rPr>
          <w:rFonts w:ascii="Times New Roman"/>
          <w:b w:val="false"/>
          <w:i w:val="false"/>
          <w:color w:val="000000"/>
          <w:sz w:val="28"/>
        </w:rPr>
        <w:t>
      Заказ</w:t>
      </w:r>
    </w:p>
    <w:bookmarkEnd w:id="5215"/>
    <w:bookmarkStart w:name="z5346" w:id="5216"/>
    <w:p>
      <w:pPr>
        <w:spacing w:after="0"/>
        <w:ind w:left="0"/>
        <w:jc w:val="both"/>
      </w:pPr>
      <w:r>
        <w:rPr>
          <w:rFonts w:ascii="Times New Roman"/>
          <w:b w:val="false"/>
          <w:i w:val="false"/>
          <w:color w:val="000000"/>
          <w:sz w:val="28"/>
        </w:rPr>
        <w:t>
      8. Заказ содержит требование на производство и (или) упаковку определенного числа единиц продукции и (или) ее отгрузку. Заказ производителю дается спонсором или лицом, действующим по его поручению. Заказ оформлен в письменном виде (но может передаваться и электронным способом) и быть достаточно четким во избежание разночтений. Заказ официально утвержден и имеет ссылку на досье на лекарственный препарат и на протокол клинических исследований.</w:t>
      </w:r>
    </w:p>
    <w:bookmarkEnd w:id="5216"/>
    <w:bookmarkStart w:name="z5347" w:id="5217"/>
    <w:p>
      <w:pPr>
        <w:spacing w:after="0"/>
        <w:ind w:left="0"/>
        <w:jc w:val="both"/>
      </w:pPr>
      <w:r>
        <w:rPr>
          <w:rFonts w:ascii="Times New Roman"/>
          <w:b w:val="false"/>
          <w:i w:val="false"/>
          <w:color w:val="000000"/>
          <w:sz w:val="28"/>
        </w:rPr>
        <w:t>
      Досье на лекарственный препарат</w:t>
      </w:r>
    </w:p>
    <w:bookmarkEnd w:id="5217"/>
    <w:bookmarkStart w:name="z5348" w:id="5218"/>
    <w:p>
      <w:pPr>
        <w:spacing w:after="0"/>
        <w:ind w:left="0"/>
        <w:jc w:val="both"/>
      </w:pPr>
      <w:r>
        <w:rPr>
          <w:rFonts w:ascii="Times New Roman"/>
          <w:b w:val="false"/>
          <w:i w:val="false"/>
          <w:color w:val="000000"/>
          <w:sz w:val="28"/>
        </w:rPr>
        <w:t>
      9. Досье на лекарственный препарат непрерывно обновляется по мере разработки лекарственного препарата, обеспечивая соответствующую прослеживаемость предыдущих версий. Досье включает в себя следующие документы (или содержать на них ссылки):</w:t>
      </w:r>
    </w:p>
    <w:bookmarkEnd w:id="5218"/>
    <w:bookmarkStart w:name="z5349" w:id="5219"/>
    <w:p>
      <w:pPr>
        <w:spacing w:after="0"/>
        <w:ind w:left="0"/>
        <w:jc w:val="both"/>
      </w:pPr>
      <w:r>
        <w:rPr>
          <w:rFonts w:ascii="Times New Roman"/>
          <w:b w:val="false"/>
          <w:i w:val="false"/>
          <w:color w:val="000000"/>
          <w:sz w:val="28"/>
        </w:rPr>
        <w:t>
      спецификации и аналитические методики на исходное сырье и упаковочные материалы;</w:t>
      </w:r>
    </w:p>
    <w:bookmarkEnd w:id="5219"/>
    <w:bookmarkStart w:name="z5350" w:id="5220"/>
    <w:p>
      <w:pPr>
        <w:spacing w:after="0"/>
        <w:ind w:left="0"/>
        <w:jc w:val="both"/>
      </w:pPr>
      <w:r>
        <w:rPr>
          <w:rFonts w:ascii="Times New Roman"/>
          <w:b w:val="false"/>
          <w:i w:val="false"/>
          <w:color w:val="000000"/>
          <w:sz w:val="28"/>
        </w:rPr>
        <w:t>
      спецификации и аналитические методики на промежуточную, нерасфасованную и готовую продукцию;</w:t>
      </w:r>
    </w:p>
    <w:bookmarkEnd w:id="5220"/>
    <w:bookmarkStart w:name="z5351" w:id="5221"/>
    <w:p>
      <w:pPr>
        <w:spacing w:after="0"/>
        <w:ind w:left="0"/>
        <w:jc w:val="both"/>
      </w:pPr>
      <w:r>
        <w:rPr>
          <w:rFonts w:ascii="Times New Roman"/>
          <w:b w:val="false"/>
          <w:i w:val="false"/>
          <w:color w:val="000000"/>
          <w:sz w:val="28"/>
        </w:rPr>
        <w:t>
      технологические инструкции;</w:t>
      </w:r>
    </w:p>
    <w:bookmarkEnd w:id="5221"/>
    <w:bookmarkStart w:name="z5352" w:id="5222"/>
    <w:p>
      <w:pPr>
        <w:spacing w:after="0"/>
        <w:ind w:left="0"/>
        <w:jc w:val="both"/>
      </w:pPr>
      <w:r>
        <w:rPr>
          <w:rFonts w:ascii="Times New Roman"/>
          <w:b w:val="false"/>
          <w:i w:val="false"/>
          <w:color w:val="000000"/>
          <w:sz w:val="28"/>
        </w:rPr>
        <w:t>
      методики контроля в процессе производства; утвержденную копию этикетки; соответствующие протоколы клинических исследований и коды рандомизации (при необходимости);</w:t>
      </w:r>
    </w:p>
    <w:bookmarkEnd w:id="5222"/>
    <w:bookmarkStart w:name="z5353" w:id="5223"/>
    <w:p>
      <w:pPr>
        <w:spacing w:after="0"/>
        <w:ind w:left="0"/>
        <w:jc w:val="both"/>
      </w:pPr>
      <w:r>
        <w:rPr>
          <w:rFonts w:ascii="Times New Roman"/>
          <w:b w:val="false"/>
          <w:i w:val="false"/>
          <w:color w:val="000000"/>
          <w:sz w:val="28"/>
        </w:rPr>
        <w:t>
      соответствующие технические соглашения с заказчиками (при необходимости);</w:t>
      </w:r>
    </w:p>
    <w:bookmarkEnd w:id="5223"/>
    <w:bookmarkStart w:name="z5354" w:id="5224"/>
    <w:p>
      <w:pPr>
        <w:spacing w:after="0"/>
        <w:ind w:left="0"/>
        <w:jc w:val="both"/>
      </w:pPr>
      <w:r>
        <w:rPr>
          <w:rFonts w:ascii="Times New Roman"/>
          <w:b w:val="false"/>
          <w:i w:val="false"/>
          <w:color w:val="000000"/>
          <w:sz w:val="28"/>
        </w:rPr>
        <w:t>
      данные о стабильности;</w:t>
      </w:r>
    </w:p>
    <w:bookmarkEnd w:id="5224"/>
    <w:bookmarkStart w:name="z5355" w:id="5225"/>
    <w:p>
      <w:pPr>
        <w:spacing w:after="0"/>
        <w:ind w:left="0"/>
        <w:jc w:val="both"/>
      </w:pPr>
      <w:r>
        <w:rPr>
          <w:rFonts w:ascii="Times New Roman"/>
          <w:b w:val="false"/>
          <w:i w:val="false"/>
          <w:color w:val="000000"/>
          <w:sz w:val="28"/>
        </w:rPr>
        <w:t>
      условия хранения и транспортирования.</w:t>
      </w:r>
    </w:p>
    <w:bookmarkEnd w:id="5225"/>
    <w:bookmarkStart w:name="z5356" w:id="5226"/>
    <w:p>
      <w:pPr>
        <w:spacing w:after="0"/>
        <w:ind w:left="0"/>
        <w:jc w:val="both"/>
      </w:pPr>
      <w:r>
        <w:rPr>
          <w:rFonts w:ascii="Times New Roman"/>
          <w:b w:val="false"/>
          <w:i w:val="false"/>
          <w:color w:val="000000"/>
          <w:sz w:val="28"/>
        </w:rPr>
        <w:t>
      Приведенный выше перечень не предназначен для установления ограничений и не является исчерпывающим. Он может изменяться в зависимости от лекарственного препарата и стадии его разработки. Содержащаяся в досье информация служит основой при оценке готовности для приемки и выдачи разрешения на выпуск конкретной серии уполномоченным лицом, которое имеет доступ к этой информации. Если разные стадии процесса производства осуществляют на разных участках, где ответственность несут разные уполномоченные лица, допускается вести отдельные досье с ограниченной информацией, имеющей отношение к деятельности на соответствующих участках.</w:t>
      </w:r>
    </w:p>
    <w:bookmarkEnd w:id="5226"/>
    <w:bookmarkStart w:name="z5357" w:id="5227"/>
    <w:p>
      <w:pPr>
        <w:spacing w:after="0"/>
        <w:ind w:left="0"/>
        <w:jc w:val="both"/>
      </w:pPr>
      <w:r>
        <w:rPr>
          <w:rFonts w:ascii="Times New Roman"/>
          <w:b w:val="false"/>
          <w:i w:val="false"/>
          <w:color w:val="000000"/>
          <w:sz w:val="28"/>
        </w:rPr>
        <w:t>
      Регламент и технологические инструкции</w:t>
      </w:r>
    </w:p>
    <w:bookmarkEnd w:id="5227"/>
    <w:bookmarkStart w:name="z5358" w:id="5228"/>
    <w:p>
      <w:pPr>
        <w:spacing w:after="0"/>
        <w:ind w:left="0"/>
        <w:jc w:val="both"/>
      </w:pPr>
      <w:r>
        <w:rPr>
          <w:rFonts w:ascii="Times New Roman"/>
          <w:b w:val="false"/>
          <w:i w:val="false"/>
          <w:color w:val="000000"/>
          <w:sz w:val="28"/>
        </w:rPr>
        <w:t>
      10. Каждая производственная операция или операция по отгрузке выполняется в соответствии с четкой и достаточно полной письменной инструкцией и сопровождается оформлением записей. Если операция не является повторяемой, то не обязательно составлять регламент и технологические инструкции. Записи имеют особое значение для подготовки окончательных текстов документов, которые будут использоваться при серийном производстве после получения регистрационного удостоверения.</w:t>
      </w:r>
    </w:p>
    <w:bookmarkEnd w:id="5228"/>
    <w:bookmarkStart w:name="z5359" w:id="5229"/>
    <w:p>
      <w:pPr>
        <w:spacing w:after="0"/>
        <w:ind w:left="0"/>
        <w:jc w:val="both"/>
      </w:pPr>
      <w:r>
        <w:rPr>
          <w:rFonts w:ascii="Times New Roman"/>
          <w:b w:val="false"/>
          <w:i w:val="false"/>
          <w:color w:val="000000"/>
          <w:sz w:val="28"/>
        </w:rPr>
        <w:t>
      11. Информацию, содержащуюся в досье на лекарственный препарат, следует использовать при разработке детальных письменных инструкций по производству, упаковке, испытаниям для контроля качества, условиям хранения и транспортирования.</w:t>
      </w:r>
    </w:p>
    <w:bookmarkEnd w:id="5229"/>
    <w:bookmarkStart w:name="z5360" w:id="5230"/>
    <w:p>
      <w:pPr>
        <w:spacing w:after="0"/>
        <w:ind w:left="0"/>
        <w:jc w:val="both"/>
      </w:pPr>
      <w:r>
        <w:rPr>
          <w:rFonts w:ascii="Times New Roman"/>
          <w:b w:val="false"/>
          <w:i w:val="false"/>
          <w:color w:val="000000"/>
          <w:sz w:val="28"/>
        </w:rPr>
        <w:t>
      Инструкции по упаковке</w:t>
      </w:r>
    </w:p>
    <w:bookmarkEnd w:id="5230"/>
    <w:bookmarkStart w:name="z5361" w:id="5231"/>
    <w:p>
      <w:pPr>
        <w:spacing w:after="0"/>
        <w:ind w:left="0"/>
        <w:jc w:val="both"/>
      </w:pPr>
      <w:r>
        <w:rPr>
          <w:rFonts w:ascii="Times New Roman"/>
          <w:b w:val="false"/>
          <w:i w:val="false"/>
          <w:color w:val="000000"/>
          <w:sz w:val="28"/>
        </w:rPr>
        <w:t>
      12. Лекарственные препараты для клинических исследований, как правило, упаковываются индивидуально для каждого субъекта исследований. Количество единиц упаковываемой продукции определено до начала операций по упаковке с учетом количества единиц, необходимых для проведения контроля качества, и архивных образцов для хранения. После окончания упаковки и маркировки необходимо составить материальный баланс, чтобы гарантировать правильный учет каждого вида продукции для каждой стадии производства.</w:t>
      </w:r>
    </w:p>
    <w:bookmarkEnd w:id="5231"/>
    <w:bookmarkStart w:name="z5362" w:id="5232"/>
    <w:p>
      <w:pPr>
        <w:spacing w:after="0"/>
        <w:ind w:left="0"/>
        <w:jc w:val="both"/>
      </w:pPr>
      <w:r>
        <w:rPr>
          <w:rFonts w:ascii="Times New Roman"/>
          <w:b w:val="false"/>
          <w:i w:val="false"/>
          <w:color w:val="000000"/>
          <w:sz w:val="28"/>
        </w:rPr>
        <w:t>
      Записи по производству, контролю упаковке серии продукции (досье на серию)</w:t>
      </w:r>
    </w:p>
    <w:bookmarkEnd w:id="5232"/>
    <w:bookmarkStart w:name="z5363" w:id="5233"/>
    <w:p>
      <w:pPr>
        <w:spacing w:after="0"/>
        <w:ind w:left="0"/>
        <w:jc w:val="both"/>
      </w:pPr>
      <w:r>
        <w:rPr>
          <w:rFonts w:ascii="Times New Roman"/>
          <w:b w:val="false"/>
          <w:i w:val="false"/>
          <w:color w:val="000000"/>
          <w:sz w:val="28"/>
        </w:rPr>
        <w:t>
      13. Записи по производству, контролю и упаковке серии продукции (досье на серию) содержат достаточно подробную информацию для точного прослеживания последовательности операций. Эти записи содержат все существенные замечания, обосновывающие использованные процедуры или внесенные изменения, которые расширяют существующие знания о лекарственном препарате и позволяют усовершенствовать производственные операции.</w:t>
      </w:r>
    </w:p>
    <w:bookmarkEnd w:id="5233"/>
    <w:bookmarkStart w:name="z5364" w:id="5234"/>
    <w:p>
      <w:pPr>
        <w:spacing w:after="0"/>
        <w:ind w:left="0"/>
        <w:jc w:val="both"/>
      </w:pPr>
      <w:r>
        <w:rPr>
          <w:rFonts w:ascii="Times New Roman"/>
          <w:b w:val="false"/>
          <w:i w:val="false"/>
          <w:color w:val="000000"/>
          <w:sz w:val="28"/>
        </w:rPr>
        <w:t>
      14. Записи по производству, контролю и упаковке серии продукции (досье на серию) хранятся не менее 5 лет после завершения или официального прекращения последнего клинического исследования, в котором была использована эта серия.</w:t>
      </w:r>
    </w:p>
    <w:bookmarkEnd w:id="5234"/>
    <w:bookmarkStart w:name="z5365" w:id="5235"/>
    <w:p>
      <w:pPr>
        <w:spacing w:after="0"/>
        <w:ind w:left="0"/>
        <w:jc w:val="both"/>
      </w:pPr>
      <w:r>
        <w:rPr>
          <w:rFonts w:ascii="Times New Roman"/>
          <w:b w:val="false"/>
          <w:i w:val="false"/>
          <w:color w:val="000000"/>
          <w:sz w:val="28"/>
        </w:rPr>
        <w:t>
      Производство</w:t>
      </w:r>
    </w:p>
    <w:bookmarkEnd w:id="5235"/>
    <w:bookmarkStart w:name="z5366" w:id="5236"/>
    <w:p>
      <w:pPr>
        <w:spacing w:after="0"/>
        <w:ind w:left="0"/>
        <w:jc w:val="both"/>
      </w:pPr>
      <w:r>
        <w:rPr>
          <w:rFonts w:ascii="Times New Roman"/>
          <w:b w:val="false"/>
          <w:i w:val="false"/>
          <w:color w:val="000000"/>
          <w:sz w:val="28"/>
        </w:rPr>
        <w:t>
      Упаковочные материалы</w:t>
      </w:r>
    </w:p>
    <w:bookmarkEnd w:id="5236"/>
    <w:bookmarkStart w:name="z5367" w:id="5237"/>
    <w:p>
      <w:pPr>
        <w:spacing w:after="0"/>
        <w:ind w:left="0"/>
        <w:jc w:val="both"/>
      </w:pPr>
      <w:r>
        <w:rPr>
          <w:rFonts w:ascii="Times New Roman"/>
          <w:b w:val="false"/>
          <w:i w:val="false"/>
          <w:color w:val="000000"/>
          <w:sz w:val="28"/>
        </w:rPr>
        <w:t>
      15. В спецификациях и методиках контроля качества следует предусматривать специальные меры по предотвращению случайного раскодирования из-за различий внешнего вида разных серий упаковочных материалов.</w:t>
      </w:r>
    </w:p>
    <w:bookmarkEnd w:id="5237"/>
    <w:bookmarkStart w:name="z5368" w:id="5238"/>
    <w:p>
      <w:pPr>
        <w:spacing w:after="0"/>
        <w:ind w:left="0"/>
        <w:jc w:val="both"/>
      </w:pPr>
      <w:r>
        <w:rPr>
          <w:rFonts w:ascii="Times New Roman"/>
          <w:b w:val="false"/>
          <w:i w:val="false"/>
          <w:color w:val="000000"/>
          <w:sz w:val="28"/>
        </w:rPr>
        <w:t>
      Технологические операции</w:t>
      </w:r>
    </w:p>
    <w:bookmarkEnd w:id="5238"/>
    <w:bookmarkStart w:name="z5369" w:id="5239"/>
    <w:p>
      <w:pPr>
        <w:spacing w:after="0"/>
        <w:ind w:left="0"/>
        <w:jc w:val="both"/>
      </w:pPr>
      <w:r>
        <w:rPr>
          <w:rFonts w:ascii="Times New Roman"/>
          <w:b w:val="false"/>
          <w:i w:val="false"/>
          <w:color w:val="000000"/>
          <w:sz w:val="28"/>
        </w:rPr>
        <w:t>
      16. На стадии разработки лекарственного препарата следует определить критические параметры и виды контроля в процессе производства. Временные параметры и виды контроля в процессе производства могут быть получены из приобретенного опыта, в том числе из предыдущих исследований по разработке. Ключевой персонал уделяет особое внимание разработке необходимых инструкций постоянному их совершенствованию с учетом опыта, приобретаемого в процессе производства. Установленные и контролируемые параметры обоснованы в соответствии с имеющейся в данное время информацией.</w:t>
      </w:r>
    </w:p>
    <w:bookmarkEnd w:id="5239"/>
    <w:bookmarkStart w:name="z5370" w:id="5240"/>
    <w:p>
      <w:pPr>
        <w:spacing w:after="0"/>
        <w:ind w:left="0"/>
        <w:jc w:val="both"/>
      </w:pPr>
      <w:r>
        <w:rPr>
          <w:rFonts w:ascii="Times New Roman"/>
          <w:b w:val="false"/>
          <w:i w:val="false"/>
          <w:color w:val="000000"/>
          <w:sz w:val="28"/>
        </w:rPr>
        <w:t>
      17. Не обязательно проводить валидацию технологических процессов производства лекарственных препаратов для исследований в объеме, предусматриваемом для серийного производства, но помещения оборудование квалифицированы. Для стерильных лекарственных препаратов валидация процессов стерилизации проводится по тем же стандартам, что и для зарегистрированных лекарственных препаратов. При необходимости, для гарантирования безопасности биотехнологических лекарственных препаратов следует доказать инактивацию (удаление) вирусов и (или) других примесей биологического происхождения в соответствии с научными принципами и методами, изложенными в соответствующих руководствах, действующих в данной области.</w:t>
      </w:r>
    </w:p>
    <w:bookmarkEnd w:id="5240"/>
    <w:bookmarkStart w:name="z5371" w:id="5241"/>
    <w:p>
      <w:pPr>
        <w:spacing w:after="0"/>
        <w:ind w:left="0"/>
        <w:jc w:val="both"/>
      </w:pPr>
      <w:r>
        <w:rPr>
          <w:rFonts w:ascii="Times New Roman"/>
          <w:b w:val="false"/>
          <w:i w:val="false"/>
          <w:color w:val="000000"/>
          <w:sz w:val="28"/>
        </w:rPr>
        <w:t>
      18. Валидация асептических процессов представляет особую трудность при малых размерах серий продукции. В этих случаях количество первичных упаковок, наполняемых средами, равно наибольшему размеру серии продукции. По возможности (в том числе для имитации процесса) наполняют средами большее число единиц продукции для обеспечения большей достоверности результатов. Наполнение и герметизация являются преимущественно ручными или полуавтоматическими операциями, представляющими риск для стерильности. В связи с этим уделят повышенное внимание обучению персонала и проведению валидации методов асептического производства с участием каждого оператора.</w:t>
      </w:r>
    </w:p>
    <w:bookmarkEnd w:id="5241"/>
    <w:bookmarkStart w:name="z5372" w:id="5242"/>
    <w:p>
      <w:pPr>
        <w:spacing w:after="0"/>
        <w:ind w:left="0"/>
        <w:jc w:val="both"/>
      </w:pPr>
      <w:r>
        <w:rPr>
          <w:rFonts w:ascii="Times New Roman"/>
          <w:b w:val="false"/>
          <w:i w:val="false"/>
          <w:color w:val="000000"/>
          <w:sz w:val="28"/>
        </w:rPr>
        <w:t>
      Требования к препарату сравнения</w:t>
      </w:r>
    </w:p>
    <w:bookmarkEnd w:id="5242"/>
    <w:bookmarkStart w:name="z5373" w:id="5243"/>
    <w:p>
      <w:pPr>
        <w:spacing w:after="0"/>
        <w:ind w:left="0"/>
        <w:jc w:val="both"/>
      </w:pPr>
      <w:r>
        <w:rPr>
          <w:rFonts w:ascii="Times New Roman"/>
          <w:b w:val="false"/>
          <w:i w:val="false"/>
          <w:color w:val="000000"/>
          <w:sz w:val="28"/>
        </w:rPr>
        <w:t>
      19. При изменениях лекарственного препарата объем информации о нем (например, по результатам исследования стабильности, сравнительному тесту кинетики растворения, биодоступности) достаточным для доказательства того, что эти изменения не окажут существенного влияния на исходные параметры качества этого лекарственного препарата.</w:t>
      </w:r>
    </w:p>
    <w:bookmarkEnd w:id="5243"/>
    <w:bookmarkStart w:name="z5374" w:id="5244"/>
    <w:p>
      <w:pPr>
        <w:spacing w:after="0"/>
        <w:ind w:left="0"/>
        <w:jc w:val="both"/>
      </w:pPr>
      <w:r>
        <w:rPr>
          <w:rFonts w:ascii="Times New Roman"/>
          <w:b w:val="false"/>
          <w:i w:val="false"/>
          <w:color w:val="000000"/>
          <w:sz w:val="28"/>
        </w:rPr>
        <w:t>
      20. Срок годности препарата сравнения, указанный на первоначальной упаковке, не такой же как для переупакованного в другую упаковку препарата, которая не обеспечивает эквивалентный уровень защиты или несовместимы с препаратом. Поэтому спонсор или лицо, действующее от его имени, определяют приемлемую дату, до которой используют препарат; при этом принимают во внимание природу препарата, характеристики контейнера и условия, в которых будет храниться препарат. Новый срок годности обоснован и не превышает срок годности, указанный на первоначальной упаковке. Срок годности согласовывается с длительностью клинического исследования.</w:t>
      </w:r>
    </w:p>
    <w:bookmarkEnd w:id="5244"/>
    <w:bookmarkStart w:name="z5375" w:id="5245"/>
    <w:p>
      <w:pPr>
        <w:spacing w:after="0"/>
        <w:ind w:left="0"/>
        <w:jc w:val="both"/>
      </w:pPr>
      <w:r>
        <w:rPr>
          <w:rFonts w:ascii="Times New Roman"/>
          <w:b w:val="false"/>
          <w:i w:val="false"/>
          <w:color w:val="000000"/>
          <w:sz w:val="28"/>
        </w:rPr>
        <w:t>
      Операции по кодированию ("слепой" метод)</w:t>
      </w:r>
    </w:p>
    <w:bookmarkEnd w:id="5245"/>
    <w:bookmarkStart w:name="z5376" w:id="5246"/>
    <w:p>
      <w:pPr>
        <w:spacing w:after="0"/>
        <w:ind w:left="0"/>
        <w:jc w:val="both"/>
      </w:pPr>
      <w:r>
        <w:rPr>
          <w:rFonts w:ascii="Times New Roman"/>
          <w:b w:val="false"/>
          <w:i w:val="false"/>
          <w:color w:val="000000"/>
          <w:sz w:val="28"/>
        </w:rPr>
        <w:t>
      21. Если лекарственные препараты кодируют, системы, обеспечивающие достижение и сохранение кодировки, но при необходимости позволяющие идентифицировать закодированную ("слепую") продукцию, в том числе номера серий лекарственного препарата до операции по кодированию. Предусмотреть возможность быстрой идентификации лекарственного препарата в экстренных случаях.</w:t>
      </w:r>
    </w:p>
    <w:bookmarkEnd w:id="5246"/>
    <w:bookmarkStart w:name="z5377" w:id="5247"/>
    <w:p>
      <w:pPr>
        <w:spacing w:after="0"/>
        <w:ind w:left="0"/>
        <w:jc w:val="both"/>
      </w:pPr>
      <w:r>
        <w:rPr>
          <w:rFonts w:ascii="Times New Roman"/>
          <w:b w:val="false"/>
          <w:i w:val="false"/>
          <w:color w:val="000000"/>
          <w:sz w:val="28"/>
        </w:rPr>
        <w:t>
      Код рандомизации</w:t>
      </w:r>
    </w:p>
    <w:bookmarkEnd w:id="5247"/>
    <w:bookmarkStart w:name="z5378" w:id="5248"/>
    <w:p>
      <w:pPr>
        <w:spacing w:after="0"/>
        <w:ind w:left="0"/>
        <w:jc w:val="both"/>
      </w:pPr>
      <w:r>
        <w:rPr>
          <w:rFonts w:ascii="Times New Roman"/>
          <w:b w:val="false"/>
          <w:i w:val="false"/>
          <w:color w:val="000000"/>
          <w:sz w:val="28"/>
        </w:rPr>
        <w:t>
      22. В инструкциях описаны все процедуры по созданию, защите, распределению, обработке и хранению любого кода рандомизации, использованного для упакованных лекарственных препаратов для клинических исследований, а также методы раскрытия кода. Ведутся соответствующие записи.</w:t>
      </w:r>
    </w:p>
    <w:bookmarkEnd w:id="5248"/>
    <w:bookmarkStart w:name="z5379" w:id="5249"/>
    <w:p>
      <w:pPr>
        <w:spacing w:after="0"/>
        <w:ind w:left="0"/>
        <w:jc w:val="both"/>
      </w:pPr>
      <w:r>
        <w:rPr>
          <w:rFonts w:ascii="Times New Roman"/>
          <w:b w:val="false"/>
          <w:i w:val="false"/>
          <w:color w:val="000000"/>
          <w:sz w:val="28"/>
        </w:rPr>
        <w:t>
      Операции по упаковке</w:t>
      </w:r>
    </w:p>
    <w:bookmarkEnd w:id="5249"/>
    <w:bookmarkStart w:name="z5380" w:id="5250"/>
    <w:p>
      <w:pPr>
        <w:spacing w:after="0"/>
        <w:ind w:left="0"/>
        <w:jc w:val="both"/>
      </w:pPr>
      <w:r>
        <w:rPr>
          <w:rFonts w:ascii="Times New Roman"/>
          <w:b w:val="false"/>
          <w:i w:val="false"/>
          <w:color w:val="000000"/>
          <w:sz w:val="28"/>
        </w:rPr>
        <w:t>
      23. При упаковке лекарственного препарата для клинических исследований могут оказаться необходимым одновременное обращение продукции различных видов на одной и той же упаковочной линии. Риск перепутывания лекарственных препаратов путем выполнения соответствующих процедур и (или) применения специального оборудования и соответствующего обучения персонала сведен к минимуму.</w:t>
      </w:r>
    </w:p>
    <w:bookmarkEnd w:id="5250"/>
    <w:bookmarkStart w:name="z5381" w:id="5251"/>
    <w:p>
      <w:pPr>
        <w:spacing w:after="0"/>
        <w:ind w:left="0"/>
        <w:jc w:val="both"/>
      </w:pPr>
      <w:r>
        <w:rPr>
          <w:rFonts w:ascii="Times New Roman"/>
          <w:b w:val="false"/>
          <w:i w:val="false"/>
          <w:color w:val="000000"/>
          <w:sz w:val="28"/>
        </w:rPr>
        <w:t>
      24. Операции по упаковке и маркировке лекарственных препаратов для клинических исследований могут быть более сложными более подверженными ошибкам (которые труднее выявлять), чем при производстве зарегистрированных лекарственных препаратов. Особенно это касается лекарственных препаратов с похожим внешним видом при использовании "слепого" метода. В связи с этим требуется принимать особые меры по предотвращению ошибок в маркировке, например, за счет сведения баланса этикеток, очистки линии, контроля в процессе производства специально обученным персоналом.</w:t>
      </w:r>
    </w:p>
    <w:bookmarkEnd w:id="5251"/>
    <w:bookmarkStart w:name="z5382" w:id="5252"/>
    <w:p>
      <w:pPr>
        <w:spacing w:after="0"/>
        <w:ind w:left="0"/>
        <w:jc w:val="both"/>
      </w:pPr>
      <w:r>
        <w:rPr>
          <w:rFonts w:ascii="Times New Roman"/>
          <w:b w:val="false"/>
          <w:i w:val="false"/>
          <w:color w:val="000000"/>
          <w:sz w:val="28"/>
        </w:rPr>
        <w:t>
      25. Упаковка гарантирует сохранность лекарственного препарата для клинических исследований в надлежащем состоянии при транспортировании и хранении в промежуточных пунктах назначения. Вторичная (потребительская) упаковка такая, что сразу заметно ее вскрытие или любое иное вмешательство во время транспортирования.</w:t>
      </w:r>
    </w:p>
    <w:bookmarkEnd w:id="5252"/>
    <w:bookmarkStart w:name="z5383" w:id="5253"/>
    <w:p>
      <w:pPr>
        <w:spacing w:after="0"/>
        <w:ind w:left="0"/>
        <w:jc w:val="both"/>
      </w:pPr>
      <w:r>
        <w:rPr>
          <w:rFonts w:ascii="Times New Roman"/>
          <w:b w:val="false"/>
          <w:i w:val="false"/>
          <w:color w:val="000000"/>
          <w:sz w:val="28"/>
        </w:rPr>
        <w:t>
      Маркировка</w:t>
      </w:r>
    </w:p>
    <w:bookmarkEnd w:id="5253"/>
    <w:bookmarkStart w:name="z5384" w:id="5254"/>
    <w:p>
      <w:pPr>
        <w:spacing w:after="0"/>
        <w:ind w:left="0"/>
        <w:jc w:val="both"/>
      </w:pPr>
      <w:r>
        <w:rPr>
          <w:rFonts w:ascii="Times New Roman"/>
          <w:b w:val="false"/>
          <w:i w:val="false"/>
          <w:color w:val="000000"/>
          <w:sz w:val="28"/>
        </w:rPr>
        <w:t>
      26. В таблице 1 суммированы требования, содержащиеся в пунктах 26-30 настоящего приложения. Маркировка обеспечивает защиту субъекта исследований, возможность прослеживания и идентификации лекарственного препарата и исследования и способствовать правильному применению лекарственного препарата для клинических исследований. На этикетках содержится следующая информация, если не обосновано ее отсутствие (например, при наличии централизованной электронной системы рандомизированного кодирования):</w:t>
      </w:r>
    </w:p>
    <w:bookmarkEnd w:id="5254"/>
    <w:bookmarkStart w:name="z5385" w:id="5255"/>
    <w:p>
      <w:pPr>
        <w:spacing w:after="0"/>
        <w:ind w:left="0"/>
        <w:jc w:val="both"/>
      </w:pPr>
      <w:r>
        <w:rPr>
          <w:rFonts w:ascii="Times New Roman"/>
          <w:b w:val="false"/>
          <w:i w:val="false"/>
          <w:color w:val="000000"/>
          <w:sz w:val="28"/>
        </w:rPr>
        <w:t>
      а) наименование (имя), адрес и номер телефона спонсора, контрактной исследовательской организации или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bookmarkEnd w:id="5255"/>
    <w:bookmarkStart w:name="z5386" w:id="5256"/>
    <w:p>
      <w:pPr>
        <w:spacing w:after="0"/>
        <w:ind w:left="0"/>
        <w:jc w:val="both"/>
      </w:pPr>
      <w:r>
        <w:rPr>
          <w:rFonts w:ascii="Times New Roman"/>
          <w:b w:val="false"/>
          <w:i w:val="false"/>
          <w:color w:val="000000"/>
          <w:sz w:val="28"/>
        </w:rPr>
        <w:t>
      b) лекарственная форма, способ введения, количество дозированных единиц, и в случае проведения открытого исследования - наименование (шифр) лекарственного препарата и его дозировка (активность);</w:t>
      </w:r>
    </w:p>
    <w:bookmarkEnd w:id="5256"/>
    <w:bookmarkStart w:name="z5387" w:id="5257"/>
    <w:p>
      <w:pPr>
        <w:spacing w:after="0"/>
        <w:ind w:left="0"/>
        <w:jc w:val="both"/>
      </w:pPr>
      <w:r>
        <w:rPr>
          <w:rFonts w:ascii="Times New Roman"/>
          <w:b w:val="false"/>
          <w:i w:val="false"/>
          <w:color w:val="000000"/>
          <w:sz w:val="28"/>
        </w:rPr>
        <w:t>
      c) номер серии и (или) код для идентификации содержимого и операции по упаковке;</w:t>
      </w:r>
    </w:p>
    <w:bookmarkEnd w:id="5257"/>
    <w:bookmarkStart w:name="z5388" w:id="5258"/>
    <w:p>
      <w:pPr>
        <w:spacing w:after="0"/>
        <w:ind w:left="0"/>
        <w:jc w:val="both"/>
      </w:pPr>
      <w:r>
        <w:rPr>
          <w:rFonts w:ascii="Times New Roman"/>
          <w:b w:val="false"/>
          <w:i w:val="false"/>
          <w:color w:val="000000"/>
          <w:sz w:val="28"/>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bookmarkEnd w:id="5258"/>
    <w:bookmarkStart w:name="z5389" w:id="5259"/>
    <w:p>
      <w:pPr>
        <w:spacing w:after="0"/>
        <w:ind w:left="0"/>
        <w:jc w:val="both"/>
      </w:pPr>
      <w:r>
        <w:rPr>
          <w:rFonts w:ascii="Times New Roman"/>
          <w:b w:val="false"/>
          <w:i w:val="false"/>
          <w:color w:val="000000"/>
          <w:sz w:val="28"/>
        </w:rPr>
        <w:t>
      e) идентификационный номер (лечебный номер) субъекта клинического исследования и при необходимости номер визита;</w:t>
      </w:r>
    </w:p>
    <w:bookmarkEnd w:id="5259"/>
    <w:bookmarkStart w:name="z5390" w:id="5260"/>
    <w:p>
      <w:pPr>
        <w:spacing w:after="0"/>
        <w:ind w:left="0"/>
        <w:jc w:val="both"/>
      </w:pPr>
      <w:r>
        <w:rPr>
          <w:rFonts w:ascii="Times New Roman"/>
          <w:b w:val="false"/>
          <w:i w:val="false"/>
          <w:color w:val="000000"/>
          <w:sz w:val="28"/>
        </w:rPr>
        <w:t>
      f) фамилия и инициалы исследователя (если не указано в пунктах a) или d));</w:t>
      </w:r>
    </w:p>
    <w:bookmarkEnd w:id="5260"/>
    <w:bookmarkStart w:name="z5391" w:id="5261"/>
    <w:p>
      <w:pPr>
        <w:spacing w:after="0"/>
        <w:ind w:left="0"/>
        <w:jc w:val="both"/>
      </w:pPr>
      <w:r>
        <w:rPr>
          <w:rFonts w:ascii="Times New Roman"/>
          <w:b w:val="false"/>
          <w:i w:val="false"/>
          <w:color w:val="000000"/>
          <w:sz w:val="28"/>
        </w:rPr>
        <w:t>
      g) инструкция по применению (может быть приведена ссылка на листок-вкладыш либо другой пояснительный документ, предназначенный для субъекта клинического исследования или лица, которое вводит лекарственный препарат);</w:t>
      </w:r>
    </w:p>
    <w:bookmarkEnd w:id="5261"/>
    <w:bookmarkStart w:name="z5392" w:id="5262"/>
    <w:p>
      <w:pPr>
        <w:spacing w:after="0"/>
        <w:ind w:left="0"/>
        <w:jc w:val="both"/>
      </w:pPr>
      <w:r>
        <w:rPr>
          <w:rFonts w:ascii="Times New Roman"/>
          <w:b w:val="false"/>
          <w:i w:val="false"/>
          <w:color w:val="000000"/>
          <w:sz w:val="28"/>
        </w:rPr>
        <w:t>
      h) надпись "Только для клинических исследований" или аналогичная формулировка;</w:t>
      </w:r>
    </w:p>
    <w:bookmarkEnd w:id="5262"/>
    <w:bookmarkStart w:name="z5393" w:id="5263"/>
    <w:p>
      <w:pPr>
        <w:spacing w:after="0"/>
        <w:ind w:left="0"/>
        <w:jc w:val="both"/>
      </w:pPr>
      <w:r>
        <w:rPr>
          <w:rFonts w:ascii="Times New Roman"/>
          <w:b w:val="false"/>
          <w:i w:val="false"/>
          <w:color w:val="000000"/>
          <w:sz w:val="28"/>
        </w:rPr>
        <w:t>
      i) условия хранения;</w:t>
      </w:r>
    </w:p>
    <w:bookmarkEnd w:id="5263"/>
    <w:bookmarkStart w:name="z5394" w:id="5264"/>
    <w:p>
      <w:pPr>
        <w:spacing w:after="0"/>
        <w:ind w:left="0"/>
        <w:jc w:val="both"/>
      </w:pPr>
      <w:r>
        <w:rPr>
          <w:rFonts w:ascii="Times New Roman"/>
          <w:b w:val="false"/>
          <w:i w:val="false"/>
          <w:color w:val="000000"/>
          <w:sz w:val="28"/>
        </w:rPr>
        <w:t>
      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bookmarkEnd w:id="5264"/>
    <w:bookmarkStart w:name="z5395" w:id="5265"/>
    <w:p>
      <w:pPr>
        <w:spacing w:after="0"/>
        <w:ind w:left="0"/>
        <w:jc w:val="both"/>
      </w:pPr>
      <w:r>
        <w:rPr>
          <w:rFonts w:ascii="Times New Roman"/>
          <w:b w:val="false"/>
          <w:i w:val="false"/>
          <w:color w:val="000000"/>
          <w:sz w:val="28"/>
        </w:rPr>
        <w:t>
      k) надпись "Хранить в недоступном для детей месте", за исключением случаев, когда лекарственный препарат предназначен для использования только в условиях стационара.</w:t>
      </w:r>
    </w:p>
    <w:bookmarkEnd w:id="5265"/>
    <w:bookmarkStart w:name="z5396" w:id="5266"/>
    <w:p>
      <w:pPr>
        <w:spacing w:after="0"/>
        <w:ind w:left="0"/>
        <w:jc w:val="both"/>
      </w:pPr>
      <w:r>
        <w:rPr>
          <w:rFonts w:ascii="Times New Roman"/>
          <w:b w:val="false"/>
          <w:i w:val="false"/>
          <w:color w:val="000000"/>
          <w:sz w:val="28"/>
        </w:rPr>
        <w:t>
      27. Адрес и номер телефона основного контактного лица для передачи информации относительно лекарственного препарата, клинического исследования и экстренного раскодирования, могут быть не указаны на этикетке, если субъекту исследования предоставлены инструкция по применению или карточка, на которой указаны эти данные, а также дана инструкция держать их при себе постоянно.</w:t>
      </w:r>
    </w:p>
    <w:bookmarkEnd w:id="5266"/>
    <w:bookmarkStart w:name="z5397" w:id="5267"/>
    <w:p>
      <w:pPr>
        <w:spacing w:after="0"/>
        <w:ind w:left="0"/>
        <w:jc w:val="both"/>
      </w:pPr>
      <w:r>
        <w:rPr>
          <w:rFonts w:ascii="Times New Roman"/>
          <w:b w:val="false"/>
          <w:i w:val="false"/>
          <w:color w:val="000000"/>
          <w:sz w:val="28"/>
        </w:rPr>
        <w:t>
      28. Данные приведены на официальном языке (языках) страны, где будет применяться лекарственный препарат для клинических исследований. Данные, приведенные в пункте 26 настоящего приложения, находится как на первичной (внутренней), так и на вторичной (потребительской) упаковке (кроме случаев, описанных в пунктах 29 и 30 настоящего приложения). Требования к содержанию этикеток на первичной (внутренней) и вторичной (потребительской) упаковках приведены в таблице 1. Также на этикетках может быть приведена информация на других языках.</w:t>
      </w:r>
    </w:p>
    <w:bookmarkEnd w:id="5267"/>
    <w:bookmarkStart w:name="z5398" w:id="5268"/>
    <w:p>
      <w:pPr>
        <w:spacing w:after="0"/>
        <w:ind w:left="0"/>
        <w:jc w:val="both"/>
      </w:pPr>
      <w:r>
        <w:rPr>
          <w:rFonts w:ascii="Times New Roman"/>
          <w:b w:val="false"/>
          <w:i w:val="false"/>
          <w:color w:val="000000"/>
          <w:sz w:val="28"/>
        </w:rPr>
        <w:t>
      29. Если лекарственный препарат подготовлен для субъекта исследований или лица, которое вводит лекарственный препарат, в первичном контейнере вместе со вторичной (потребительской) упаковкой, которые следует оставлять вместе, и на вторичной (потребительской) упаковке содержатся данные, приведенные в пункте 26 данного Приложения, на этикетке первичного контейнера (или любого укупоренного дозирующего устройства, содержащего первичный контейнер) указана следующая информация:</w:t>
      </w:r>
    </w:p>
    <w:bookmarkEnd w:id="5268"/>
    <w:bookmarkStart w:name="z5399" w:id="5269"/>
    <w:p>
      <w:pPr>
        <w:spacing w:after="0"/>
        <w:ind w:left="0"/>
        <w:jc w:val="both"/>
      </w:pPr>
      <w:r>
        <w:rPr>
          <w:rFonts w:ascii="Times New Roman"/>
          <w:b w:val="false"/>
          <w:i w:val="false"/>
          <w:color w:val="000000"/>
          <w:sz w:val="28"/>
        </w:rPr>
        <w:t>
      a) наименование (имя) спонсора, контрактной исследовательской организации или исследователя;</w:t>
      </w:r>
    </w:p>
    <w:bookmarkEnd w:id="5269"/>
    <w:bookmarkStart w:name="z5400" w:id="5270"/>
    <w:p>
      <w:pPr>
        <w:spacing w:after="0"/>
        <w:ind w:left="0"/>
        <w:jc w:val="both"/>
      </w:pPr>
      <w:r>
        <w:rPr>
          <w:rFonts w:ascii="Times New Roman"/>
          <w:b w:val="false"/>
          <w:i w:val="false"/>
          <w:color w:val="000000"/>
          <w:sz w:val="28"/>
        </w:rPr>
        <w:t>
      b) лекарственная форма, способ введения (можно не указывать для твердых лекарственных форм для применения внутрь), количество дозированных единиц и в случае проведения открытого исследования наименование (шифр) лекарственного препарата и его дозировка (активность);</w:t>
      </w:r>
    </w:p>
    <w:bookmarkEnd w:id="5270"/>
    <w:bookmarkStart w:name="z5401" w:id="5271"/>
    <w:p>
      <w:pPr>
        <w:spacing w:after="0"/>
        <w:ind w:left="0"/>
        <w:jc w:val="both"/>
      </w:pPr>
      <w:r>
        <w:rPr>
          <w:rFonts w:ascii="Times New Roman"/>
          <w:b w:val="false"/>
          <w:i w:val="false"/>
          <w:color w:val="000000"/>
          <w:sz w:val="28"/>
        </w:rPr>
        <w:t>
      c) номер серии и (или) код для идентификации содержимого и операции по упаковке;</w:t>
      </w:r>
    </w:p>
    <w:bookmarkEnd w:id="5271"/>
    <w:bookmarkStart w:name="z5402" w:id="5272"/>
    <w:p>
      <w:pPr>
        <w:spacing w:after="0"/>
        <w:ind w:left="0"/>
        <w:jc w:val="both"/>
      </w:pPr>
      <w:r>
        <w:rPr>
          <w:rFonts w:ascii="Times New Roman"/>
          <w:b w:val="false"/>
          <w:i w:val="false"/>
          <w:color w:val="000000"/>
          <w:sz w:val="28"/>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bookmarkEnd w:id="5272"/>
    <w:bookmarkStart w:name="z5403" w:id="5273"/>
    <w:p>
      <w:pPr>
        <w:spacing w:after="0"/>
        <w:ind w:left="0"/>
        <w:jc w:val="both"/>
      </w:pPr>
      <w:r>
        <w:rPr>
          <w:rFonts w:ascii="Times New Roman"/>
          <w:b w:val="false"/>
          <w:i w:val="false"/>
          <w:color w:val="000000"/>
          <w:sz w:val="28"/>
        </w:rPr>
        <w:t>
      e) идентификационный номер (лечебный номер) субъекта клинического исследования и при необходимости номер визита.</w:t>
      </w:r>
    </w:p>
    <w:bookmarkEnd w:id="5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5274"/>
          <w:p>
            <w:pPr>
              <w:spacing w:after="20"/>
              <w:ind w:left="20"/>
              <w:jc w:val="both"/>
            </w:pPr>
            <w:r>
              <w:rPr>
                <w:rFonts w:ascii="Times New Roman"/>
                <w:b w:val="false"/>
                <w:i w:val="false"/>
                <w:color w:val="000000"/>
                <w:sz w:val="20"/>
              </w:rPr>
              <w:t>
а) наименование (имя), адрес и номер телефона спонсора, контрактной исследовательской организации исследователя (основное контактное лицо для информации относительно лекарственного препарата, клинического исследования и для экстренного раскодирования);</w:t>
            </w:r>
          </w:p>
          <w:bookmarkEnd w:id="5274"/>
          <w:p>
            <w:pPr>
              <w:spacing w:after="20"/>
              <w:ind w:left="20"/>
              <w:jc w:val="both"/>
            </w:pPr>
            <w:r>
              <w:rPr>
                <w:rFonts w:ascii="Times New Roman"/>
                <w:b w:val="false"/>
                <w:i w:val="false"/>
                <w:color w:val="000000"/>
                <w:sz w:val="20"/>
              </w:rPr>
              <w:t>
b) лекарственная форма, способ введения, количество дозированных единиц, и в случае проведения открытого исследования - наименование (шифр) лекарственного препарата и его дозировка (активность);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5275"/>
          <w:p>
            <w:pPr>
              <w:spacing w:after="20"/>
              <w:ind w:left="20"/>
              <w:jc w:val="both"/>
            </w:pPr>
            <w:r>
              <w:rPr>
                <w:rFonts w:ascii="Times New Roman"/>
                <w:b w:val="false"/>
                <w:i w:val="false"/>
                <w:color w:val="000000"/>
                <w:sz w:val="20"/>
              </w:rPr>
              <w:t>
ОБЩИЙ СЛУЧАЙ</w:t>
            </w:r>
          </w:p>
          <w:bookmarkEnd w:id="5275"/>
          <w:p>
            <w:pPr>
              <w:spacing w:after="20"/>
              <w:ind w:left="20"/>
              <w:jc w:val="both"/>
            </w:pPr>
            <w:r>
              <w:rPr>
                <w:rFonts w:ascii="Times New Roman"/>
                <w:b w:val="false"/>
                <w:i w:val="false"/>
                <w:color w:val="000000"/>
                <w:sz w:val="20"/>
              </w:rPr>
              <w:t>
</w:t>
            </w:r>
            <w:r>
              <w:rPr>
                <w:rFonts w:ascii="Times New Roman"/>
                <w:b w:val="false"/>
                <w:i w:val="false"/>
                <w:color w:val="000000"/>
                <w:sz w:val="20"/>
              </w:rPr>
              <w:t>Для первичной (внутренней)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и вторичной (потребительской)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упаковки (пункт 26)</w:t>
            </w:r>
          </w:p>
          <w:bookmarkStart w:name="z5410" w:id="5276"/>
          <w:p>
            <w:pPr>
              <w:spacing w:after="20"/>
              <w:ind w:left="20"/>
              <w:jc w:val="both"/>
            </w:pPr>
          </w:p>
          <w:bookmarkEnd w:id="5276"/>
          <w:p>
            <w:pPr>
              <w:spacing w:after="20"/>
              <w:ind w:left="20"/>
              <w:jc w:val="both"/>
            </w:pPr>
            <w:r>
              <w:drawing>
                <wp:inline distT="0" distB="0" distL="0" distR="0">
                  <wp:extent cx="3225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25800" cy="850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5277"/>
          <w:p>
            <w:pPr>
              <w:spacing w:after="20"/>
              <w:ind w:left="20"/>
              <w:jc w:val="both"/>
            </w:pPr>
            <w:r>
              <w:rPr>
                <w:rFonts w:ascii="Times New Roman"/>
                <w:b w:val="false"/>
                <w:i w:val="false"/>
                <w:color w:val="000000"/>
                <w:sz w:val="20"/>
              </w:rPr>
              <w:t>
c) номер серии и (или) код для идентификации содержимого и указание операции по упаковке;</w:t>
            </w:r>
          </w:p>
          <w:bookmarkEnd w:id="5277"/>
          <w:p>
            <w:pPr>
              <w:spacing w:after="20"/>
              <w:ind w:left="20"/>
              <w:jc w:val="both"/>
            </w:pPr>
            <w:r>
              <w:rPr>
                <w:rFonts w:ascii="Times New Roman"/>
                <w:b w:val="false"/>
                <w:i w:val="false"/>
                <w:color w:val="000000"/>
                <w:sz w:val="20"/>
              </w:rPr>
              <w:t>
</w:t>
            </w:r>
            <w:r>
              <w:rPr>
                <w:rFonts w:ascii="Times New Roman"/>
                <w:b w:val="false"/>
                <w:i w:val="false"/>
                <w:color w:val="000000"/>
                <w:sz w:val="20"/>
              </w:rPr>
              <w:t>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e) идентификационный номер (лечебный номер) субъекта клинического исследования и при необходимости номер визита;</w:t>
            </w:r>
          </w:p>
          <w:p>
            <w:pPr>
              <w:spacing w:after="20"/>
              <w:ind w:left="20"/>
              <w:jc w:val="both"/>
            </w:pPr>
            <w:r>
              <w:rPr>
                <w:rFonts w:ascii="Times New Roman"/>
                <w:b w:val="false"/>
                <w:i w:val="false"/>
                <w:color w:val="000000"/>
                <w:sz w:val="20"/>
              </w:rPr>
              <w:t>
</w:t>
            </w:r>
            <w:r>
              <w:rPr>
                <w:rFonts w:ascii="Times New Roman"/>
                <w:b w:val="false"/>
                <w:i w:val="false"/>
                <w:color w:val="000000"/>
                <w:sz w:val="20"/>
              </w:rPr>
              <w:t>f) фамилия и инициалы исследователя (если не указано в пунктах a) или d));</w:t>
            </w:r>
          </w:p>
          <w:p>
            <w:pPr>
              <w:spacing w:after="20"/>
              <w:ind w:left="20"/>
              <w:jc w:val="both"/>
            </w:pPr>
            <w:r>
              <w:rPr>
                <w:rFonts w:ascii="Times New Roman"/>
                <w:b w:val="false"/>
                <w:i w:val="false"/>
                <w:color w:val="000000"/>
                <w:sz w:val="20"/>
              </w:rPr>
              <w:t>
</w:t>
            </w:r>
            <w:r>
              <w:rPr>
                <w:rFonts w:ascii="Times New Roman"/>
                <w:b w:val="false"/>
                <w:i w:val="false"/>
                <w:color w:val="000000"/>
                <w:sz w:val="20"/>
              </w:rPr>
              <w:t>g) инструкция по применению (может быть приведена ссылка на листок-вкладыш либо другой пояснительный документ, предназначенный для субъектаклинического исследования или лица, которое вводит лекарственный препарат);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h) надпись "Только для клинических исследований" или аналогичная формулировка;</w:t>
            </w:r>
          </w:p>
          <w:p>
            <w:pPr>
              <w:spacing w:after="20"/>
              <w:ind w:left="20"/>
              <w:jc w:val="both"/>
            </w:pPr>
            <w:r>
              <w:rPr>
                <w:rFonts w:ascii="Times New Roman"/>
                <w:b w:val="false"/>
                <w:i w:val="false"/>
                <w:color w:val="000000"/>
                <w:sz w:val="20"/>
              </w:rPr>
              <w:t>
i) условия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5278"/>
          <w:p>
            <w:pPr>
              <w:spacing w:after="20"/>
              <w:ind w:left="20"/>
              <w:jc w:val="both"/>
            </w:pPr>
            <w:r>
              <w:rPr>
                <w:rFonts w:ascii="Times New Roman"/>
                <w:b w:val="false"/>
                <w:i w:val="false"/>
                <w:color w:val="000000"/>
                <w:sz w:val="20"/>
              </w:rPr>
              <w:t>
ПЕРВИЧНАЯ (ВНУТРЕННЯЯ) УПАКОВКА</w:t>
            </w:r>
          </w:p>
          <w:bookmarkEnd w:id="5278"/>
          <w:p>
            <w:pPr>
              <w:spacing w:after="20"/>
              <w:ind w:left="20"/>
              <w:jc w:val="both"/>
            </w:pPr>
            <w:r>
              <w:rPr>
                <w:rFonts w:ascii="Times New Roman"/>
                <w:b w:val="false"/>
                <w:i w:val="false"/>
                <w:color w:val="000000"/>
                <w:sz w:val="20"/>
              </w:rPr>
              <w:t>
</w:t>
            </w:r>
            <w:r>
              <w:rPr>
                <w:rFonts w:ascii="Times New Roman"/>
                <w:b w:val="false"/>
                <w:i w:val="false"/>
                <w:color w:val="000000"/>
                <w:sz w:val="20"/>
              </w:rPr>
              <w:t>Если первичную упаковку внутреннюю) упаковку и вторичную (потребительскую) упаковку хранят вместе (пункт 29) 5</w:t>
            </w:r>
          </w:p>
          <w:bookmarkStart w:name="z5419" w:id="5279"/>
          <w:p>
            <w:pPr>
              <w:spacing w:after="20"/>
              <w:ind w:left="20"/>
              <w:jc w:val="both"/>
            </w:pPr>
          </w:p>
          <w:bookmarkEnd w:id="5279"/>
          <w:p>
            <w:pPr>
              <w:spacing w:after="20"/>
              <w:ind w:left="20"/>
              <w:jc w:val="both"/>
            </w:pPr>
            <w:r>
              <w:drawing>
                <wp:inline distT="0" distB="0" distL="0" distR="0">
                  <wp:extent cx="3340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401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5280"/>
          <w:p>
            <w:pPr>
              <w:spacing w:after="20"/>
              <w:ind w:left="20"/>
              <w:jc w:val="both"/>
            </w:pPr>
            <w:r>
              <w:rPr>
                <w:rFonts w:ascii="Times New Roman"/>
                <w:b w:val="false"/>
                <w:i w:val="false"/>
                <w:color w:val="000000"/>
                <w:sz w:val="20"/>
              </w:rPr>
              <w:t>
j) срок использования с указанием месяца и года таким образом, чтобы избежать любой неопределенности (может быть указана дата, до которой необходимо использовать лекарственный препарат, срок годности или   дата повторного контроля);</w:t>
            </w:r>
          </w:p>
          <w:bookmarkEnd w:id="5280"/>
          <w:p>
            <w:pPr>
              <w:spacing w:after="20"/>
              <w:ind w:left="20"/>
              <w:jc w:val="both"/>
            </w:pPr>
            <w:r>
              <w:rPr>
                <w:rFonts w:ascii="Times New Roman"/>
                <w:b w:val="false"/>
                <w:i w:val="false"/>
                <w:color w:val="000000"/>
                <w:sz w:val="20"/>
              </w:rPr>
              <w:t>
k) надпись "Хранить в недоступном для детей месте", за исключением случаев, когда лекарственный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5281"/>
          <w:p>
            <w:pPr>
              <w:spacing w:after="20"/>
              <w:ind w:left="20"/>
              <w:jc w:val="both"/>
            </w:pPr>
          </w:p>
          <w:bookmarkEnd w:id="5281"/>
          <w:p>
            <w:pPr>
              <w:spacing w:after="20"/>
              <w:ind w:left="20"/>
              <w:jc w:val="both"/>
            </w:pPr>
            <w:r>
              <w:drawing>
                <wp:inline distT="0" distB="0" distL="0" distR="0">
                  <wp:extent cx="3263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63900" cy="698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Блистеры или упаковки малого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размера (пункт 30) 5</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указанная в пунктах</w:t>
            </w:r>
          </w:p>
          <w:p>
            <w:pPr>
              <w:spacing w:after="20"/>
              <w:ind w:left="20"/>
              <w:jc w:val="both"/>
            </w:pPr>
            <w:r>
              <w:rPr>
                <w:rFonts w:ascii="Times New Roman"/>
                <w:b w:val="false"/>
                <w:i w:val="false"/>
                <w:color w:val="000000"/>
                <w:sz w:val="20"/>
              </w:rPr>
              <w:t>
a2 b3,4cde</w:t>
            </w:r>
          </w:p>
          <w:p>
            <w:pPr>
              <w:spacing w:after="20"/>
              <w:ind w:left="20"/>
              <w:jc w:val="both"/>
            </w:pPr>
          </w:p>
        </w:tc>
      </w:tr>
    </w:tbl>
    <w:bookmarkStart w:name="z5425" w:id="5282"/>
    <w:p>
      <w:pPr>
        <w:spacing w:after="0"/>
        <w:ind w:left="0"/>
        <w:jc w:val="both"/>
      </w:pPr>
      <w:r>
        <w:rPr>
          <w:rFonts w:ascii="Times New Roman"/>
          <w:b w:val="false"/>
          <w:i w:val="false"/>
          <w:color w:val="000000"/>
          <w:sz w:val="28"/>
        </w:rPr>
        <w:t>
      Примечания.</w:t>
      </w:r>
    </w:p>
    <w:bookmarkEnd w:id="5282"/>
    <w:bookmarkStart w:name="z5426" w:id="5283"/>
    <w:p>
      <w:pPr>
        <w:spacing w:after="0"/>
        <w:ind w:left="0"/>
        <w:jc w:val="both"/>
      </w:pPr>
      <w:r>
        <w:rPr>
          <w:rFonts w:ascii="Times New Roman"/>
          <w:b w:val="false"/>
          <w:i w:val="false"/>
          <w:color w:val="000000"/>
          <w:sz w:val="28"/>
        </w:rPr>
        <w:t>
      1 Адрес и номер телефона основного контактного лица для получения информации относительно лекарственного препарата, клинического исследования и экстренного раскодирования может не содержаться на этикетке, если субъекту исследования предоставлены инструкция по применению лекарственного препарата или карточка, где указаны эти данные, а также дана инструкция держать их при себе все время (см. пункт 27 данного Приложения).</w:t>
      </w:r>
    </w:p>
    <w:bookmarkEnd w:id="5283"/>
    <w:bookmarkStart w:name="z5427" w:id="5284"/>
    <w:p>
      <w:pPr>
        <w:spacing w:after="0"/>
        <w:ind w:left="0"/>
        <w:jc w:val="both"/>
      </w:pPr>
      <w:r>
        <w:rPr>
          <w:rFonts w:ascii="Times New Roman"/>
          <w:b w:val="false"/>
          <w:i w:val="false"/>
          <w:color w:val="000000"/>
          <w:sz w:val="28"/>
        </w:rPr>
        <w:t xml:space="preserve">
      2. Не нужно размещать адрес и номер телефона основного контактного лица для информации относительно лекарственного препарата, клинического исследования и экстренного раскодирования. </w:t>
      </w:r>
    </w:p>
    <w:bookmarkEnd w:id="5284"/>
    <w:bookmarkStart w:name="z5428" w:id="5285"/>
    <w:p>
      <w:pPr>
        <w:spacing w:after="0"/>
        <w:ind w:left="0"/>
        <w:jc w:val="both"/>
      </w:pPr>
      <w:r>
        <w:rPr>
          <w:rFonts w:ascii="Times New Roman"/>
          <w:b w:val="false"/>
          <w:i w:val="false"/>
          <w:color w:val="000000"/>
          <w:sz w:val="28"/>
        </w:rPr>
        <w:t>
      3 Путь введения можно не указывать в случае твердых лекарственных форм для применения внутрь.</w:t>
      </w:r>
    </w:p>
    <w:bookmarkEnd w:id="5285"/>
    <w:bookmarkStart w:name="z5429" w:id="5286"/>
    <w:p>
      <w:pPr>
        <w:spacing w:after="0"/>
        <w:ind w:left="0"/>
        <w:jc w:val="both"/>
      </w:pPr>
      <w:r>
        <w:rPr>
          <w:rFonts w:ascii="Times New Roman"/>
          <w:b w:val="false"/>
          <w:i w:val="false"/>
          <w:color w:val="000000"/>
          <w:sz w:val="28"/>
        </w:rPr>
        <w:t>
      4 Можно не указывать лекарственную форму и количество дозированных единиц.</w:t>
      </w:r>
    </w:p>
    <w:bookmarkEnd w:id="5286"/>
    <w:bookmarkStart w:name="z5430" w:id="5287"/>
    <w:p>
      <w:pPr>
        <w:spacing w:after="0"/>
        <w:ind w:left="0"/>
        <w:jc w:val="both"/>
      </w:pPr>
      <w:r>
        <w:rPr>
          <w:rFonts w:ascii="Times New Roman"/>
          <w:b w:val="false"/>
          <w:i w:val="false"/>
          <w:color w:val="000000"/>
          <w:sz w:val="28"/>
        </w:rPr>
        <w:t>
      5 Если на вторичной (потребительской) упаковке содержится информация, приведенная в пункте 26 настоящего приложения.</w:t>
      </w:r>
    </w:p>
    <w:bookmarkEnd w:id="5287"/>
    <w:bookmarkStart w:name="z5431" w:id="5288"/>
    <w:p>
      <w:pPr>
        <w:spacing w:after="0"/>
        <w:ind w:left="0"/>
        <w:jc w:val="both"/>
      </w:pPr>
      <w:r>
        <w:rPr>
          <w:rFonts w:ascii="Times New Roman"/>
          <w:b w:val="false"/>
          <w:i w:val="false"/>
          <w:color w:val="000000"/>
          <w:sz w:val="28"/>
        </w:rPr>
        <w:t>
      30. Если первичной упаковкой является блистер или она имеет малый размер, например ампулы, на которых не могут быть размещены данные, приведенные в пункте 26 настоящего приложения, предусмотрена вторичная упаковка с этикеткой, содержащей эти данные. Тем не менее, на первичной (внутренней) упаковке указываются:</w:t>
      </w:r>
    </w:p>
    <w:bookmarkEnd w:id="5288"/>
    <w:bookmarkStart w:name="z5432" w:id="5289"/>
    <w:p>
      <w:pPr>
        <w:spacing w:after="0"/>
        <w:ind w:left="0"/>
        <w:jc w:val="both"/>
      </w:pPr>
      <w:r>
        <w:rPr>
          <w:rFonts w:ascii="Times New Roman"/>
          <w:b w:val="false"/>
          <w:i w:val="false"/>
          <w:color w:val="000000"/>
          <w:sz w:val="28"/>
        </w:rPr>
        <w:t>
      a) наименование (имя) спонсора, контрактной исследовательской организации или исследователя;</w:t>
      </w:r>
    </w:p>
    <w:bookmarkEnd w:id="5289"/>
    <w:bookmarkStart w:name="z5433" w:id="5290"/>
    <w:p>
      <w:pPr>
        <w:spacing w:after="0"/>
        <w:ind w:left="0"/>
        <w:jc w:val="both"/>
      </w:pPr>
      <w:r>
        <w:rPr>
          <w:rFonts w:ascii="Times New Roman"/>
          <w:b w:val="false"/>
          <w:i w:val="false"/>
          <w:color w:val="000000"/>
          <w:sz w:val="28"/>
        </w:rPr>
        <w:t>
      b) способ введения (можно не указывать для твердых лекарственных форм для применения внутрь), в случае проведения открытого исследования наименование (шифр) лекарственного препарата и его дозировка (активность);</w:t>
      </w:r>
    </w:p>
    <w:bookmarkEnd w:id="5290"/>
    <w:bookmarkStart w:name="z5434" w:id="5291"/>
    <w:p>
      <w:pPr>
        <w:spacing w:after="0"/>
        <w:ind w:left="0"/>
        <w:jc w:val="both"/>
      </w:pPr>
      <w:r>
        <w:rPr>
          <w:rFonts w:ascii="Times New Roman"/>
          <w:b w:val="false"/>
          <w:i w:val="false"/>
          <w:color w:val="000000"/>
          <w:sz w:val="28"/>
        </w:rPr>
        <w:t>
      c) номер серии и (или) код для идентификации содержимого и операции по упаковке;</w:t>
      </w:r>
    </w:p>
    <w:bookmarkEnd w:id="5291"/>
    <w:bookmarkStart w:name="z5435" w:id="5292"/>
    <w:p>
      <w:pPr>
        <w:spacing w:after="0"/>
        <w:ind w:left="0"/>
        <w:jc w:val="both"/>
      </w:pPr>
      <w:r>
        <w:rPr>
          <w:rFonts w:ascii="Times New Roman"/>
          <w:b w:val="false"/>
          <w:i w:val="false"/>
          <w:color w:val="000000"/>
          <w:sz w:val="28"/>
        </w:rPr>
        <w:t>
      d) номер (код) исследования, позволяющий идентифицировать исследование, медицинское учреждение, исследователя и спонсора, если это не указано в другом месте;</w:t>
      </w:r>
    </w:p>
    <w:bookmarkEnd w:id="5292"/>
    <w:bookmarkStart w:name="z5436" w:id="5293"/>
    <w:p>
      <w:pPr>
        <w:spacing w:after="0"/>
        <w:ind w:left="0"/>
        <w:jc w:val="both"/>
      </w:pPr>
      <w:r>
        <w:rPr>
          <w:rFonts w:ascii="Times New Roman"/>
          <w:b w:val="false"/>
          <w:i w:val="false"/>
          <w:color w:val="000000"/>
          <w:sz w:val="28"/>
        </w:rPr>
        <w:t>
      e) идентификационный номер (лечебный номер) субъекта клинического исследования и при необходимости номер визита.</w:t>
      </w:r>
    </w:p>
    <w:bookmarkEnd w:id="5293"/>
    <w:bookmarkStart w:name="z5437" w:id="5294"/>
    <w:p>
      <w:pPr>
        <w:spacing w:after="0"/>
        <w:ind w:left="0"/>
        <w:jc w:val="both"/>
      </w:pPr>
      <w:r>
        <w:rPr>
          <w:rFonts w:ascii="Times New Roman"/>
          <w:b w:val="false"/>
          <w:i w:val="false"/>
          <w:color w:val="000000"/>
          <w:sz w:val="28"/>
        </w:rPr>
        <w:t>
      31. Для пояснения указанной выше информации используются символы или пиктограммы. Представлена дополнительная информация, предостережения и (или) инструкции по обращению с лекарственным препаратом.</w:t>
      </w:r>
    </w:p>
    <w:bookmarkEnd w:id="5294"/>
    <w:bookmarkStart w:name="z5438" w:id="5295"/>
    <w:p>
      <w:pPr>
        <w:spacing w:after="0"/>
        <w:ind w:left="0"/>
        <w:jc w:val="both"/>
      </w:pPr>
      <w:r>
        <w:rPr>
          <w:rFonts w:ascii="Times New Roman"/>
          <w:b w:val="false"/>
          <w:i w:val="false"/>
          <w:color w:val="000000"/>
          <w:sz w:val="28"/>
        </w:rPr>
        <w:t xml:space="preserve">
      32. В случае клинических исследований, когда нет необходимости в отдельных процессах производства или упаковки, при исследовании используются лекарственные средства, зарегистрированные, произведенные или импортированные согласно законодательству, </w:t>
      </w:r>
    </w:p>
    <w:bookmarkEnd w:id="5295"/>
    <w:bookmarkStart w:name="z5439" w:id="5296"/>
    <w:p>
      <w:pPr>
        <w:spacing w:after="0"/>
        <w:ind w:left="0"/>
        <w:jc w:val="both"/>
      </w:pPr>
      <w:r>
        <w:rPr>
          <w:rFonts w:ascii="Times New Roman"/>
          <w:b w:val="false"/>
          <w:i w:val="false"/>
          <w:color w:val="000000"/>
          <w:sz w:val="28"/>
        </w:rPr>
        <w:t>
      в исследовании принимают участие пациенты с теми заболеваниями, которые соответствуют показаниям к применению, утвержденным при регистрации, на оригинальном контейнере так, чтобы не закрыть оригинальную этикетку, дополнительно приводятся следующие данные:</w:t>
      </w:r>
    </w:p>
    <w:bookmarkEnd w:id="5296"/>
    <w:bookmarkStart w:name="z5440" w:id="5297"/>
    <w:p>
      <w:pPr>
        <w:spacing w:after="0"/>
        <w:ind w:left="0"/>
        <w:jc w:val="both"/>
      </w:pPr>
      <w:r>
        <w:rPr>
          <w:rFonts w:ascii="Times New Roman"/>
          <w:b w:val="false"/>
          <w:i w:val="false"/>
          <w:color w:val="000000"/>
          <w:sz w:val="28"/>
        </w:rPr>
        <w:t>
      название (имя) спонсора, контрактного исследовательской организации или исследователя;</w:t>
      </w:r>
    </w:p>
    <w:bookmarkEnd w:id="5297"/>
    <w:bookmarkStart w:name="z5441" w:id="5298"/>
    <w:p>
      <w:pPr>
        <w:spacing w:after="0"/>
        <w:ind w:left="0"/>
        <w:jc w:val="both"/>
      </w:pPr>
      <w:r>
        <w:rPr>
          <w:rFonts w:ascii="Times New Roman"/>
          <w:b w:val="false"/>
          <w:i w:val="false"/>
          <w:color w:val="000000"/>
          <w:sz w:val="28"/>
        </w:rPr>
        <w:t>
      номер (код) исследования, позволяющий идентифицировать медицинское учреждение, исследователя и субъекта исследования.</w:t>
      </w:r>
    </w:p>
    <w:bookmarkEnd w:id="5298"/>
    <w:bookmarkStart w:name="z5442" w:id="5299"/>
    <w:p>
      <w:pPr>
        <w:spacing w:after="0"/>
        <w:ind w:left="0"/>
        <w:jc w:val="both"/>
      </w:pPr>
      <w:r>
        <w:rPr>
          <w:rFonts w:ascii="Times New Roman"/>
          <w:b w:val="false"/>
          <w:i w:val="false"/>
          <w:color w:val="000000"/>
          <w:sz w:val="28"/>
        </w:rPr>
        <w:t>
      33. Если необходимо изменить дату, до которой необходимо использовать лекарственный препарат для клинических исследований, следует нанести на упаковку дополнительную этикетку. На дополнительной этикетке указывается новая дата, до которой используют лекарственный препарат, а также повторно указан номер серии. Дополнительную этикетку наклеивают поверх старой даты использования, но она не закрывает исходный номер серии, что необходимо для контроля качества. Эта операция осуществляется на предприятии, имеющем лицензию на производство лекарственных средств. Однако, если обосновано, быть передано на аутсорсинг организации осуществляющей хранение лекарственного препарата для клинических исследований или проведено фармацевтом исследовательского центра или под его контролем, а также другим медицинским работником в соответствии с требованиями законодательства. Если это невозможно, операцию может (могут) осуществлять монитор(ы) клинического исследования, который прошел соответствующее обучение. Такую операцию осуществляют согласно принципам Стандарта надлежащей производственной практики в соответствии со специальными и стандартными операционными процедурами и, если применимо, по контракту; проведение операции контролирует второе лицо. Нанесение дополнительной этикетки надлежащим образом оформляют документально как в документах клинического исследования, так и в записях, относящихся к серии (досье на серию).</w:t>
      </w:r>
    </w:p>
    <w:bookmarkEnd w:id="5299"/>
    <w:bookmarkStart w:name="z5443" w:id="5300"/>
    <w:p>
      <w:pPr>
        <w:spacing w:after="0"/>
        <w:ind w:left="0"/>
        <w:jc w:val="both"/>
      </w:pPr>
      <w:r>
        <w:rPr>
          <w:rFonts w:ascii="Times New Roman"/>
          <w:b w:val="false"/>
          <w:i w:val="false"/>
          <w:color w:val="000000"/>
          <w:sz w:val="28"/>
        </w:rPr>
        <w:t>
      Контроль качества</w:t>
      </w:r>
    </w:p>
    <w:bookmarkEnd w:id="5300"/>
    <w:bookmarkStart w:name="z5444" w:id="5301"/>
    <w:p>
      <w:pPr>
        <w:spacing w:after="0"/>
        <w:ind w:left="0"/>
        <w:jc w:val="both"/>
      </w:pPr>
      <w:r>
        <w:rPr>
          <w:rFonts w:ascii="Times New Roman"/>
          <w:b w:val="false"/>
          <w:i w:val="false"/>
          <w:color w:val="000000"/>
          <w:sz w:val="28"/>
        </w:rPr>
        <w:t>
      34. Поскольку процессы могут быть не стандартизованными или не в полной мере валидированными, возрастает значение испытаний для обеспечения гарантии того, что каждая серия продукции соответствует спецификации на нее.</w:t>
      </w:r>
    </w:p>
    <w:bookmarkEnd w:id="5301"/>
    <w:bookmarkStart w:name="z5445" w:id="5302"/>
    <w:p>
      <w:pPr>
        <w:spacing w:after="0"/>
        <w:ind w:left="0"/>
        <w:jc w:val="both"/>
      </w:pPr>
      <w:r>
        <w:rPr>
          <w:rFonts w:ascii="Times New Roman"/>
          <w:b w:val="false"/>
          <w:i w:val="false"/>
          <w:color w:val="000000"/>
          <w:sz w:val="28"/>
        </w:rPr>
        <w:t>
      35. Контроль качества необходимо осуществлять в соответствии с досье на лекарственный препарат и согласно информации, предоставленной спонсором уполномоченному органу при заявке на проведение клинического исследования. Следует проводить проверку эффективности кодирования и результаты ее оформлять документально.</w:t>
      </w:r>
    </w:p>
    <w:bookmarkEnd w:id="5302"/>
    <w:bookmarkStart w:name="z5446" w:id="5303"/>
    <w:p>
      <w:pPr>
        <w:spacing w:after="0"/>
        <w:ind w:left="0"/>
        <w:jc w:val="both"/>
      </w:pPr>
      <w:r>
        <w:rPr>
          <w:rFonts w:ascii="Times New Roman"/>
          <w:b w:val="false"/>
          <w:i w:val="false"/>
          <w:color w:val="000000"/>
          <w:sz w:val="28"/>
        </w:rPr>
        <w:t>
      36. Образцы лекарственных препаратов для клинических исследований хранятся в двух целях: во-первых, для обеспечения наличия образца для аналитических испытаний и, во-вторых, для обеспечения наличия образца готового лекарственного препарата. Таким образом, образцы можно разделить на две категории:</w:t>
      </w:r>
    </w:p>
    <w:bookmarkEnd w:id="5303"/>
    <w:bookmarkStart w:name="z5447" w:id="5304"/>
    <w:p>
      <w:pPr>
        <w:spacing w:after="0"/>
        <w:ind w:left="0"/>
        <w:jc w:val="both"/>
      </w:pPr>
      <w:r>
        <w:rPr>
          <w:rFonts w:ascii="Times New Roman"/>
          <w:b w:val="false"/>
          <w:i w:val="false"/>
          <w:color w:val="000000"/>
          <w:sz w:val="28"/>
        </w:rPr>
        <w:t>
      Контрольный образец (reference sample): образцы серии исходного сырья, упаковочных материалов, лекарственного препарата в первичной упаковке или готового лекарственного препарата, которые хранят для проведения анализа в случае возникновения такой необходимости. Следует сохранять образцы с критических промежуточных стадий (например, после которых предусматривается проведение аналитических исследований и выдача разрешений на выпуск) и образцы промежуточных продуктов, которые поставляются за пределы зоны контроля производителя, если стабильность образцов это позволяет.</w:t>
      </w:r>
    </w:p>
    <w:bookmarkEnd w:id="5304"/>
    <w:bookmarkStart w:name="z5448" w:id="5305"/>
    <w:p>
      <w:pPr>
        <w:spacing w:after="0"/>
        <w:ind w:left="0"/>
        <w:jc w:val="both"/>
      </w:pPr>
      <w:r>
        <w:rPr>
          <w:rFonts w:ascii="Times New Roman"/>
          <w:b w:val="false"/>
          <w:i w:val="false"/>
          <w:color w:val="000000"/>
          <w:sz w:val="28"/>
        </w:rPr>
        <w:t>
      Архивный образец (retention sample)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w:t>
      </w:r>
    </w:p>
    <w:bookmarkEnd w:id="5305"/>
    <w:bookmarkStart w:name="z5449" w:id="5306"/>
    <w:p>
      <w:pPr>
        <w:spacing w:after="0"/>
        <w:ind w:left="0"/>
        <w:jc w:val="both"/>
      </w:pPr>
      <w:r>
        <w:rPr>
          <w:rFonts w:ascii="Times New Roman"/>
          <w:b w:val="false"/>
          <w:i w:val="false"/>
          <w:color w:val="000000"/>
          <w:sz w:val="28"/>
        </w:rPr>
        <w:t>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 Контрольные и архивные образцы лекарственного препарата для клинических исследований, в том числе закодированного лекарственного препарата, сохраняются не менее двух лет после окончания или официального прекращения последнего клинического исследования, в котором использовалась данная серия (в зависимости от того, какой из периодов дольше).</w:t>
      </w:r>
    </w:p>
    <w:bookmarkEnd w:id="5306"/>
    <w:bookmarkStart w:name="z5450" w:id="5307"/>
    <w:p>
      <w:pPr>
        <w:spacing w:after="0"/>
        <w:ind w:left="0"/>
        <w:jc w:val="both"/>
      </w:pPr>
      <w:r>
        <w:rPr>
          <w:rFonts w:ascii="Times New Roman"/>
          <w:b w:val="false"/>
          <w:i w:val="false"/>
          <w:color w:val="000000"/>
          <w:sz w:val="28"/>
        </w:rPr>
        <w:t>
      Уделяют внимание хранению архивных образцов до тех пор, пока не будет составлен отчет о проведении клинического исследования, чтобы обеспечить возможность подтверждения идентичности лекарственного препарата, что необходимо при расследованиях непредвиденных случаев или противоречивых результатов таких исследований.</w:t>
      </w:r>
    </w:p>
    <w:bookmarkEnd w:id="5307"/>
    <w:bookmarkStart w:name="z5451" w:id="5308"/>
    <w:p>
      <w:pPr>
        <w:spacing w:after="0"/>
        <w:ind w:left="0"/>
        <w:jc w:val="both"/>
      </w:pPr>
      <w:r>
        <w:rPr>
          <w:rFonts w:ascii="Times New Roman"/>
          <w:b w:val="false"/>
          <w:i w:val="false"/>
          <w:color w:val="000000"/>
          <w:sz w:val="28"/>
        </w:rPr>
        <w:t>
      37. Место хранения контрольных и архивных образцов определяется в техническом соглашении между спонсором и производителем(ями), необходимо обеспечить к ним своевременный доступ уполномоченного органа.</w:t>
      </w:r>
    </w:p>
    <w:bookmarkEnd w:id="5308"/>
    <w:bookmarkStart w:name="z5452" w:id="5309"/>
    <w:p>
      <w:pPr>
        <w:spacing w:after="0"/>
        <w:ind w:left="0"/>
        <w:jc w:val="both"/>
      </w:pPr>
      <w:r>
        <w:rPr>
          <w:rFonts w:ascii="Times New Roman"/>
          <w:b w:val="false"/>
          <w:i w:val="false"/>
          <w:color w:val="000000"/>
          <w:sz w:val="28"/>
        </w:rPr>
        <w:t>
      Контрольные образцы готового лекарственного препарата сохраняются в государстве или в третьей стране, если между государством и третьей страной-экспортером существуют соглашения, которые гарантируют, что производитель лекарственного препарата для клинических исследований придерживается требований Стандарта надлежащего производства, как минимум, эквивалентных Стандарта надлежащей производственной практики. В исключительных случаях контрольные образцы готового лекарственного препарата сохраняются у производителя в третьей стране, в таком случае это обосновано и документально оформлено в виде технического соглашения между спонсором, импортером и производителем лекарственного препарата в третьей стране.</w:t>
      </w:r>
    </w:p>
    <w:bookmarkEnd w:id="5309"/>
    <w:bookmarkStart w:name="z5453" w:id="5310"/>
    <w:p>
      <w:pPr>
        <w:spacing w:after="0"/>
        <w:ind w:left="0"/>
        <w:jc w:val="both"/>
      </w:pPr>
      <w:r>
        <w:rPr>
          <w:rFonts w:ascii="Times New Roman"/>
          <w:b w:val="false"/>
          <w:i w:val="false"/>
          <w:color w:val="000000"/>
          <w:sz w:val="28"/>
        </w:rPr>
        <w:t>
      Количество контрольных образцов достаточным для проведения не менее чем двукратного аналитического контроля серии продукции в соответствии с требованиями досье на лекарственный препарат, поданного в уполномоченный орган для получения разрешения на проведение клинических исследований.</w:t>
      </w:r>
    </w:p>
    <w:bookmarkEnd w:id="5310"/>
    <w:bookmarkStart w:name="z5454" w:id="5311"/>
    <w:p>
      <w:pPr>
        <w:spacing w:after="0"/>
        <w:ind w:left="0"/>
        <w:jc w:val="both"/>
      </w:pPr>
      <w:r>
        <w:rPr>
          <w:rFonts w:ascii="Times New Roman"/>
          <w:b w:val="false"/>
          <w:i w:val="false"/>
          <w:color w:val="000000"/>
          <w:sz w:val="28"/>
        </w:rPr>
        <w:t xml:space="preserve">
      Для архивных образцов допускается хранить информацию в отношении окончательно упакованных единиц лекарственных препаратов в виде письменных или электронных записей, если такие записи обеспечивают достаточную информацию. В последнем случае система хранения соответствует требованиям приложения </w:t>
      </w:r>
    </w:p>
    <w:bookmarkEnd w:id="5311"/>
    <w:bookmarkStart w:name="z5455" w:id="5312"/>
    <w:p>
      <w:pPr>
        <w:spacing w:after="0"/>
        <w:ind w:left="0"/>
        <w:jc w:val="both"/>
      </w:pPr>
      <w:r>
        <w:rPr>
          <w:rFonts w:ascii="Times New Roman"/>
          <w:b w:val="false"/>
          <w:i w:val="false"/>
          <w:color w:val="000000"/>
          <w:sz w:val="28"/>
        </w:rPr>
        <w:t>
      № 11 Стандарта надлежащей производственной практики.</w:t>
      </w:r>
    </w:p>
    <w:bookmarkEnd w:id="5312"/>
    <w:bookmarkStart w:name="z5456" w:id="5313"/>
    <w:p>
      <w:pPr>
        <w:spacing w:after="0"/>
        <w:ind w:left="0"/>
        <w:jc w:val="both"/>
      </w:pPr>
      <w:r>
        <w:rPr>
          <w:rFonts w:ascii="Times New Roman"/>
          <w:b w:val="false"/>
          <w:i w:val="false"/>
          <w:color w:val="000000"/>
          <w:sz w:val="28"/>
        </w:rPr>
        <w:t>
      Выдача разрешения на выпуск серий</w:t>
      </w:r>
    </w:p>
    <w:bookmarkEnd w:id="5313"/>
    <w:bookmarkStart w:name="z5457" w:id="5314"/>
    <w:p>
      <w:pPr>
        <w:spacing w:after="0"/>
        <w:ind w:left="0"/>
        <w:jc w:val="both"/>
      </w:pPr>
      <w:r>
        <w:rPr>
          <w:rFonts w:ascii="Times New Roman"/>
          <w:b w:val="false"/>
          <w:i w:val="false"/>
          <w:color w:val="000000"/>
          <w:sz w:val="28"/>
        </w:rPr>
        <w:t>
      38. Не допускается выдача разрешения на выпуск лекарственных препаратов для исследований (пункт 43 настоящего приложения) до тех пор, пока Уполномоченное лицо не удостоверит выполнение установленных требований и требований настоящего приложения (пункт 39 настоящего приложения). Уполномоченное лицо учитывает факторы, приведенные в пункте 40 настоящего приложения.</w:t>
      </w:r>
    </w:p>
    <w:bookmarkEnd w:id="5314"/>
    <w:bookmarkStart w:name="z5458" w:id="5315"/>
    <w:p>
      <w:pPr>
        <w:spacing w:after="0"/>
        <w:ind w:left="0"/>
        <w:jc w:val="both"/>
      </w:pPr>
      <w:r>
        <w:rPr>
          <w:rFonts w:ascii="Times New Roman"/>
          <w:b w:val="false"/>
          <w:i w:val="false"/>
          <w:color w:val="000000"/>
          <w:sz w:val="28"/>
        </w:rPr>
        <w:t>
      39. На выполнение Уполномоченным лицом своих обязанностей в отношении лекарственных препаратов для клинических исследований влияют разные факторы, которые перечислены ниже:</w:t>
      </w:r>
    </w:p>
    <w:bookmarkEnd w:id="5315"/>
    <w:bookmarkStart w:name="z5459" w:id="5316"/>
    <w:p>
      <w:pPr>
        <w:spacing w:after="0"/>
        <w:ind w:left="0"/>
        <w:jc w:val="both"/>
      </w:pPr>
      <w:r>
        <w:rPr>
          <w:rFonts w:ascii="Times New Roman"/>
          <w:b w:val="false"/>
          <w:i w:val="false"/>
          <w:color w:val="000000"/>
          <w:sz w:val="28"/>
        </w:rPr>
        <w:t>
      а) лекарственный препарат произведен, но не зарегистрирован в государстве.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Стандарта надлежащей производственной практики, досье на лекарственный препарат, а также что имеется соответствующая информация, предоставленная спонсором уполномоченному органу.</w:t>
      </w:r>
    </w:p>
    <w:bookmarkEnd w:id="5316"/>
    <w:bookmarkStart w:name="z5460" w:id="5317"/>
    <w:p>
      <w:pPr>
        <w:spacing w:after="0"/>
        <w:ind w:left="0"/>
        <w:jc w:val="both"/>
      </w:pPr>
      <w:r>
        <w:rPr>
          <w:rFonts w:ascii="Times New Roman"/>
          <w:b w:val="false"/>
          <w:i w:val="false"/>
          <w:color w:val="000000"/>
          <w:sz w:val="28"/>
        </w:rPr>
        <w:t>
      b) лекарственный препарат зарегистрирован, поставляется дистрибьюторы, которая находится в государстве, независимо от того, где производится лекарственный препарат. Обязанности, которые указаны выше, остаются теми же, но объем представленных данных может быть ограничен подтверждением того, что лекарственный препарат соответствует заявлению на проведение клинических исследований и любой последующей обработки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(см. пункт 9 настоящего приложения).</w:t>
      </w:r>
    </w:p>
    <w:bookmarkEnd w:id="5317"/>
    <w:bookmarkStart w:name="z5461" w:id="5318"/>
    <w:p>
      <w:pPr>
        <w:spacing w:after="0"/>
        <w:ind w:left="0"/>
        <w:jc w:val="both"/>
      </w:pPr>
      <w:r>
        <w:rPr>
          <w:rFonts w:ascii="Times New Roman"/>
          <w:b w:val="false"/>
          <w:i w:val="false"/>
          <w:color w:val="000000"/>
          <w:sz w:val="28"/>
        </w:rPr>
        <w:t>
      c) лекарственный препарат импортирован непосредственно из третьей страны: необходимо засвидетельствовать, что он произведен и проверен в соответствии с Стандартом надлежащего производства, как минимум, эквивалентными Стандарта надлежащей производственной практики, досье на лекарственный препарат, а также что имеется соответствующая информация, предоставленная спонсором уполномоченному органу при подаче заявления на проведение клинического исследования. Если лекарственные препараты для клинических исследований ввезены из третьей страны и являются объектом соглашения, принятого между государством страной, например таким, как соглашение о взаимном признании, любое подобное соглашение предусматривает применение требований в отношении этого лекарственного препарата, эквивалентных Стандарта надлежащей производственной практики. При отсутствии соглашения о взаимном признании Уполномоченное лицо на основе информации о системе качества производителя устанавливает, что применяются требования, эквивалентные Стандарта надлежащей производственной практики. Эту информацию, как правило, получают путем участия в аудите систем качества производителей. И в первом, и во втором случае Уполномоченное лицо может выполнить оценку соответствия на основании документации, предоставленной производителем из другой страны (см. пункт 40 настоящего приложения).</w:t>
      </w:r>
    </w:p>
    <w:bookmarkEnd w:id="5318"/>
    <w:bookmarkStart w:name="z5462" w:id="5319"/>
    <w:p>
      <w:pPr>
        <w:spacing w:after="0"/>
        <w:ind w:left="0"/>
        <w:jc w:val="both"/>
      </w:pPr>
      <w:r>
        <w:rPr>
          <w:rFonts w:ascii="Times New Roman"/>
          <w:b w:val="false"/>
          <w:i w:val="false"/>
          <w:color w:val="000000"/>
          <w:sz w:val="28"/>
        </w:rPr>
        <w:t>
      d) при ввозе препаратов сравнения, когда невозможно получить гарантию того, что каждая серия продукции была произведена в соответствии с требованиями, эквивалентными Стандарта надлежащей производственной практики, Уполномоченное лицо свидетельствует, что каждая произведенная серия прошла все необходимые виды контроля и испытаний, необходимые для подтверждения ее качества, в соответствии, а также что имеется соответствующая информация, предоставленная спонсором уполномоченному органу при подаче заявления на проведение клинических исследований.</w:t>
      </w:r>
    </w:p>
    <w:bookmarkEnd w:id="5319"/>
    <w:bookmarkStart w:name="z5463" w:id="5320"/>
    <w:p>
      <w:pPr>
        <w:spacing w:after="0"/>
        <w:ind w:left="0"/>
        <w:jc w:val="both"/>
      </w:pPr>
      <w:r>
        <w:rPr>
          <w:rFonts w:ascii="Times New Roman"/>
          <w:b w:val="false"/>
          <w:i w:val="false"/>
          <w:color w:val="000000"/>
          <w:sz w:val="28"/>
        </w:rPr>
        <w:t>
      40. При оценке каждой серии продукции перед выдачей разрешения на выпуск следует рассматривать:</w:t>
      </w:r>
    </w:p>
    <w:bookmarkEnd w:id="5320"/>
    <w:bookmarkStart w:name="z5464" w:id="5321"/>
    <w:p>
      <w:pPr>
        <w:spacing w:after="0"/>
        <w:ind w:left="0"/>
        <w:jc w:val="both"/>
      </w:pPr>
      <w:r>
        <w:rPr>
          <w:rFonts w:ascii="Times New Roman"/>
          <w:b w:val="false"/>
          <w:i w:val="false"/>
          <w:color w:val="000000"/>
          <w:sz w:val="28"/>
        </w:rPr>
        <w:t>
      записи, относящиеся к серии (досье на серию), в том числе записи по контролю качества, записи по контролю в процессе производства и записи разрешения на выпуск, свидетельствующие о соответствии досье на лекарственный препарат, заказу, протоколу исследования и коду рандомизации. В эти записи вносятся все отклонения или внесенные в плановом порядке изменения, а также любые дополнительные проверки или испытания. Записи полные и согласованы персоналом, уполномоченным на это в соответствии с системой качества;</w:t>
      </w:r>
    </w:p>
    <w:bookmarkEnd w:id="5321"/>
    <w:bookmarkStart w:name="z5465" w:id="5322"/>
    <w:p>
      <w:pPr>
        <w:spacing w:after="0"/>
        <w:ind w:left="0"/>
        <w:jc w:val="both"/>
      </w:pPr>
      <w:r>
        <w:rPr>
          <w:rFonts w:ascii="Times New Roman"/>
          <w:b w:val="false"/>
          <w:i w:val="false"/>
          <w:color w:val="000000"/>
          <w:sz w:val="28"/>
        </w:rPr>
        <w:t>
      условия производства;</w:t>
      </w:r>
    </w:p>
    <w:bookmarkEnd w:id="5322"/>
    <w:bookmarkStart w:name="z5466" w:id="5323"/>
    <w:p>
      <w:pPr>
        <w:spacing w:after="0"/>
        <w:ind w:left="0"/>
        <w:jc w:val="both"/>
      </w:pPr>
      <w:r>
        <w:rPr>
          <w:rFonts w:ascii="Times New Roman"/>
          <w:b w:val="false"/>
          <w:i w:val="false"/>
          <w:color w:val="000000"/>
          <w:sz w:val="28"/>
        </w:rPr>
        <w:t>
      данные об валидации оборудования, процессов и методик; проверку окончательной упаковки;</w:t>
      </w:r>
    </w:p>
    <w:bookmarkEnd w:id="5323"/>
    <w:bookmarkStart w:name="z5467" w:id="5324"/>
    <w:p>
      <w:pPr>
        <w:spacing w:after="0"/>
        <w:ind w:left="0"/>
        <w:jc w:val="both"/>
      </w:pPr>
      <w:r>
        <w:rPr>
          <w:rFonts w:ascii="Times New Roman"/>
          <w:b w:val="false"/>
          <w:i w:val="false"/>
          <w:color w:val="000000"/>
          <w:sz w:val="28"/>
        </w:rPr>
        <w:t>
      результаты любых анализов или испытаний, проведенных после импортирования, если необходимо;</w:t>
      </w:r>
    </w:p>
    <w:bookmarkEnd w:id="5324"/>
    <w:bookmarkStart w:name="z5468" w:id="5325"/>
    <w:p>
      <w:pPr>
        <w:spacing w:after="0"/>
        <w:ind w:left="0"/>
        <w:jc w:val="both"/>
      </w:pPr>
      <w:r>
        <w:rPr>
          <w:rFonts w:ascii="Times New Roman"/>
          <w:b w:val="false"/>
          <w:i w:val="false"/>
          <w:color w:val="000000"/>
          <w:sz w:val="28"/>
        </w:rPr>
        <w:t>
      отчеты о стабильности;</w:t>
      </w:r>
    </w:p>
    <w:bookmarkEnd w:id="5325"/>
    <w:bookmarkStart w:name="z5469" w:id="5326"/>
    <w:p>
      <w:pPr>
        <w:spacing w:after="0"/>
        <w:ind w:left="0"/>
        <w:jc w:val="both"/>
      </w:pPr>
      <w:r>
        <w:rPr>
          <w:rFonts w:ascii="Times New Roman"/>
          <w:b w:val="false"/>
          <w:i w:val="false"/>
          <w:color w:val="000000"/>
          <w:sz w:val="28"/>
        </w:rPr>
        <w:t>
      данные о поставщике и проверке условий хранения и транспортирования;</w:t>
      </w:r>
    </w:p>
    <w:bookmarkEnd w:id="5326"/>
    <w:bookmarkStart w:name="z5470" w:id="5327"/>
    <w:p>
      <w:pPr>
        <w:spacing w:after="0"/>
        <w:ind w:left="0"/>
        <w:jc w:val="both"/>
      </w:pPr>
      <w:r>
        <w:rPr>
          <w:rFonts w:ascii="Times New Roman"/>
          <w:b w:val="false"/>
          <w:i w:val="false"/>
          <w:color w:val="000000"/>
          <w:sz w:val="28"/>
        </w:rPr>
        <w:t>
      отчеты об аудитах системы качества производителя;</w:t>
      </w:r>
    </w:p>
    <w:bookmarkEnd w:id="5327"/>
    <w:bookmarkStart w:name="z5471" w:id="5328"/>
    <w:p>
      <w:pPr>
        <w:spacing w:after="0"/>
        <w:ind w:left="0"/>
        <w:jc w:val="both"/>
      </w:pPr>
      <w:r>
        <w:rPr>
          <w:rFonts w:ascii="Times New Roman"/>
          <w:b w:val="false"/>
          <w:i w:val="false"/>
          <w:color w:val="000000"/>
          <w:sz w:val="28"/>
        </w:rPr>
        <w:t>
      документы, подтверждающие право производителя на производство лекарственных препаратов для клинических исследований (включая препараты сравнения) на экспорт, выданные уполномоченными органами страны-экспортера;</w:t>
      </w:r>
    </w:p>
    <w:bookmarkEnd w:id="5328"/>
    <w:bookmarkStart w:name="z5472" w:id="5329"/>
    <w:p>
      <w:pPr>
        <w:spacing w:after="0"/>
        <w:ind w:left="0"/>
        <w:jc w:val="both"/>
      </w:pPr>
      <w:r>
        <w:rPr>
          <w:rFonts w:ascii="Times New Roman"/>
          <w:b w:val="false"/>
          <w:i w:val="false"/>
          <w:color w:val="000000"/>
          <w:sz w:val="28"/>
        </w:rPr>
        <w:t>
      при необходимости нормативные требования в отношении регистрационной документации, применяемые требования Стандарта надлежащего производства и любые официальные подтверждения выполнения требований Стандарта надлежащего производства;</w:t>
      </w:r>
    </w:p>
    <w:bookmarkEnd w:id="5329"/>
    <w:bookmarkStart w:name="z5473" w:id="5330"/>
    <w:p>
      <w:pPr>
        <w:spacing w:after="0"/>
        <w:ind w:left="0"/>
        <w:jc w:val="both"/>
      </w:pPr>
      <w:r>
        <w:rPr>
          <w:rFonts w:ascii="Times New Roman"/>
          <w:b w:val="false"/>
          <w:i w:val="false"/>
          <w:color w:val="000000"/>
          <w:sz w:val="28"/>
        </w:rPr>
        <w:t>
      все другие факторы, которые Уполномоченное лицо считает значимыми для качества серии.</w:t>
      </w:r>
    </w:p>
    <w:bookmarkEnd w:id="5330"/>
    <w:bookmarkStart w:name="z5474" w:id="5331"/>
    <w:p>
      <w:pPr>
        <w:spacing w:after="0"/>
        <w:ind w:left="0"/>
        <w:jc w:val="both"/>
      </w:pPr>
      <w:r>
        <w:rPr>
          <w:rFonts w:ascii="Times New Roman"/>
          <w:b w:val="false"/>
          <w:i w:val="false"/>
          <w:color w:val="000000"/>
          <w:sz w:val="28"/>
        </w:rPr>
        <w:t>
      Значимость вышеприведенных факторов зависит от страны, в которой производят лекарственный препарат, предприятия-производителя, статуса регистрации лекарственного препарата, а также от фазы разработки. Спонсор гарантирует, что все факторы, принятые во внимание Уполномоченным лицом, выполняющим оценку серии, соответствуют информации, предоставленной уполномоченному органу при подаче заявления на проведение клинических исследований (пункт 44 настоящего приложения).</w:t>
      </w:r>
    </w:p>
    <w:bookmarkEnd w:id="5331"/>
    <w:bookmarkStart w:name="z5475" w:id="5332"/>
    <w:p>
      <w:pPr>
        <w:spacing w:after="0"/>
        <w:ind w:left="0"/>
        <w:jc w:val="both"/>
      </w:pPr>
      <w:r>
        <w:rPr>
          <w:rFonts w:ascii="Times New Roman"/>
          <w:b w:val="false"/>
          <w:i w:val="false"/>
          <w:color w:val="000000"/>
          <w:sz w:val="28"/>
        </w:rPr>
        <w:t>
      41. Если лекарственные препараты для клинических исследований производят и упаковывают на разных участках, за которые несут ответственность разные Уполномоченные лица, необходимо выполнять требования приложения № 16 Стандарта надлежащей производственной практики.</w:t>
      </w:r>
    </w:p>
    <w:bookmarkEnd w:id="5332"/>
    <w:bookmarkStart w:name="z5476" w:id="5333"/>
    <w:p>
      <w:pPr>
        <w:spacing w:after="0"/>
        <w:ind w:left="0"/>
        <w:jc w:val="both"/>
      </w:pPr>
      <w:r>
        <w:rPr>
          <w:rFonts w:ascii="Times New Roman"/>
          <w:b w:val="false"/>
          <w:i w:val="false"/>
          <w:color w:val="000000"/>
          <w:sz w:val="28"/>
        </w:rPr>
        <w:t>
      42. Если согласно законодательству упаковка или маркировка осуществляется в исследовательском учреждении фармацевтом, участвующим в проведении клинического исследования, или под его наблюдением, либо другим медицинским работником, то контроль этой деятельности не входит в обязанности Уполномоченного лица. Однако спонсор несет ответственность за гарантию того, что работа надлежащим образом документально оформлена и выполнена в соответствии с требованиями Стандарта надлежащей производственной практики. По этому вопросу он получает информацию от Уполномоченного лица.</w:t>
      </w:r>
    </w:p>
    <w:bookmarkEnd w:id="5333"/>
    <w:bookmarkStart w:name="z5477" w:id="5334"/>
    <w:p>
      <w:pPr>
        <w:spacing w:after="0"/>
        <w:ind w:left="0"/>
        <w:jc w:val="both"/>
      </w:pPr>
      <w:r>
        <w:rPr>
          <w:rFonts w:ascii="Times New Roman"/>
          <w:b w:val="false"/>
          <w:i w:val="false"/>
          <w:color w:val="000000"/>
          <w:sz w:val="28"/>
        </w:rPr>
        <w:t>
      Транспортировка</w:t>
      </w:r>
    </w:p>
    <w:bookmarkEnd w:id="5334"/>
    <w:bookmarkStart w:name="z5478" w:id="5335"/>
    <w:p>
      <w:pPr>
        <w:spacing w:after="0"/>
        <w:ind w:left="0"/>
        <w:jc w:val="both"/>
      </w:pPr>
      <w:r>
        <w:rPr>
          <w:rFonts w:ascii="Times New Roman"/>
          <w:b w:val="false"/>
          <w:i w:val="false"/>
          <w:color w:val="000000"/>
          <w:sz w:val="28"/>
        </w:rPr>
        <w:t>
      43. Лекарственные препараты для клинических исследований остаются под контролем спонсора до завершения двухэтапной процедуры выдачи разрешения на выпуск: оценки соответствия Уполномоченным лицом и выдачи спонсором разрешения на выпуск для использования в клинических исследованиях после соблюдения требований законодательства. Оба этапа оформляются документально, а записи хранятся непосредственно у спонсора или у лица, которое действует от его имени. Гармонизированный формат сертификата серии для облегчения перемещения лекарственных препаратов для клинических исследований, приведен в Дополнении 1 к настоящему приложению. Спонсор гарантирует, что вся подробная информация, которая приложена к заявлению на проведение клинического исследования, рассмотрена Уполномоченным лицом и отвечает информации, которая утверждена уполномоченными органами. Оформляется соответствующий договор о выполнении этого требования. С практической точки зрения, наилучшим способом выполнения этих требований является контроль изменений в досье на лекарственный препарат, что включено в техническое соглашение между Уполномоченным лицом и спонсором.</w:t>
      </w:r>
    </w:p>
    <w:bookmarkEnd w:id="5335"/>
    <w:bookmarkStart w:name="z5479" w:id="5336"/>
    <w:p>
      <w:pPr>
        <w:spacing w:after="0"/>
        <w:ind w:left="0"/>
        <w:jc w:val="both"/>
      </w:pPr>
      <w:r>
        <w:rPr>
          <w:rFonts w:ascii="Times New Roman"/>
          <w:b w:val="false"/>
          <w:i w:val="false"/>
          <w:color w:val="000000"/>
          <w:sz w:val="28"/>
        </w:rPr>
        <w:t>
      44. Транспортирование лекарственных препаратов для клинических исследований следует осуществлять в соответствии с инструкциями, предоставленными в распоряжение спонсором или лицом, действующим от его имени.</w:t>
      </w:r>
    </w:p>
    <w:bookmarkEnd w:id="5336"/>
    <w:bookmarkStart w:name="z5480" w:id="5337"/>
    <w:p>
      <w:pPr>
        <w:spacing w:after="0"/>
        <w:ind w:left="0"/>
        <w:jc w:val="both"/>
      </w:pPr>
      <w:r>
        <w:rPr>
          <w:rFonts w:ascii="Times New Roman"/>
          <w:b w:val="false"/>
          <w:i w:val="false"/>
          <w:color w:val="000000"/>
          <w:sz w:val="28"/>
        </w:rPr>
        <w:t>
      45. До поставки лекарственных препаратов для клинических исследований к месту проведения исследований установлены правила по раскодированию лекарственных препаратов уполномоченным на то персоналом.</w:t>
      </w:r>
    </w:p>
    <w:bookmarkEnd w:id="5337"/>
    <w:bookmarkStart w:name="z5481" w:id="5338"/>
    <w:p>
      <w:pPr>
        <w:spacing w:after="0"/>
        <w:ind w:left="0"/>
        <w:jc w:val="both"/>
      </w:pPr>
      <w:r>
        <w:rPr>
          <w:rFonts w:ascii="Times New Roman"/>
          <w:b w:val="false"/>
          <w:i w:val="false"/>
          <w:color w:val="000000"/>
          <w:sz w:val="28"/>
        </w:rPr>
        <w:t>
      46. Хранится подробный перечень отгруженной продукции, составленный производителем или импортером. Особое внимание уделяется точности указания наименования и адреса получателя.</w:t>
      </w:r>
    </w:p>
    <w:bookmarkEnd w:id="5338"/>
    <w:bookmarkStart w:name="z5482" w:id="5339"/>
    <w:p>
      <w:pPr>
        <w:spacing w:after="0"/>
        <w:ind w:left="0"/>
        <w:jc w:val="both"/>
      </w:pPr>
      <w:r>
        <w:rPr>
          <w:rFonts w:ascii="Times New Roman"/>
          <w:b w:val="false"/>
          <w:i w:val="false"/>
          <w:color w:val="000000"/>
          <w:sz w:val="28"/>
        </w:rPr>
        <w:t>
      47. Передачу лекарственных препаратов для исследований из одного места проведения исследований в другое проводят только в исключительных случаях. Порядок такой передачи установлен стандартной операционной процедурой. Проверяется совокупность имеющихся о лекарственном препарате сведений за тот период, когда он находился вне контроля производителя, например, с помощью отчетов о мониторинге клинических исследований или регистрации условий хранения на предыдущем месте проведения исследований. Такая проверка учитывается при оценке возможности передачи продукции. К участию в проверке необходимо привлекать Уполномоченное лицо. При необходимости лекарственный препарат необходимо вернуть производителю или другому имеющему на то право производителю для повторной маркировки и для его оценки Уполномоченным лицом. Хранить записи и обеспечивать полное отслеживание подобных передач.</w:t>
      </w:r>
    </w:p>
    <w:bookmarkEnd w:id="5339"/>
    <w:bookmarkStart w:name="z5483" w:id="5340"/>
    <w:p>
      <w:pPr>
        <w:spacing w:after="0"/>
        <w:ind w:left="0"/>
        <w:jc w:val="both"/>
      </w:pPr>
      <w:r>
        <w:rPr>
          <w:rFonts w:ascii="Times New Roman"/>
          <w:b w:val="false"/>
          <w:i w:val="false"/>
          <w:color w:val="000000"/>
          <w:sz w:val="28"/>
        </w:rPr>
        <w:t>
      Претензии</w:t>
      </w:r>
    </w:p>
    <w:bookmarkEnd w:id="5340"/>
    <w:bookmarkStart w:name="z5484" w:id="5341"/>
    <w:p>
      <w:pPr>
        <w:spacing w:after="0"/>
        <w:ind w:left="0"/>
        <w:jc w:val="both"/>
      </w:pPr>
      <w:r>
        <w:rPr>
          <w:rFonts w:ascii="Times New Roman"/>
          <w:b w:val="false"/>
          <w:i w:val="false"/>
          <w:color w:val="000000"/>
          <w:sz w:val="28"/>
        </w:rPr>
        <w:t>
      48. Выводы по результатам любого расследования, проведенного в связи с поступлением претензии по качеству лекарственного препарата, обсуждаются между производителем или импортером и спонсором (если это не одно и то же лицо). В этом участвуют Уполномоченное лицо и лица, ответственные за проведение соответствующего клинического исследования, чтобы оценить возможное влияние претензии на клиническое исследование, разработку лекарственного препарата и субъектов исследований.</w:t>
      </w:r>
    </w:p>
    <w:bookmarkEnd w:id="5341"/>
    <w:bookmarkStart w:name="z5485" w:id="5342"/>
    <w:p>
      <w:pPr>
        <w:spacing w:after="0"/>
        <w:ind w:left="0"/>
        <w:jc w:val="both"/>
      </w:pPr>
      <w:r>
        <w:rPr>
          <w:rFonts w:ascii="Times New Roman"/>
          <w:b w:val="false"/>
          <w:i w:val="false"/>
          <w:color w:val="000000"/>
          <w:sz w:val="28"/>
        </w:rPr>
        <w:t>
      Отзывы и возвраты</w:t>
      </w:r>
    </w:p>
    <w:bookmarkEnd w:id="5342"/>
    <w:bookmarkStart w:name="z5486" w:id="5343"/>
    <w:p>
      <w:pPr>
        <w:spacing w:after="0"/>
        <w:ind w:left="0"/>
        <w:jc w:val="both"/>
      </w:pPr>
      <w:r>
        <w:rPr>
          <w:rFonts w:ascii="Times New Roman"/>
          <w:b w:val="false"/>
          <w:i w:val="false"/>
          <w:color w:val="000000"/>
          <w:sz w:val="28"/>
        </w:rPr>
        <w:t>
      Отзывы</w:t>
      </w:r>
    </w:p>
    <w:bookmarkEnd w:id="5343"/>
    <w:bookmarkStart w:name="z5487" w:id="5344"/>
    <w:p>
      <w:pPr>
        <w:spacing w:after="0"/>
        <w:ind w:left="0"/>
        <w:jc w:val="both"/>
      </w:pPr>
      <w:r>
        <w:rPr>
          <w:rFonts w:ascii="Times New Roman"/>
          <w:b w:val="false"/>
          <w:i w:val="false"/>
          <w:color w:val="000000"/>
          <w:sz w:val="28"/>
        </w:rPr>
        <w:t>
      49. Порядок отзыва лекарственных препаратов для клинических исследований и его документального оформления согласовано между спонсором и производителем или импортером (если это не одно и то же лицо). Исследователь и монитор клинического исследования понимает свои обязанности при выполнении отзыва.</w:t>
      </w:r>
    </w:p>
    <w:bookmarkEnd w:id="5344"/>
    <w:bookmarkStart w:name="z5488" w:id="5345"/>
    <w:p>
      <w:pPr>
        <w:spacing w:after="0"/>
        <w:ind w:left="0"/>
        <w:jc w:val="both"/>
      </w:pPr>
      <w:r>
        <w:rPr>
          <w:rFonts w:ascii="Times New Roman"/>
          <w:b w:val="false"/>
          <w:i w:val="false"/>
          <w:color w:val="000000"/>
          <w:sz w:val="28"/>
        </w:rPr>
        <w:t>
      50. Спонсор гарантирует, что поставщик любого препарата сравнения или других лекарственных препаратов, используемых в клиническом исследовании, имеет систему для извещения спонсора о необходимости отзыва любого поставленного лекарственного препарата.</w:t>
      </w:r>
    </w:p>
    <w:bookmarkEnd w:id="5345"/>
    <w:bookmarkStart w:name="z5489" w:id="5346"/>
    <w:p>
      <w:pPr>
        <w:spacing w:after="0"/>
        <w:ind w:left="0"/>
        <w:jc w:val="both"/>
      </w:pPr>
      <w:r>
        <w:rPr>
          <w:rFonts w:ascii="Times New Roman"/>
          <w:b w:val="false"/>
          <w:i w:val="false"/>
          <w:color w:val="000000"/>
          <w:sz w:val="28"/>
        </w:rPr>
        <w:t>
      Возвраты</w:t>
      </w:r>
    </w:p>
    <w:bookmarkEnd w:id="5346"/>
    <w:bookmarkStart w:name="z5490" w:id="5347"/>
    <w:p>
      <w:pPr>
        <w:spacing w:after="0"/>
        <w:ind w:left="0"/>
        <w:jc w:val="both"/>
      </w:pPr>
      <w:r>
        <w:rPr>
          <w:rFonts w:ascii="Times New Roman"/>
          <w:b w:val="false"/>
          <w:i w:val="false"/>
          <w:color w:val="000000"/>
          <w:sz w:val="28"/>
        </w:rPr>
        <w:t>
      51. Лекарственные препараты для клинических исследований возвращают с соблюдением условий, установленных спонсором и изложенных в утвержденных письменных процедурах.</w:t>
      </w:r>
    </w:p>
    <w:bookmarkEnd w:id="5347"/>
    <w:bookmarkStart w:name="z5491" w:id="5348"/>
    <w:p>
      <w:pPr>
        <w:spacing w:after="0"/>
        <w:ind w:left="0"/>
        <w:jc w:val="both"/>
      </w:pPr>
      <w:r>
        <w:rPr>
          <w:rFonts w:ascii="Times New Roman"/>
          <w:b w:val="false"/>
          <w:i w:val="false"/>
          <w:color w:val="000000"/>
          <w:sz w:val="28"/>
        </w:rPr>
        <w:t>
      52. Возвращенные лекарственные препараты для клинических исследований четко обозначены. Их хранят в специально предназначенной контролируемой зоне. Сохраняют записи по учету возвращенных лекарственных препаратов.</w:t>
      </w:r>
    </w:p>
    <w:bookmarkEnd w:id="5348"/>
    <w:bookmarkStart w:name="z5492" w:id="5349"/>
    <w:p>
      <w:pPr>
        <w:spacing w:after="0"/>
        <w:ind w:left="0"/>
        <w:jc w:val="both"/>
      </w:pPr>
      <w:r>
        <w:rPr>
          <w:rFonts w:ascii="Times New Roman"/>
          <w:b w:val="false"/>
          <w:i w:val="false"/>
          <w:color w:val="000000"/>
          <w:sz w:val="28"/>
        </w:rPr>
        <w:t>
      Уничтожение</w:t>
      </w:r>
    </w:p>
    <w:bookmarkEnd w:id="5349"/>
    <w:bookmarkStart w:name="z5493" w:id="5350"/>
    <w:p>
      <w:pPr>
        <w:spacing w:after="0"/>
        <w:ind w:left="0"/>
        <w:jc w:val="both"/>
      </w:pPr>
      <w:r>
        <w:rPr>
          <w:rFonts w:ascii="Times New Roman"/>
          <w:b w:val="false"/>
          <w:i w:val="false"/>
          <w:color w:val="000000"/>
          <w:sz w:val="28"/>
        </w:rPr>
        <w:t>
      53. Спонсор несет ответственность за уничтожение неиспользованных и (или) возвращенных лекарственных препаратов для клинических исследований. Не допускается уничтожение лекарственных препаратов для клинических исследований без получения письменного разрешения от спонсора.</w:t>
      </w:r>
    </w:p>
    <w:bookmarkEnd w:id="5350"/>
    <w:bookmarkStart w:name="z5494" w:id="5351"/>
    <w:p>
      <w:pPr>
        <w:spacing w:after="0"/>
        <w:ind w:left="0"/>
        <w:jc w:val="both"/>
      </w:pPr>
      <w:r>
        <w:rPr>
          <w:rFonts w:ascii="Times New Roman"/>
          <w:b w:val="false"/>
          <w:i w:val="false"/>
          <w:color w:val="000000"/>
          <w:sz w:val="28"/>
        </w:rPr>
        <w:t>
      54. Для каждого места проведения исследований и каждого периода исследования спонсор или лицо, действующее от его имени, фиксирует, составляет баланс и проверяет количество лекарственного препарата, которое поставлено, использовано и возвращено. Уничтожение неиспользованных лекарственных препаратов для клинических исследований для данного места проведения исследований или данного периода исследований следует осуществлять только после того, как будет проведено расследование и удовлетворительно объяснены любые несоответствия, а также будет составлен материальный баланс. Документальное оформление операций по уничтожению лекарственного препарата необходимо вести таким образом, чтобы можно было представить отчет обо всех операциях. Записи по уничтожению следует хранить у спонсора.</w:t>
      </w:r>
    </w:p>
    <w:bookmarkEnd w:id="5351"/>
    <w:bookmarkStart w:name="z5495" w:id="5352"/>
    <w:p>
      <w:pPr>
        <w:spacing w:after="0"/>
        <w:ind w:left="0"/>
        <w:jc w:val="both"/>
      </w:pPr>
      <w:r>
        <w:rPr>
          <w:rFonts w:ascii="Times New Roman"/>
          <w:b w:val="false"/>
          <w:i w:val="false"/>
          <w:color w:val="000000"/>
          <w:sz w:val="28"/>
        </w:rPr>
        <w:t>
      55. В случае уничтожения лекарственных препаратов для клинических исследований спонсору представлен акт с указанием даты или другой документ об уничтожении. В этих документах указывают номера серий и (или) номера пациентов (или обеспечить возможность их отслеживания), и количество уничтоженных лекарственных препаратов.</w:t>
      </w:r>
    </w:p>
    <w:bookmarkEnd w:id="5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 1</w:t>
            </w:r>
            <w:r>
              <w:br/>
            </w:r>
            <w:r>
              <w:rPr>
                <w:rFonts w:ascii="Times New Roman"/>
                <w:b w:val="false"/>
                <w:i w:val="false"/>
                <w:color w:val="000000"/>
                <w:sz w:val="20"/>
              </w:rPr>
              <w:t>к приложению № 13 Стандарта</w:t>
            </w:r>
            <w:r>
              <w:br/>
            </w:r>
            <w:r>
              <w:rPr>
                <w:rFonts w:ascii="Times New Roman"/>
                <w:b w:val="false"/>
                <w:i w:val="false"/>
                <w:color w:val="000000"/>
                <w:sz w:val="20"/>
              </w:rPr>
              <w:t>надлежащей производственной</w:t>
            </w:r>
          </w:p>
        </w:tc>
      </w:tr>
    </w:tbl>
    <w:bookmarkStart w:name="z5497" w:id="5353"/>
    <w:p>
      <w:pPr>
        <w:spacing w:after="0"/>
        <w:ind w:left="0"/>
        <w:jc w:val="both"/>
      </w:pPr>
      <w:r>
        <w:rPr>
          <w:rFonts w:ascii="Times New Roman"/>
          <w:b w:val="false"/>
          <w:i w:val="false"/>
          <w:color w:val="000000"/>
          <w:sz w:val="28"/>
        </w:rPr>
        <w:t>
      ПРИМЕРНАЯ ФОРМА</w:t>
      </w:r>
    </w:p>
    <w:bookmarkEnd w:id="5353"/>
    <w:bookmarkStart w:name="z5498" w:id="5354"/>
    <w:p>
      <w:pPr>
        <w:spacing w:after="0"/>
        <w:ind w:left="0"/>
        <w:jc w:val="both"/>
      </w:pPr>
      <w:r>
        <w:rPr>
          <w:rFonts w:ascii="Times New Roman"/>
          <w:b w:val="false"/>
          <w:i w:val="false"/>
          <w:color w:val="000000"/>
          <w:sz w:val="28"/>
        </w:rPr>
        <w:t>
      содержания сертификата серии</w:t>
      </w:r>
    </w:p>
    <w:bookmarkEnd w:id="5354"/>
    <w:bookmarkStart w:name="z5499" w:id="5355"/>
    <w:p>
      <w:pPr>
        <w:spacing w:after="0"/>
        <w:ind w:left="0"/>
        <w:jc w:val="both"/>
      </w:pPr>
      <w:r>
        <w:rPr>
          <w:rFonts w:ascii="Times New Roman"/>
          <w:b w:val="false"/>
          <w:i w:val="false"/>
          <w:color w:val="000000"/>
          <w:sz w:val="28"/>
        </w:rPr>
        <w:t>
      [БЛАНК ПРОИЗВОДИТЕЛЯ]</w:t>
      </w:r>
    </w:p>
    <w:bookmarkEnd w:id="5355"/>
    <w:bookmarkStart w:name="z5500" w:id="5356"/>
    <w:p>
      <w:pPr>
        <w:spacing w:after="0"/>
        <w:ind w:left="0"/>
        <w:jc w:val="both"/>
      </w:pPr>
      <w:r>
        <w:rPr>
          <w:rFonts w:ascii="Times New Roman"/>
          <w:b w:val="false"/>
          <w:i w:val="false"/>
          <w:color w:val="000000"/>
          <w:sz w:val="28"/>
        </w:rPr>
        <w:t>
      Содержание сертификата серии</w:t>
      </w:r>
    </w:p>
    <w:bookmarkEnd w:id="5356"/>
    <w:bookmarkStart w:name="z5501" w:id="5357"/>
    <w:p>
      <w:pPr>
        <w:spacing w:after="0"/>
        <w:ind w:left="0"/>
        <w:jc w:val="both"/>
      </w:pPr>
      <w:r>
        <w:rPr>
          <w:rFonts w:ascii="Times New Roman"/>
          <w:b w:val="false"/>
          <w:i w:val="false"/>
          <w:color w:val="000000"/>
          <w:sz w:val="28"/>
        </w:rPr>
        <w:t>
      1. Название (названия) лекарственного(ых) препарата(ов) (идентификатора(ов) лекарственного препарата) в соответствии с заявкой на проведение клинического исследования, в зависимости от того, что применимо.</w:t>
      </w:r>
    </w:p>
    <w:bookmarkEnd w:id="5357"/>
    <w:bookmarkStart w:name="z5502" w:id="5358"/>
    <w:p>
      <w:pPr>
        <w:spacing w:after="0"/>
        <w:ind w:left="0"/>
        <w:jc w:val="both"/>
      </w:pPr>
      <w:r>
        <w:rPr>
          <w:rFonts w:ascii="Times New Roman"/>
          <w:b w:val="false"/>
          <w:i w:val="false"/>
          <w:color w:val="000000"/>
          <w:sz w:val="28"/>
        </w:rPr>
        <w:t>
      2. Номер(а) EudraCT (Общеевропейская база данных клинических исследований) и кода протокола спонсора (при наличии).</w:t>
      </w:r>
    </w:p>
    <w:bookmarkEnd w:id="5358"/>
    <w:bookmarkStart w:name="z5503" w:id="5359"/>
    <w:p>
      <w:pPr>
        <w:spacing w:after="0"/>
        <w:ind w:left="0"/>
        <w:jc w:val="both"/>
      </w:pPr>
      <w:r>
        <w:rPr>
          <w:rFonts w:ascii="Times New Roman"/>
          <w:b w:val="false"/>
          <w:i w:val="false"/>
          <w:color w:val="000000"/>
          <w:sz w:val="28"/>
        </w:rPr>
        <w:t>
      3. Дозировка:</w:t>
      </w:r>
    </w:p>
    <w:bookmarkEnd w:id="5359"/>
    <w:bookmarkStart w:name="z5504" w:id="5360"/>
    <w:p>
      <w:pPr>
        <w:spacing w:after="0"/>
        <w:ind w:left="0"/>
        <w:jc w:val="both"/>
      </w:pPr>
      <w:r>
        <w:rPr>
          <w:rFonts w:ascii="Times New Roman"/>
          <w:b w:val="false"/>
          <w:i w:val="false"/>
          <w:color w:val="000000"/>
          <w:sz w:val="28"/>
        </w:rPr>
        <w:t>
      названия и количество в единице дозы всех активных фармацевтических субстанций для каждого лекарственного препарата для клинических исследований (включая плацебо). Способ предоставления такой информации не способствует раскодированию "слепого" исследования.</w:t>
      </w:r>
    </w:p>
    <w:bookmarkEnd w:id="5360"/>
    <w:bookmarkStart w:name="z5505" w:id="5361"/>
    <w:p>
      <w:pPr>
        <w:spacing w:after="0"/>
        <w:ind w:left="0"/>
        <w:jc w:val="both"/>
      </w:pPr>
      <w:r>
        <w:rPr>
          <w:rFonts w:ascii="Times New Roman"/>
          <w:b w:val="false"/>
          <w:i w:val="false"/>
          <w:color w:val="000000"/>
          <w:sz w:val="28"/>
        </w:rPr>
        <w:t>
      4. Лекарственная форма.</w:t>
      </w:r>
    </w:p>
    <w:bookmarkEnd w:id="5361"/>
    <w:bookmarkStart w:name="z5506" w:id="5362"/>
    <w:p>
      <w:pPr>
        <w:spacing w:after="0"/>
        <w:ind w:left="0"/>
        <w:jc w:val="both"/>
      </w:pPr>
      <w:r>
        <w:rPr>
          <w:rFonts w:ascii="Times New Roman"/>
          <w:b w:val="false"/>
          <w:i w:val="false"/>
          <w:color w:val="000000"/>
          <w:sz w:val="28"/>
        </w:rPr>
        <w:t>
      5. Размер упаковки (контейнера) и тип (например, флаконы, бутыли, блистеры).</w:t>
      </w:r>
    </w:p>
    <w:bookmarkEnd w:id="5362"/>
    <w:bookmarkStart w:name="z5507" w:id="5363"/>
    <w:p>
      <w:pPr>
        <w:spacing w:after="0"/>
        <w:ind w:left="0"/>
        <w:jc w:val="both"/>
      </w:pPr>
      <w:r>
        <w:rPr>
          <w:rFonts w:ascii="Times New Roman"/>
          <w:b w:val="false"/>
          <w:i w:val="false"/>
          <w:color w:val="000000"/>
          <w:sz w:val="28"/>
        </w:rPr>
        <w:t>
      6. Номер партии (серии).</w:t>
      </w:r>
    </w:p>
    <w:bookmarkEnd w:id="5363"/>
    <w:bookmarkStart w:name="z5508" w:id="5364"/>
    <w:p>
      <w:pPr>
        <w:spacing w:after="0"/>
        <w:ind w:left="0"/>
        <w:jc w:val="both"/>
      </w:pPr>
      <w:r>
        <w:rPr>
          <w:rFonts w:ascii="Times New Roman"/>
          <w:b w:val="false"/>
          <w:i w:val="false"/>
          <w:color w:val="000000"/>
          <w:sz w:val="28"/>
        </w:rPr>
        <w:t>
      7. Дата окончания срока годности (повторного контроля, срок использования).</w:t>
      </w:r>
    </w:p>
    <w:bookmarkEnd w:id="5364"/>
    <w:bookmarkStart w:name="z5509" w:id="5365"/>
    <w:p>
      <w:pPr>
        <w:spacing w:after="0"/>
        <w:ind w:left="0"/>
        <w:jc w:val="both"/>
      </w:pPr>
      <w:r>
        <w:rPr>
          <w:rFonts w:ascii="Times New Roman"/>
          <w:b w:val="false"/>
          <w:i w:val="false"/>
          <w:color w:val="000000"/>
          <w:sz w:val="28"/>
        </w:rPr>
        <w:t>
      8. Наименование производителя (производственной площадки) его адрес, где находится выдающее сертификат уполномоченное лицо.</w:t>
      </w:r>
    </w:p>
    <w:bookmarkEnd w:id="5365"/>
    <w:bookmarkStart w:name="z5510" w:id="5366"/>
    <w:p>
      <w:pPr>
        <w:spacing w:after="0"/>
        <w:ind w:left="0"/>
        <w:jc w:val="both"/>
      </w:pPr>
      <w:r>
        <w:rPr>
          <w:rFonts w:ascii="Times New Roman"/>
          <w:b w:val="false"/>
          <w:i w:val="false"/>
          <w:color w:val="000000"/>
          <w:sz w:val="28"/>
        </w:rPr>
        <w:t>
      9. Номер специального разрешения (лицензии) на производство для производственной площадки, указанной в пункте 8.</w:t>
      </w:r>
    </w:p>
    <w:bookmarkEnd w:id="5366"/>
    <w:bookmarkStart w:name="z5511" w:id="5367"/>
    <w:p>
      <w:pPr>
        <w:spacing w:after="0"/>
        <w:ind w:left="0"/>
        <w:jc w:val="both"/>
      </w:pPr>
      <w:r>
        <w:rPr>
          <w:rFonts w:ascii="Times New Roman"/>
          <w:b w:val="false"/>
          <w:i w:val="false"/>
          <w:color w:val="000000"/>
          <w:sz w:val="28"/>
        </w:rPr>
        <w:t>
      10. Комментарии (примечания).</w:t>
      </w:r>
    </w:p>
    <w:bookmarkEnd w:id="5367"/>
    <w:bookmarkStart w:name="z5512" w:id="5368"/>
    <w:p>
      <w:pPr>
        <w:spacing w:after="0"/>
        <w:ind w:left="0"/>
        <w:jc w:val="both"/>
      </w:pPr>
      <w:r>
        <w:rPr>
          <w:rFonts w:ascii="Times New Roman"/>
          <w:b w:val="false"/>
          <w:i w:val="false"/>
          <w:color w:val="000000"/>
          <w:sz w:val="28"/>
        </w:rPr>
        <w:t>
      11. Дополнительная информация, которая является существенной, по мнению уполномоченного лица.</w:t>
      </w:r>
    </w:p>
    <w:bookmarkEnd w:id="5368"/>
    <w:bookmarkStart w:name="z5513" w:id="5369"/>
    <w:p>
      <w:pPr>
        <w:spacing w:after="0"/>
        <w:ind w:left="0"/>
        <w:jc w:val="both"/>
      </w:pPr>
      <w:r>
        <w:rPr>
          <w:rFonts w:ascii="Times New Roman"/>
          <w:b w:val="false"/>
          <w:i w:val="false"/>
          <w:color w:val="000000"/>
          <w:sz w:val="28"/>
        </w:rPr>
        <w:t>
      12. Заявление о сертификации.</w:t>
      </w:r>
    </w:p>
    <w:bookmarkEnd w:id="5369"/>
    <w:bookmarkStart w:name="z5514" w:id="5370"/>
    <w:p>
      <w:pPr>
        <w:spacing w:after="0"/>
        <w:ind w:left="0"/>
        <w:jc w:val="both"/>
      </w:pPr>
      <w:r>
        <w:rPr>
          <w:rFonts w:ascii="Times New Roman"/>
          <w:b w:val="false"/>
          <w:i w:val="false"/>
          <w:color w:val="000000"/>
          <w:sz w:val="28"/>
        </w:rPr>
        <w:t>
      13. Делается запись:</w:t>
      </w:r>
    </w:p>
    <w:bookmarkEnd w:id="5370"/>
    <w:bookmarkStart w:name="z5515" w:id="5371"/>
    <w:p>
      <w:pPr>
        <w:spacing w:after="0"/>
        <w:ind w:left="0"/>
        <w:jc w:val="both"/>
      </w:pPr>
      <w:r>
        <w:rPr>
          <w:rFonts w:ascii="Times New Roman"/>
          <w:b w:val="false"/>
          <w:i w:val="false"/>
          <w:color w:val="000000"/>
          <w:sz w:val="28"/>
        </w:rPr>
        <w:t>
      "Настоящим я подтверждаю, что эта серия соответствует требованиям (указывается соответствующая форма подтверждения, исходя их нижеперечисленных возможных вариантов поставки лекарственных препаратов):</w:t>
      </w:r>
    </w:p>
    <w:bookmarkEnd w:id="5371"/>
    <w:bookmarkStart w:name="z5516" w:id="5372"/>
    <w:p>
      <w:pPr>
        <w:spacing w:after="0"/>
        <w:ind w:left="0"/>
        <w:jc w:val="both"/>
      </w:pPr>
      <w:r>
        <w:rPr>
          <w:rFonts w:ascii="Times New Roman"/>
          <w:b w:val="false"/>
          <w:i w:val="false"/>
          <w:color w:val="000000"/>
          <w:sz w:val="28"/>
        </w:rPr>
        <w:t>
      а) лекарственный препарат произведен на территории государства, но не зарегистрирован в государстве. При подаче заявления на проведение клинических исследований необходимо засвидетельствовать, что лекарственный препарат для клинических исследований произведен и проверен в соответствии с требованиями Стандарта надлежащей производственной практики, досье на лекарственный препарат, а также что имеется соответствующая информация, предоставленная спонсором уполномоченному органу;</w:t>
      </w:r>
    </w:p>
    <w:bookmarkEnd w:id="5372"/>
    <w:bookmarkStart w:name="z5517" w:id="5373"/>
    <w:p>
      <w:pPr>
        <w:spacing w:after="0"/>
        <w:ind w:left="0"/>
        <w:jc w:val="both"/>
      </w:pPr>
      <w:r>
        <w:rPr>
          <w:rFonts w:ascii="Times New Roman"/>
          <w:b w:val="false"/>
          <w:i w:val="false"/>
          <w:color w:val="000000"/>
          <w:sz w:val="28"/>
        </w:rPr>
        <w:t>
      b) лекарственный препарат зарегистрирован в государстве, поставляется дистрибьютором, который находится в государстве, независимо от того, где производится лекарственный препарат. Обязанности, которые указаны выше, остаются теми же, но объем представленных данных может быть ограничен подтверждением того, что лекарственный препарат соответствует заявлению на проведение клинических исследований и любой последующей обработке с целью кодирования, осуществления специальной упаковки или маркировки для этого исследования. Досье на лекарственный препарат также может быть ограниченным по объему (см. пункт 9 приложения № 13 Стандарта);</w:t>
      </w:r>
    </w:p>
    <w:bookmarkEnd w:id="5373"/>
    <w:bookmarkStart w:name="z5518" w:id="5374"/>
    <w:p>
      <w:pPr>
        <w:spacing w:after="0"/>
        <w:ind w:left="0"/>
        <w:jc w:val="both"/>
      </w:pPr>
      <w:r>
        <w:rPr>
          <w:rFonts w:ascii="Times New Roman"/>
          <w:b w:val="false"/>
          <w:i w:val="false"/>
          <w:color w:val="000000"/>
          <w:sz w:val="28"/>
        </w:rPr>
        <w:t>
      с) лекарственный препарат импортирован непосредственно из третьей страны, необходимо засвидетельствовать, что он произведен и проверен в соответствии с требованиями, эквивалентными или не ниже изложенных в Стандарте, досье на лекарственный препарат, а также что имеется соответствующая информация, представленная спонсором уполномоченному органу при подаче заявления на проведение клинического исследования. Если лекарственные препараты для клинических исследований ввезены из третьей страны и являются объектом соглашения, принятого между государством и этой страной (например, соглашение о взаимном признании), любое подобное соглашение предусматривает применение требований, эквивалентных Стандарта, в отношении этого лекарственного препарата. При отсутствии соглашения о взаимном признании уполномоченное лицо на основе информации о системе качества производителя устанавливает, что применяются требования, эквивалентные настоящего Стандарта. Эту информацию, как правило, получают путем участия в аудите систем качества производителей.</w:t>
      </w:r>
    </w:p>
    <w:bookmarkEnd w:id="5374"/>
    <w:bookmarkStart w:name="z5519" w:id="5375"/>
    <w:p>
      <w:pPr>
        <w:spacing w:after="0"/>
        <w:ind w:left="0"/>
        <w:jc w:val="both"/>
      </w:pPr>
      <w:r>
        <w:rPr>
          <w:rFonts w:ascii="Times New Roman"/>
          <w:b w:val="false"/>
          <w:i w:val="false"/>
          <w:color w:val="000000"/>
          <w:sz w:val="28"/>
        </w:rPr>
        <w:t>
      И в первом, и во втором случае уполномоченное лицо выполняет оценку соответствия на основании документации, представленной производителем из другой страны".</w:t>
      </w:r>
    </w:p>
    <w:bookmarkEnd w:id="5375"/>
    <w:bookmarkStart w:name="z5520" w:id="5376"/>
    <w:p>
      <w:pPr>
        <w:spacing w:after="0"/>
        <w:ind w:left="0"/>
        <w:jc w:val="both"/>
      </w:pPr>
      <w:r>
        <w:rPr>
          <w:rFonts w:ascii="Times New Roman"/>
          <w:b w:val="false"/>
          <w:i w:val="false"/>
          <w:color w:val="000000"/>
          <w:sz w:val="28"/>
        </w:rPr>
        <w:t>
      14. Фамилия уполномоченного лица, подписавшего сертификат.</w:t>
      </w:r>
    </w:p>
    <w:bookmarkEnd w:id="5376"/>
    <w:bookmarkStart w:name="z5521" w:id="5377"/>
    <w:p>
      <w:pPr>
        <w:spacing w:after="0"/>
        <w:ind w:left="0"/>
        <w:jc w:val="both"/>
      </w:pPr>
      <w:r>
        <w:rPr>
          <w:rFonts w:ascii="Times New Roman"/>
          <w:b w:val="false"/>
          <w:i w:val="false"/>
          <w:color w:val="000000"/>
          <w:sz w:val="28"/>
        </w:rPr>
        <w:t>
      15. Подпись.</w:t>
      </w:r>
    </w:p>
    <w:bookmarkEnd w:id="5377"/>
    <w:bookmarkStart w:name="z5522" w:id="5378"/>
    <w:p>
      <w:pPr>
        <w:spacing w:after="0"/>
        <w:ind w:left="0"/>
        <w:jc w:val="both"/>
      </w:pPr>
      <w:r>
        <w:rPr>
          <w:rFonts w:ascii="Times New Roman"/>
          <w:b w:val="false"/>
          <w:i w:val="false"/>
          <w:color w:val="000000"/>
          <w:sz w:val="28"/>
        </w:rPr>
        <w:t>
      16. Дата подписания.</w:t>
      </w:r>
    </w:p>
    <w:bookmarkEnd w:id="5378"/>
    <w:bookmarkStart w:name="z5523" w:id="5379"/>
    <w:p>
      <w:pPr>
        <w:spacing w:after="0"/>
        <w:ind w:left="0"/>
        <w:jc w:val="both"/>
      </w:pPr>
      <w:r>
        <w:rPr>
          <w:rFonts w:ascii="Times New Roman"/>
          <w:b w:val="false"/>
          <w:i w:val="false"/>
          <w:color w:val="000000"/>
          <w:sz w:val="28"/>
        </w:rPr>
        <w:t>
      Пояснение</w:t>
      </w:r>
    </w:p>
    <w:bookmarkEnd w:id="5379"/>
    <w:bookmarkStart w:name="z5524" w:id="5380"/>
    <w:p>
      <w:pPr>
        <w:spacing w:after="0"/>
        <w:ind w:left="0"/>
        <w:jc w:val="both"/>
      </w:pPr>
      <w:r>
        <w:rPr>
          <w:rFonts w:ascii="Times New Roman"/>
          <w:b w:val="false"/>
          <w:i w:val="false"/>
          <w:color w:val="000000"/>
          <w:sz w:val="28"/>
        </w:rPr>
        <w:t>
      Лекарственные препараты для клинических исследований не могут быть использованы в клиническом исследовании до окончания двухэтапной процедуры, описанной в пункте 43 приложения № 13 Стандарта. На первом этапе закончена и оформлена документально сертификация каждой серии уполномоченным лицом производителя или импортера в соответствии с пунктом 13 настоящего документа.</w:t>
      </w:r>
    </w:p>
    <w:bookmarkEnd w:id="5380"/>
    <w:bookmarkStart w:name="z5525" w:id="5381"/>
    <w:p>
      <w:pPr>
        <w:spacing w:after="0"/>
        <w:ind w:left="0"/>
        <w:jc w:val="both"/>
      </w:pPr>
      <w:r>
        <w:rPr>
          <w:rFonts w:ascii="Times New Roman"/>
          <w:b w:val="false"/>
          <w:i w:val="false"/>
          <w:color w:val="000000"/>
          <w:sz w:val="28"/>
        </w:rPr>
        <w:t>
      Серию лекарственного препарата для клинических исследований, сопровождаемую подписанным уполномоченным лицом сертификатом серии, не подвергают дальнейшим проверкам относительно положений, указанных в пункте 13 настоящего документа при ее перемещении. Для облегчения свободного перемещения лекарственных препаратов для клинических исследований содержание таких сертификатов соответствует приведенному выше гармонизированному формату. Этот формат также применен для сертификации серий, предназначенных для использования, в котором находится производитель или импортер.</w:t>
      </w:r>
    </w:p>
    <w:bookmarkEnd w:id="5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527" w:id="5382"/>
    <w:p>
      <w:pPr>
        <w:spacing w:after="0"/>
        <w:ind w:left="0"/>
        <w:jc w:val="left"/>
      </w:pPr>
      <w:r>
        <w:rPr>
          <w:rFonts w:ascii="Times New Roman"/>
          <w:b/>
          <w:i w:val="false"/>
          <w:color w:val="000000"/>
        </w:rPr>
        <w:t xml:space="preserve"> Требования производству лекарственных препаратов, получаемых из донорской крови или плазмы</w:t>
      </w:r>
    </w:p>
    <w:bookmarkEnd w:id="5382"/>
    <w:bookmarkStart w:name="z5528" w:id="5383"/>
    <w:p>
      <w:pPr>
        <w:spacing w:after="0"/>
        <w:ind w:left="0"/>
        <w:jc w:val="both"/>
      </w:pPr>
      <w:r>
        <w:rPr>
          <w:rFonts w:ascii="Times New Roman"/>
          <w:b w:val="false"/>
          <w:i w:val="false"/>
          <w:color w:val="000000"/>
          <w:sz w:val="28"/>
        </w:rPr>
        <w:t>
      Для целей настоящих Требований используются понятия, которые означают следующее:</w:t>
      </w:r>
    </w:p>
    <w:bookmarkEnd w:id="5383"/>
    <w:bookmarkStart w:name="z5529" w:id="5384"/>
    <w:p>
      <w:pPr>
        <w:spacing w:after="0"/>
        <w:ind w:left="0"/>
        <w:jc w:val="both"/>
      </w:pPr>
      <w:r>
        <w:rPr>
          <w:rFonts w:ascii="Times New Roman"/>
          <w:b w:val="false"/>
          <w:i w:val="false"/>
          <w:color w:val="000000"/>
          <w:sz w:val="28"/>
        </w:rPr>
        <w:t>
      "компонент крови" (blood component) - терапевтическая составляющая крови (эритроциты, лейкоциты, тромбоциты и плазма), которая может быть подготовлена различными методами;</w:t>
      </w:r>
    </w:p>
    <w:bookmarkEnd w:id="5384"/>
    <w:bookmarkStart w:name="z5530" w:id="5385"/>
    <w:p>
      <w:pPr>
        <w:spacing w:after="0"/>
        <w:ind w:left="0"/>
        <w:jc w:val="both"/>
      </w:pPr>
      <w:r>
        <w:rPr>
          <w:rFonts w:ascii="Times New Roman"/>
          <w:b w:val="false"/>
          <w:i w:val="false"/>
          <w:color w:val="000000"/>
          <w:sz w:val="28"/>
        </w:rPr>
        <w:t>
      "кровь" (blood) - цельная кровь, которая взята у донора и обработана для трансфузии или для дальнейшего производства;</w:t>
      </w:r>
    </w:p>
    <w:bookmarkEnd w:id="5385"/>
    <w:bookmarkStart w:name="z5531" w:id="5386"/>
    <w:p>
      <w:pPr>
        <w:spacing w:after="0"/>
        <w:ind w:left="0"/>
        <w:jc w:val="both"/>
      </w:pPr>
      <w:r>
        <w:rPr>
          <w:rFonts w:ascii="Times New Roman"/>
          <w:b w:val="false"/>
          <w:i w:val="false"/>
          <w:color w:val="000000"/>
          <w:sz w:val="28"/>
        </w:rPr>
        <w:t>
      "лекарственные препараты, получаемые из донорской крови или плазмы" (medicinal products derived from human blood or human plasma) - лекарственные препараты на основе компонентов крови, которые произведены промышленным способом на государственных или негосударственных предприятиях;</w:t>
      </w:r>
    </w:p>
    <w:bookmarkEnd w:id="5386"/>
    <w:bookmarkStart w:name="z5532" w:id="5387"/>
    <w:p>
      <w:pPr>
        <w:spacing w:after="0"/>
        <w:ind w:left="0"/>
        <w:jc w:val="both"/>
      </w:pPr>
      <w:r>
        <w:rPr>
          <w:rFonts w:ascii="Times New Roman"/>
          <w:b w:val="false"/>
          <w:i w:val="false"/>
          <w:color w:val="000000"/>
          <w:sz w:val="28"/>
        </w:rPr>
        <w:t>
      "обработка" (processing) - любой из этапов получения компонентов крови, который осуществляется после забора крови перед получением компонента крови (например, сепарация и заморозка компонентов крови). В настоящих Требованиях под обработкой дополнительно понимают выполняемые в учреждениях по забору крови операции, которые являются специфическими для плазмы, используемой для фракционирования;</w:t>
      </w:r>
    </w:p>
    <w:bookmarkEnd w:id="5387"/>
    <w:bookmarkStart w:name="z5533" w:id="5388"/>
    <w:p>
      <w:pPr>
        <w:spacing w:after="0"/>
        <w:ind w:left="0"/>
        <w:jc w:val="both"/>
      </w:pPr>
      <w:r>
        <w:rPr>
          <w:rFonts w:ascii="Times New Roman"/>
          <w:b w:val="false"/>
          <w:i w:val="false"/>
          <w:color w:val="000000"/>
          <w:sz w:val="28"/>
        </w:rPr>
        <w:t>
      "основное досье плазмы" (Plasma Master File - PMF) - отдельный документ, который не входит в регистрационное досье на лекарственный препарат. В нем содержится вся соответствующая подробная информация в отношении характеристик цельной донорской плазмы, используемой как исходное сырье для производства промежуточных фракций (субфракций), вспомогательных веществ и активных фармацевтических субстанций, которые являются частью плазмы, лекарственных препаратов или медицинских изделий;</w:t>
      </w:r>
    </w:p>
    <w:bookmarkEnd w:id="5388"/>
    <w:bookmarkStart w:name="z5534" w:id="5389"/>
    <w:p>
      <w:pPr>
        <w:spacing w:after="0"/>
        <w:ind w:left="0"/>
        <w:jc w:val="both"/>
      </w:pPr>
      <w:r>
        <w:rPr>
          <w:rFonts w:ascii="Times New Roman"/>
          <w:b w:val="false"/>
          <w:i w:val="false"/>
          <w:color w:val="000000"/>
          <w:sz w:val="28"/>
        </w:rPr>
        <w:t>
      "ответственное лицо" (Responsible Person) - специально назначенное лицо в учреждениях по забору (проверке) крови, которое несет ответственность за:</w:t>
      </w:r>
    </w:p>
    <w:bookmarkEnd w:id="5389"/>
    <w:bookmarkStart w:name="z5535" w:id="5390"/>
    <w:p>
      <w:pPr>
        <w:spacing w:after="0"/>
        <w:ind w:left="0"/>
        <w:jc w:val="both"/>
      </w:pPr>
      <w:r>
        <w:rPr>
          <w:rFonts w:ascii="Times New Roman"/>
          <w:b w:val="false"/>
          <w:i w:val="false"/>
          <w:color w:val="000000"/>
          <w:sz w:val="28"/>
        </w:rPr>
        <w:t>
      обеспечение того, что кровь или ее компоненты были взяты и проверены в каждой единице независимо от их предназначения, а также за то, что (в случае предназначения для трансфузии) их обработка, хранение и отпуск были произведены в соответствии с законодательством;</w:t>
      </w:r>
    </w:p>
    <w:bookmarkEnd w:id="5390"/>
    <w:bookmarkStart w:name="z5536" w:id="5391"/>
    <w:p>
      <w:pPr>
        <w:spacing w:after="0"/>
        <w:ind w:left="0"/>
        <w:jc w:val="both"/>
      </w:pPr>
      <w:r>
        <w:rPr>
          <w:rFonts w:ascii="Times New Roman"/>
          <w:b w:val="false"/>
          <w:i w:val="false"/>
          <w:color w:val="000000"/>
          <w:sz w:val="28"/>
        </w:rPr>
        <w:t>
      предоставление соответствующей информации уполномоченным органам (организациям) в отношении предписаний, разрешений, аккредитации или лицензирования;</w:t>
      </w:r>
    </w:p>
    <w:bookmarkEnd w:id="5391"/>
    <w:bookmarkStart w:name="z5537" w:id="5392"/>
    <w:p>
      <w:pPr>
        <w:spacing w:after="0"/>
        <w:ind w:left="0"/>
        <w:jc w:val="both"/>
      </w:pPr>
      <w:r>
        <w:rPr>
          <w:rFonts w:ascii="Times New Roman"/>
          <w:b w:val="false"/>
          <w:i w:val="false"/>
          <w:color w:val="000000"/>
          <w:sz w:val="28"/>
        </w:rPr>
        <w:t>
      выполнение в учреждении по забору (проверке) крови всех требований законодательства.</w:t>
      </w:r>
    </w:p>
    <w:bookmarkEnd w:id="5392"/>
    <w:bookmarkStart w:name="z5538" w:id="5393"/>
    <w:p>
      <w:pPr>
        <w:spacing w:after="0"/>
        <w:ind w:left="0"/>
        <w:jc w:val="both"/>
      </w:pPr>
      <w:r>
        <w:rPr>
          <w:rFonts w:ascii="Times New Roman"/>
          <w:b w:val="false"/>
          <w:i w:val="false"/>
          <w:color w:val="000000"/>
          <w:sz w:val="28"/>
        </w:rPr>
        <w:t>
      Ответственное лицо отвечает следующим условиям в отношении квалификации:</w:t>
      </w:r>
    </w:p>
    <w:bookmarkEnd w:id="5393"/>
    <w:bookmarkStart w:name="z5539" w:id="5394"/>
    <w:p>
      <w:pPr>
        <w:spacing w:after="0"/>
        <w:ind w:left="0"/>
        <w:jc w:val="both"/>
      </w:pPr>
      <w:r>
        <w:rPr>
          <w:rFonts w:ascii="Times New Roman"/>
          <w:b w:val="false"/>
          <w:i w:val="false"/>
          <w:color w:val="000000"/>
          <w:sz w:val="28"/>
        </w:rPr>
        <w:t xml:space="preserve">
      иметь высшее образование в области медицины или биологии; </w:t>
      </w:r>
    </w:p>
    <w:bookmarkEnd w:id="5394"/>
    <w:bookmarkStart w:name="z5540" w:id="5395"/>
    <w:p>
      <w:pPr>
        <w:spacing w:after="0"/>
        <w:ind w:left="0"/>
        <w:jc w:val="both"/>
      </w:pPr>
      <w:r>
        <w:rPr>
          <w:rFonts w:ascii="Times New Roman"/>
          <w:b w:val="false"/>
          <w:i w:val="false"/>
          <w:color w:val="000000"/>
          <w:sz w:val="28"/>
        </w:rPr>
        <w:t>
      иметь стаж работы не менее 2 лет в области забора (проверки) донорской крови и компонентов крови или их обработки, хранения или распределения.</w:t>
      </w:r>
    </w:p>
    <w:bookmarkEnd w:id="5395"/>
    <w:bookmarkStart w:name="z5541" w:id="5396"/>
    <w:p>
      <w:pPr>
        <w:spacing w:after="0"/>
        <w:ind w:left="0"/>
        <w:jc w:val="both"/>
      </w:pPr>
      <w:r>
        <w:rPr>
          <w:rFonts w:ascii="Times New Roman"/>
          <w:b w:val="false"/>
          <w:i w:val="false"/>
          <w:color w:val="000000"/>
          <w:sz w:val="28"/>
        </w:rPr>
        <w:t>
      Обязанности ответственного лица, указанные в настоящем пункте, могут быть переданы другим лицам, которые имеет соответствующую квалификацию и стаж работы для выполнения этих обязанностей.</w:t>
      </w:r>
    </w:p>
    <w:bookmarkEnd w:id="5396"/>
    <w:bookmarkStart w:name="z5542" w:id="5397"/>
    <w:p>
      <w:pPr>
        <w:spacing w:after="0"/>
        <w:ind w:left="0"/>
        <w:jc w:val="both"/>
      </w:pPr>
      <w:r>
        <w:rPr>
          <w:rFonts w:ascii="Times New Roman"/>
          <w:b w:val="false"/>
          <w:i w:val="false"/>
          <w:color w:val="000000"/>
          <w:sz w:val="28"/>
        </w:rPr>
        <w:t>
      Учреждения по забору (проверке) крови сообщают в уполномоченный орган (организацию) фамилию (имя, отчество) ответственного лица с обязанностями, указанными в настоящем пункте, также других лиц, указанных в настоящем пункте, вместе с информацией о конкретных обязанностях, которые на них возложены.</w:t>
      </w:r>
    </w:p>
    <w:bookmarkEnd w:id="5397"/>
    <w:bookmarkStart w:name="z5543" w:id="5398"/>
    <w:p>
      <w:pPr>
        <w:spacing w:after="0"/>
        <w:ind w:left="0"/>
        <w:jc w:val="both"/>
      </w:pPr>
      <w:r>
        <w:rPr>
          <w:rFonts w:ascii="Times New Roman"/>
          <w:b w:val="false"/>
          <w:i w:val="false"/>
          <w:color w:val="000000"/>
          <w:sz w:val="28"/>
        </w:rPr>
        <w:t>
      Если ответственное лицо или лица, указанные в настоящем пункте, заменяются на постоянной или временной основе, учреждение по забору (проверке) крови незамедлительно уведомить уполномоченные органы (организации) о фамилии (имени, отчестве) нового ответственного лица и дате его назначения;</w:t>
      </w:r>
    </w:p>
    <w:bookmarkEnd w:id="5398"/>
    <w:bookmarkStart w:name="z5544" w:id="5399"/>
    <w:p>
      <w:pPr>
        <w:spacing w:after="0"/>
        <w:ind w:left="0"/>
        <w:jc w:val="both"/>
      </w:pPr>
      <w:r>
        <w:rPr>
          <w:rFonts w:ascii="Times New Roman"/>
          <w:b w:val="false"/>
          <w:i w:val="false"/>
          <w:color w:val="000000"/>
          <w:sz w:val="28"/>
        </w:rPr>
        <w:t>
      "плазма для фракционирования" (plasma for fractionation) - жидкая часть донорской крови, которая остается после отделения клеточных компонентов крови, отобранная в контейнер с антикоагулянтом, или которая остается после сепарации с помощью непрерывной фильтрации или центрифугирования крови с антикоагулянтом во время процедуры афереза. Плазма для фракционирования предназначена для производства лекарственных препаратов, получаемых из плазмы, в частности, альбумина, факторов свертывания крови и иммуноглобулина человека;</w:t>
      </w:r>
    </w:p>
    <w:bookmarkEnd w:id="5399"/>
    <w:bookmarkStart w:name="z5545" w:id="5400"/>
    <w:p>
      <w:pPr>
        <w:spacing w:after="0"/>
        <w:ind w:left="0"/>
        <w:jc w:val="both"/>
      </w:pPr>
      <w:r>
        <w:rPr>
          <w:rFonts w:ascii="Times New Roman"/>
          <w:b w:val="false"/>
          <w:i w:val="false"/>
          <w:color w:val="000000"/>
          <w:sz w:val="28"/>
        </w:rPr>
        <w:t>
      "препараты крови" (blood products) - лекарственные препараты, полученные из донорской крови или плазмы;</w:t>
      </w:r>
    </w:p>
    <w:bookmarkEnd w:id="5400"/>
    <w:bookmarkStart w:name="z5546" w:id="5401"/>
    <w:p>
      <w:pPr>
        <w:spacing w:after="0"/>
        <w:ind w:left="0"/>
        <w:jc w:val="both"/>
      </w:pPr>
      <w:r>
        <w:rPr>
          <w:rFonts w:ascii="Times New Roman"/>
          <w:b w:val="false"/>
          <w:i w:val="false"/>
          <w:color w:val="000000"/>
          <w:sz w:val="28"/>
        </w:rPr>
        <w:t>
      "программа фракционирования по контракту для третьих стран" (third countries contract fractionation program) - фракционирование по контракту на предприятии по фракционированию или производству лекарственных препаратов из донорской плазмы с использованием исходного сырья из третьих стран;</w:t>
      </w:r>
    </w:p>
    <w:bookmarkEnd w:id="5401"/>
    <w:bookmarkStart w:name="z5547" w:id="5402"/>
    <w:p>
      <w:pPr>
        <w:spacing w:after="0"/>
        <w:ind w:left="0"/>
        <w:jc w:val="both"/>
      </w:pPr>
      <w:r>
        <w:rPr>
          <w:rFonts w:ascii="Times New Roman"/>
          <w:b w:val="false"/>
          <w:i w:val="false"/>
          <w:color w:val="000000"/>
          <w:sz w:val="28"/>
        </w:rPr>
        <w:t>
      "уполномоченное лицо" (Qualified Person)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Стандарта надлежащей производственной практики. Обязанности уполномоченного лица детально описаны в главе 2 части I Стандарта надлежащей производственной практики и Приложении № 16 Стандарта надлежащей производственной практики;</w:t>
      </w:r>
    </w:p>
    <w:bookmarkEnd w:id="5402"/>
    <w:bookmarkStart w:name="z5548" w:id="5403"/>
    <w:p>
      <w:pPr>
        <w:spacing w:after="0"/>
        <w:ind w:left="0"/>
        <w:jc w:val="both"/>
      </w:pPr>
      <w:r>
        <w:rPr>
          <w:rFonts w:ascii="Times New Roman"/>
          <w:b w:val="false"/>
          <w:i w:val="false"/>
          <w:color w:val="000000"/>
          <w:sz w:val="28"/>
        </w:rPr>
        <w:t>
      "учреждение по забору (проверке) крови" (blood establishment) - учреждение, которое несет ответственность за любой аспект забора и проверки донорской крови или компонентов крови независимо от их дальнейшего предназначения, а также за их обработку, хранение и поставку в случае, когда они предназначены для трансфузии. Этот термин не распространяется на банки крови в больницах, но распространяется на учреждения, в которых проводят плазмаферез;</w:t>
      </w:r>
    </w:p>
    <w:bookmarkEnd w:id="5403"/>
    <w:bookmarkStart w:name="z5549" w:id="5404"/>
    <w:p>
      <w:pPr>
        <w:spacing w:after="0"/>
        <w:ind w:left="0"/>
        <w:jc w:val="both"/>
      </w:pPr>
      <w:r>
        <w:rPr>
          <w:rFonts w:ascii="Times New Roman"/>
          <w:b w:val="false"/>
          <w:i w:val="false"/>
          <w:color w:val="000000"/>
          <w:sz w:val="28"/>
        </w:rPr>
        <w:t>
      "фракционирование, предприятие по фракционированию" (fractionation, fractionation plant) - технологический процесс на предприятии (предприятии по фракционированию), во время которого разделяют (очищают) компоненты плазмы с помощью различных физических и химических методов (например, осаждение, хроматография).</w:t>
      </w:r>
    </w:p>
    <w:bookmarkEnd w:id="5404"/>
    <w:bookmarkStart w:name="z5550" w:id="5405"/>
    <w:p>
      <w:pPr>
        <w:spacing w:after="0"/>
        <w:ind w:left="0"/>
        <w:jc w:val="both"/>
      </w:pPr>
      <w:r>
        <w:rPr>
          <w:rFonts w:ascii="Times New Roman"/>
          <w:b w:val="false"/>
          <w:i w:val="false"/>
          <w:color w:val="000000"/>
          <w:sz w:val="28"/>
        </w:rPr>
        <w:t>
      1. Область применения</w:t>
      </w:r>
    </w:p>
    <w:bookmarkEnd w:id="5405"/>
    <w:bookmarkStart w:name="z5551" w:id="5406"/>
    <w:p>
      <w:pPr>
        <w:spacing w:after="0"/>
        <w:ind w:left="0"/>
        <w:jc w:val="both"/>
      </w:pPr>
      <w:r>
        <w:rPr>
          <w:rFonts w:ascii="Times New Roman"/>
          <w:b w:val="false"/>
          <w:i w:val="false"/>
          <w:color w:val="000000"/>
          <w:sz w:val="28"/>
        </w:rPr>
        <w:t>
      1.1. Положения настоящих Требований распространяются на лекарственные препараты, получаемые из донорской крови или плазмы, фракционированной либо импортированной на территорию других стран. Настоящие Требования распространяется также на исходное сырье для таких лекарственных препаратов (например, донорскую плазму) и применимы к стабильным фракциям донорской крови или плазмы (например, альбумина), которые включают в медицинские изделия.</w:t>
      </w:r>
    </w:p>
    <w:bookmarkEnd w:id="5406"/>
    <w:bookmarkStart w:name="z5552" w:id="5407"/>
    <w:p>
      <w:pPr>
        <w:spacing w:after="0"/>
        <w:ind w:left="0"/>
        <w:jc w:val="both"/>
      </w:pPr>
      <w:r>
        <w:rPr>
          <w:rFonts w:ascii="Times New Roman"/>
          <w:b w:val="false"/>
          <w:i w:val="false"/>
          <w:color w:val="000000"/>
          <w:sz w:val="28"/>
        </w:rPr>
        <w:t>
      1.2. Настоящие Требования устанавливают специальные требования в отношении производства, хранения и транспортирования донорской плазмы, используемой для фракционирования и производства лекарственных препаратов, получаемых из донорской крови или плазмы.</w:t>
      </w:r>
    </w:p>
    <w:bookmarkEnd w:id="5407"/>
    <w:bookmarkStart w:name="z5553" w:id="5408"/>
    <w:p>
      <w:pPr>
        <w:spacing w:after="0"/>
        <w:ind w:left="0"/>
        <w:jc w:val="both"/>
      </w:pPr>
      <w:r>
        <w:rPr>
          <w:rFonts w:ascii="Times New Roman"/>
          <w:b w:val="false"/>
          <w:i w:val="false"/>
          <w:color w:val="000000"/>
          <w:sz w:val="28"/>
        </w:rPr>
        <w:t>
      1.3. Настоящие Требования устанавливают специальные положения для случаев, когда исходное сырье импортируется из третьих стран, а также в случаях программ фракционирования по контракту для третьих стран.</w:t>
      </w:r>
    </w:p>
    <w:bookmarkEnd w:id="5408"/>
    <w:bookmarkStart w:name="z5554" w:id="5409"/>
    <w:p>
      <w:pPr>
        <w:spacing w:after="0"/>
        <w:ind w:left="0"/>
        <w:jc w:val="both"/>
      </w:pPr>
      <w:r>
        <w:rPr>
          <w:rFonts w:ascii="Times New Roman"/>
          <w:b w:val="false"/>
          <w:i w:val="false"/>
          <w:color w:val="000000"/>
          <w:sz w:val="28"/>
        </w:rPr>
        <w:t>
      1.4. Настоящие Требования не применяются для компонентов крови, предназначенных для трансфузии.</w:t>
      </w:r>
    </w:p>
    <w:bookmarkEnd w:id="5409"/>
    <w:bookmarkStart w:name="z5555" w:id="5410"/>
    <w:p>
      <w:pPr>
        <w:spacing w:after="0"/>
        <w:ind w:left="0"/>
        <w:jc w:val="both"/>
      </w:pPr>
      <w:r>
        <w:rPr>
          <w:rFonts w:ascii="Times New Roman"/>
          <w:b w:val="false"/>
          <w:i w:val="false"/>
          <w:color w:val="000000"/>
          <w:sz w:val="28"/>
        </w:rPr>
        <w:t>
      2. Принцип</w:t>
      </w:r>
    </w:p>
    <w:bookmarkEnd w:id="5410"/>
    <w:bookmarkStart w:name="z5556" w:id="5411"/>
    <w:p>
      <w:pPr>
        <w:spacing w:after="0"/>
        <w:ind w:left="0"/>
        <w:jc w:val="both"/>
      </w:pPr>
      <w:r>
        <w:rPr>
          <w:rFonts w:ascii="Times New Roman"/>
          <w:b w:val="false"/>
          <w:i w:val="false"/>
          <w:color w:val="000000"/>
          <w:sz w:val="28"/>
        </w:rPr>
        <w:t>
      2.1. Лекарственные препараты, получаемые из донорской крови или плазмы (а также их активные фармацевтические субстанции, используемые в качестве исходного сырья), соответствует требованиям Стандарта надлежащей производственной практики, а также регистрационному досье на лекарственный препарат. Они рассматриваются как биологические лекарственные препараты и исходное сырье, в которых содержатся такие биологические субстанции, как человеческие клетки или жидкости (включая кровь или плазму). Вследствие биологической природы источников сырья последние имеют определенные характерные особенности (например, исходное сырье может быть контаминировано инфицирующими агентами, в особенности вирусами). Поэтому качество и безопасность таких лекарственных препаратов зависят от контроля исходного сырья и источника его происхождения, а также от дальнейших технологических процедур, включая проверку на инфекционные маркеры, удаление и инактивацию вирусов.</w:t>
      </w:r>
    </w:p>
    <w:bookmarkEnd w:id="5411"/>
    <w:bookmarkStart w:name="z5557" w:id="5412"/>
    <w:p>
      <w:pPr>
        <w:spacing w:after="0"/>
        <w:ind w:left="0"/>
        <w:jc w:val="both"/>
      </w:pPr>
      <w:r>
        <w:rPr>
          <w:rFonts w:ascii="Times New Roman"/>
          <w:b w:val="false"/>
          <w:i w:val="false"/>
          <w:color w:val="000000"/>
          <w:sz w:val="28"/>
        </w:rPr>
        <w:t>
      2.2. Все активные фармацевтические субстанции, используемые в качестве исходного сырья для лекарственных препаратов, отвечают требованиям Стандарта (см. пункт 2.1 настоящих Требований).</w:t>
      </w:r>
    </w:p>
    <w:bookmarkEnd w:id="5412"/>
    <w:bookmarkStart w:name="z5558" w:id="5413"/>
    <w:p>
      <w:pPr>
        <w:spacing w:after="0"/>
        <w:ind w:left="0"/>
        <w:jc w:val="both"/>
      </w:pPr>
      <w:r>
        <w:rPr>
          <w:rFonts w:ascii="Times New Roman"/>
          <w:b w:val="false"/>
          <w:i w:val="false"/>
          <w:color w:val="000000"/>
          <w:sz w:val="28"/>
        </w:rPr>
        <w:t>
      В отношении забора и проверки исходного сырья, получаемого из донорской крови или плазмы, необходимо придерживаться следующих установленных требований:</w:t>
      </w:r>
    </w:p>
    <w:bookmarkEnd w:id="5413"/>
    <w:bookmarkStart w:name="z5559" w:id="5414"/>
    <w:p>
      <w:pPr>
        <w:spacing w:after="0"/>
        <w:ind w:left="0"/>
        <w:jc w:val="both"/>
      </w:pPr>
      <w:r>
        <w:rPr>
          <w:rFonts w:ascii="Times New Roman"/>
          <w:b w:val="false"/>
          <w:i w:val="false"/>
          <w:color w:val="000000"/>
          <w:sz w:val="28"/>
        </w:rPr>
        <w:t>
      забор и проверку проводят в соответствии с надлежащей системой качества, соответствующими стандартами и спецификациями;</w:t>
      </w:r>
    </w:p>
    <w:bookmarkEnd w:id="5414"/>
    <w:bookmarkStart w:name="z5560" w:id="5415"/>
    <w:p>
      <w:pPr>
        <w:spacing w:after="0"/>
        <w:ind w:left="0"/>
        <w:jc w:val="both"/>
      </w:pPr>
      <w:r>
        <w:rPr>
          <w:rFonts w:ascii="Times New Roman"/>
          <w:b w:val="false"/>
          <w:i w:val="false"/>
          <w:color w:val="000000"/>
          <w:sz w:val="28"/>
        </w:rPr>
        <w:t>
      необходимо выполнять действующие требования в отношении прослеживаемости от донора до реципиента и в отношении уведомлений о серьезных нежелательных реакциях и серьезных нежелательных явлениях;</w:t>
      </w:r>
    </w:p>
    <w:bookmarkEnd w:id="5415"/>
    <w:bookmarkStart w:name="z5561" w:id="5416"/>
    <w:p>
      <w:pPr>
        <w:spacing w:after="0"/>
        <w:ind w:left="0"/>
        <w:jc w:val="both"/>
      </w:pPr>
      <w:r>
        <w:rPr>
          <w:rFonts w:ascii="Times New Roman"/>
          <w:b w:val="false"/>
          <w:i w:val="false"/>
          <w:color w:val="000000"/>
          <w:sz w:val="28"/>
        </w:rPr>
        <w:t>
      необходимо руководствоваться фармакопейными требованиями.</w:t>
      </w:r>
    </w:p>
    <w:bookmarkEnd w:id="5416"/>
    <w:bookmarkStart w:name="z5562" w:id="5417"/>
    <w:p>
      <w:pPr>
        <w:spacing w:after="0"/>
        <w:ind w:left="0"/>
        <w:jc w:val="both"/>
      </w:pPr>
      <w:r>
        <w:rPr>
          <w:rFonts w:ascii="Times New Roman"/>
          <w:b w:val="false"/>
          <w:i w:val="false"/>
          <w:color w:val="000000"/>
          <w:sz w:val="28"/>
        </w:rPr>
        <w:t>
      2.3. Импортированное из третьих стран исходное сырье для производства лекарственных препаратов, получаемых из донорской крови или плазмы, если эти лекарственные препараты предназначены для применения или распределения в другие страны, отвечают нормам, эквивалентным действующим в государстве в отношении систем качества учреждений по забору (проверке) крови. Также соблюдаются установленные требования по прослеживаемости от донора до реципиента и в отношении уведомлений о серьезных нежелательных реакциях и серьезных нежелательных явлениях, а также обеспечиваются соответствие действующим требованиям к крови и ее компонентам.</w:t>
      </w:r>
    </w:p>
    <w:bookmarkEnd w:id="5417"/>
    <w:bookmarkStart w:name="z5563" w:id="5418"/>
    <w:p>
      <w:pPr>
        <w:spacing w:after="0"/>
        <w:ind w:left="0"/>
        <w:jc w:val="both"/>
      </w:pPr>
      <w:r>
        <w:rPr>
          <w:rFonts w:ascii="Times New Roman"/>
          <w:b w:val="false"/>
          <w:i w:val="false"/>
          <w:color w:val="000000"/>
          <w:sz w:val="28"/>
        </w:rPr>
        <w:t>
      2.4. При выполнении программ фракционирования по договору с третьими странами исходное сырье, импортированное из стран, соответствует требованиям, действующим в государствах. Работы, проводимые в государствах, в полной мере соответствует Стандарту. Выполняют требования, действующие в Союзе в отношении систем качества учреждений по забору (проверке) крови. Также соблюдаются установленные требования по прослеживаемости от донора до реципиента и в отношении уведомлений о серьезных нежелательных реакциях и нежелательных явлениях, а также обеспечивается соответствие действующим требованиям к крови и ее компонентам.</w:t>
      </w:r>
    </w:p>
    <w:bookmarkEnd w:id="5418"/>
    <w:bookmarkStart w:name="z5564" w:id="5419"/>
    <w:p>
      <w:pPr>
        <w:spacing w:after="0"/>
        <w:ind w:left="0"/>
        <w:jc w:val="both"/>
      </w:pPr>
      <w:r>
        <w:rPr>
          <w:rFonts w:ascii="Times New Roman"/>
          <w:b w:val="false"/>
          <w:i w:val="false"/>
          <w:color w:val="000000"/>
          <w:sz w:val="28"/>
        </w:rPr>
        <w:t>
      2.5. Стандарт распространяется на все стадии после забора и проверки крови (например, обработка (включая разделение), заморозка, хранение и транспортирование к производителю). Как правило, эта деятельность находится в сфере ответственности уполномоченного лица предприятия, которое имеет лицензию на производство лекарственных средств. Если специфические этапы обработки, предназначенной для фракционирования плазмы, проводятся в учреждении по забору (проверке) крови, в нем может быть специально назначено уполномоченное лицо, однако требование к времени его нахождению на производственном участке и ответственности могут быть не пропорциональны времени нахождения на производственном участке и ответственности ответственного лица. Для разрешения этой специфической ситуации и обеспечения того, чтобы обязанности уполномоченного лица, предусмотренные законодательством государства, выполнялись надлежащим образом, предприятие по фракционированию (производитель лекарственных препаратов) имеет договор с учреждением по забору (проверке) крови. Договор отвечает требованиям, указанным в главе 7 части I Стандарта, в нем устанавливаются соответствующие обязанности и подробные требования для обеспечения качества. Ответственное лицо учреждения по забору (проверке) крови и уполномоченное лицо предприятия по фракционированию (производителя лекарственных препаратов) принимают участие в составлении указанного договора. Для подтверждения того, что учреждение по забору (проверке) крови исполняет условия данного договора, уполномоченное лицо обеспечивает проведение соответствующих аудитов.</w:t>
      </w:r>
    </w:p>
    <w:bookmarkEnd w:id="5419"/>
    <w:bookmarkStart w:name="z5565" w:id="5420"/>
    <w:p>
      <w:pPr>
        <w:spacing w:after="0"/>
        <w:ind w:left="0"/>
        <w:jc w:val="both"/>
      </w:pPr>
      <w:r>
        <w:rPr>
          <w:rFonts w:ascii="Times New Roman"/>
          <w:b w:val="false"/>
          <w:i w:val="false"/>
          <w:color w:val="000000"/>
          <w:sz w:val="28"/>
        </w:rPr>
        <w:t>
      2.6. Специальные требования к документации и другие мероприятия в отношении исходного сырья для получаемых из плазмы лекарственных препаратов указываются в основном досье плазмы.</w:t>
      </w:r>
    </w:p>
    <w:bookmarkEnd w:id="5420"/>
    <w:bookmarkStart w:name="z5566" w:id="5421"/>
    <w:p>
      <w:pPr>
        <w:spacing w:after="0"/>
        <w:ind w:left="0"/>
        <w:jc w:val="both"/>
      </w:pPr>
      <w:r>
        <w:rPr>
          <w:rFonts w:ascii="Times New Roman"/>
          <w:b w:val="false"/>
          <w:i w:val="false"/>
          <w:color w:val="000000"/>
          <w:sz w:val="28"/>
        </w:rPr>
        <w:t>
      3. Управление качеством</w:t>
      </w:r>
    </w:p>
    <w:bookmarkEnd w:id="5421"/>
    <w:bookmarkStart w:name="z5567" w:id="5422"/>
    <w:p>
      <w:pPr>
        <w:spacing w:after="0"/>
        <w:ind w:left="0"/>
        <w:jc w:val="both"/>
      </w:pPr>
      <w:r>
        <w:rPr>
          <w:rFonts w:ascii="Times New Roman"/>
          <w:b w:val="false"/>
          <w:i w:val="false"/>
          <w:color w:val="000000"/>
          <w:sz w:val="28"/>
        </w:rPr>
        <w:t>
      3.1. Управление качеством охватывает все стадии от отбора доноров до поставки готовой продукции. Выполняют действующие требования в отношении прослеживаемости на этапе, предваряющем поставку плазмы на предприятие по фракционированию, на самом этапе поставки, а также в отношении всех стадий, связанных с забором и проверкой донорской крови или плазмы, предназначенных для производства лекарственных препаратов.</w:t>
      </w:r>
    </w:p>
    <w:bookmarkEnd w:id="5422"/>
    <w:bookmarkStart w:name="z5568" w:id="5423"/>
    <w:p>
      <w:pPr>
        <w:spacing w:after="0"/>
        <w:ind w:left="0"/>
        <w:jc w:val="both"/>
      </w:pPr>
      <w:r>
        <w:rPr>
          <w:rFonts w:ascii="Times New Roman"/>
          <w:b w:val="false"/>
          <w:i w:val="false"/>
          <w:color w:val="000000"/>
          <w:sz w:val="28"/>
        </w:rPr>
        <w:t>
      3.2. Забор крови или плазмы, которые используются в качестве сырья для производства лекарственных препаратов, следует проводить в учреждениях по забору (проверке) крови, а проверку проводить в лабораториях, которые применяют системы качества, отвечающие установленным требованиям, имеют соответствующее разрешение, выданное уполномоченным органов. При наличии у производителя программ фракционирования по контрактам для третьих стран он обязан уведомить об этом уполномоченный орган.</w:t>
      </w:r>
    </w:p>
    <w:bookmarkEnd w:id="5423"/>
    <w:bookmarkStart w:name="z5569" w:id="5424"/>
    <w:p>
      <w:pPr>
        <w:spacing w:after="0"/>
        <w:ind w:left="0"/>
        <w:jc w:val="both"/>
      </w:pPr>
      <w:r>
        <w:rPr>
          <w:rFonts w:ascii="Times New Roman"/>
          <w:b w:val="false"/>
          <w:i w:val="false"/>
          <w:color w:val="000000"/>
          <w:sz w:val="28"/>
        </w:rPr>
        <w:t>
      3.3. В случае импорта плазмы из третьих стран она поставляется только утвержденными поставщиками (например, учреждениями по забору (проверке) крови, включая внешние склады). Эти поставщики указаны в спецификациях на исходное сырье, установленных предприятием по фракционированию (производству), и утверждены уполномоченным органом (например, после инспектирования), а также уполномоченным лицом предприятия по фракционированию. В пункте 6.8 настоящих Требований описана оценка и выдача разрешения на использование плазмы (плазмы для фракционирования) как исходного сырья.</w:t>
      </w:r>
    </w:p>
    <w:bookmarkEnd w:id="5424"/>
    <w:bookmarkStart w:name="z5570" w:id="5425"/>
    <w:p>
      <w:pPr>
        <w:spacing w:after="0"/>
        <w:ind w:left="0"/>
        <w:jc w:val="both"/>
      </w:pPr>
      <w:r>
        <w:rPr>
          <w:rFonts w:ascii="Times New Roman"/>
          <w:b w:val="false"/>
          <w:i w:val="false"/>
          <w:color w:val="000000"/>
          <w:sz w:val="28"/>
        </w:rPr>
        <w:t>
      3.4. Предприятие по фракционированию (производитель готовых лекарственных препаратов) в соответствии с письменными процедурами проводит квалификацию поставщиков, включая их аудиты. Проводится регулярную повторную квалификацию поставщиков с учетом подхода, основанного на оценке рисков.</w:t>
      </w:r>
    </w:p>
    <w:bookmarkEnd w:id="5425"/>
    <w:bookmarkStart w:name="z5571" w:id="5426"/>
    <w:p>
      <w:pPr>
        <w:spacing w:after="0"/>
        <w:ind w:left="0"/>
        <w:jc w:val="both"/>
      </w:pPr>
      <w:r>
        <w:rPr>
          <w:rFonts w:ascii="Times New Roman"/>
          <w:b w:val="false"/>
          <w:i w:val="false"/>
          <w:color w:val="000000"/>
          <w:sz w:val="28"/>
        </w:rPr>
        <w:t>
      3.5. Предприятие по фракционированию (производитель готовых лекарственных препаратов) заключаются письменные договоры с учреждениями по забору (проверке) крови, которые являются поставщиками.</w:t>
      </w:r>
    </w:p>
    <w:bookmarkEnd w:id="5426"/>
    <w:bookmarkStart w:name="z5572" w:id="5427"/>
    <w:p>
      <w:pPr>
        <w:spacing w:after="0"/>
        <w:ind w:left="0"/>
        <w:jc w:val="both"/>
      </w:pPr>
      <w:r>
        <w:rPr>
          <w:rFonts w:ascii="Times New Roman"/>
          <w:b w:val="false"/>
          <w:i w:val="false"/>
          <w:color w:val="000000"/>
          <w:sz w:val="28"/>
        </w:rPr>
        <w:t>
      В каждом таком договоре указываются как минимум следующие сведения:</w:t>
      </w:r>
    </w:p>
    <w:bookmarkEnd w:id="5427"/>
    <w:bookmarkStart w:name="z5573" w:id="5428"/>
    <w:p>
      <w:pPr>
        <w:spacing w:after="0"/>
        <w:ind w:left="0"/>
        <w:jc w:val="both"/>
      </w:pPr>
      <w:r>
        <w:rPr>
          <w:rFonts w:ascii="Times New Roman"/>
          <w:b w:val="false"/>
          <w:i w:val="false"/>
          <w:color w:val="000000"/>
          <w:sz w:val="28"/>
        </w:rPr>
        <w:t xml:space="preserve">
      определение обязанностей и ответственности; </w:t>
      </w:r>
    </w:p>
    <w:bookmarkEnd w:id="5428"/>
    <w:bookmarkStart w:name="z5574" w:id="5429"/>
    <w:p>
      <w:pPr>
        <w:spacing w:after="0"/>
        <w:ind w:left="0"/>
        <w:jc w:val="both"/>
      </w:pPr>
      <w:r>
        <w:rPr>
          <w:rFonts w:ascii="Times New Roman"/>
          <w:b w:val="false"/>
          <w:i w:val="false"/>
          <w:color w:val="000000"/>
          <w:sz w:val="28"/>
        </w:rPr>
        <w:t xml:space="preserve">
      требования к системе качества и документации; </w:t>
      </w:r>
    </w:p>
    <w:bookmarkEnd w:id="5429"/>
    <w:bookmarkStart w:name="z5575" w:id="5430"/>
    <w:p>
      <w:pPr>
        <w:spacing w:after="0"/>
        <w:ind w:left="0"/>
        <w:jc w:val="both"/>
      </w:pPr>
      <w:r>
        <w:rPr>
          <w:rFonts w:ascii="Times New Roman"/>
          <w:b w:val="false"/>
          <w:i w:val="false"/>
          <w:color w:val="000000"/>
          <w:sz w:val="28"/>
        </w:rPr>
        <w:t xml:space="preserve">
      критерии отбора доноров и проведение испытаний; </w:t>
      </w:r>
    </w:p>
    <w:bookmarkEnd w:id="5430"/>
    <w:bookmarkStart w:name="z5576" w:id="5431"/>
    <w:p>
      <w:pPr>
        <w:spacing w:after="0"/>
        <w:ind w:left="0"/>
        <w:jc w:val="both"/>
      </w:pPr>
      <w:r>
        <w:rPr>
          <w:rFonts w:ascii="Times New Roman"/>
          <w:b w:val="false"/>
          <w:i w:val="false"/>
          <w:color w:val="000000"/>
          <w:sz w:val="28"/>
        </w:rPr>
        <w:t xml:space="preserve">
      требования к разделению крови на компоненты крови и плазму; заморозка плазмы; </w:t>
      </w:r>
    </w:p>
    <w:bookmarkEnd w:id="5431"/>
    <w:bookmarkStart w:name="z5577" w:id="5432"/>
    <w:p>
      <w:pPr>
        <w:spacing w:after="0"/>
        <w:ind w:left="0"/>
        <w:jc w:val="both"/>
      </w:pPr>
      <w:r>
        <w:rPr>
          <w:rFonts w:ascii="Times New Roman"/>
          <w:b w:val="false"/>
          <w:i w:val="false"/>
          <w:color w:val="000000"/>
          <w:sz w:val="28"/>
        </w:rPr>
        <w:t>
      хранение и транспортирование плазмы;</w:t>
      </w:r>
    </w:p>
    <w:bookmarkEnd w:id="5432"/>
    <w:bookmarkStart w:name="z5578" w:id="5433"/>
    <w:p>
      <w:pPr>
        <w:spacing w:after="0"/>
        <w:ind w:left="0"/>
        <w:jc w:val="both"/>
      </w:pPr>
      <w:r>
        <w:rPr>
          <w:rFonts w:ascii="Times New Roman"/>
          <w:b w:val="false"/>
          <w:i w:val="false"/>
          <w:color w:val="000000"/>
          <w:sz w:val="28"/>
        </w:rPr>
        <w:t>
      прослеживаемость и информирование после сдачи (забора) крови (в том числе о нежелательных явлениях).</w:t>
      </w:r>
    </w:p>
    <w:bookmarkEnd w:id="5433"/>
    <w:bookmarkStart w:name="z5579" w:id="5434"/>
    <w:p>
      <w:pPr>
        <w:spacing w:after="0"/>
        <w:ind w:left="0"/>
        <w:jc w:val="both"/>
      </w:pPr>
      <w:r>
        <w:rPr>
          <w:rFonts w:ascii="Times New Roman"/>
          <w:b w:val="false"/>
          <w:i w:val="false"/>
          <w:color w:val="000000"/>
          <w:sz w:val="28"/>
        </w:rPr>
        <w:t>
      На предприятии по фракционированию (у производителя лекарственных препаратов) в наличии результаты испытаний всех единиц сырья, поставленных учреждением по забору (проверке) крови. Любая стадия, выполненная по субподряду, предусмотрена письменным договором.</w:t>
      </w:r>
    </w:p>
    <w:bookmarkEnd w:id="5434"/>
    <w:bookmarkStart w:name="z5580" w:id="5435"/>
    <w:p>
      <w:pPr>
        <w:spacing w:after="0"/>
        <w:ind w:left="0"/>
        <w:jc w:val="both"/>
      </w:pPr>
      <w:r>
        <w:rPr>
          <w:rFonts w:ascii="Times New Roman"/>
          <w:b w:val="false"/>
          <w:i w:val="false"/>
          <w:color w:val="000000"/>
          <w:sz w:val="28"/>
        </w:rPr>
        <w:t>
      3.6. Для планирования, оценки и документального оформления всех изменений, которые могут оказать влияние на качество и безопасность продукции или ее прослеживаемость, установлена надлежащая система контроля. Необходимо оценивать потенциальное влияние предлагаемых изменений. Определяют необходимость проведения дополнительных испытаний или валидации, особенно на стадиях инактивации и удаления вирусов.</w:t>
      </w:r>
    </w:p>
    <w:bookmarkEnd w:id="5435"/>
    <w:bookmarkStart w:name="z5581" w:id="5436"/>
    <w:p>
      <w:pPr>
        <w:spacing w:after="0"/>
        <w:ind w:left="0"/>
        <w:jc w:val="both"/>
      </w:pPr>
      <w:r>
        <w:rPr>
          <w:rFonts w:ascii="Times New Roman"/>
          <w:b w:val="false"/>
          <w:i w:val="false"/>
          <w:color w:val="000000"/>
          <w:sz w:val="28"/>
        </w:rPr>
        <w:t>
      3.7. Для минимизации рисков, связанных с инфицирующими агентами и новыми инфицирующими агентами, внедряется надлежащая система мер в отношении безопасности. Такая система включает в себя оценку рисков для того, чтобы:</w:t>
      </w:r>
    </w:p>
    <w:bookmarkEnd w:id="5436"/>
    <w:bookmarkStart w:name="z5582" w:id="5437"/>
    <w:p>
      <w:pPr>
        <w:spacing w:after="0"/>
        <w:ind w:left="0"/>
        <w:jc w:val="both"/>
      </w:pPr>
      <w:r>
        <w:rPr>
          <w:rFonts w:ascii="Times New Roman"/>
          <w:b w:val="false"/>
          <w:i w:val="false"/>
          <w:color w:val="000000"/>
          <w:sz w:val="28"/>
        </w:rPr>
        <w:t>
      определить время выдерживания производственного запаса (время внутреннего карантина) перед обработкой плазмы, чтобы изъять дозы, которые вызывают сомнения (дозы, взятые в течение периода, определенного законодательством, прежде чем будет установлено, что дозы, взятые от доноров с высоким риском, исключаются из обработки (например, в связи с положительным результатом теста));</w:t>
      </w:r>
    </w:p>
    <w:bookmarkEnd w:id="5437"/>
    <w:bookmarkStart w:name="z5583" w:id="5438"/>
    <w:p>
      <w:pPr>
        <w:spacing w:after="0"/>
        <w:ind w:left="0"/>
        <w:jc w:val="both"/>
      </w:pPr>
      <w:r>
        <w:rPr>
          <w:rFonts w:ascii="Times New Roman"/>
          <w:b w:val="false"/>
          <w:i w:val="false"/>
          <w:color w:val="000000"/>
          <w:sz w:val="28"/>
        </w:rPr>
        <w:t>
      учитывать все аспекты, связанные со снижением количества вирусов и (или) сокращением испытаний на инфицирующие агенты или их аналоги;</w:t>
      </w:r>
    </w:p>
    <w:bookmarkEnd w:id="5438"/>
    <w:bookmarkStart w:name="z5584" w:id="5439"/>
    <w:p>
      <w:pPr>
        <w:spacing w:after="0"/>
        <w:ind w:left="0"/>
        <w:jc w:val="both"/>
      </w:pPr>
      <w:r>
        <w:rPr>
          <w:rFonts w:ascii="Times New Roman"/>
          <w:b w:val="false"/>
          <w:i w:val="false"/>
          <w:color w:val="000000"/>
          <w:sz w:val="28"/>
        </w:rPr>
        <w:t>
      определить возможности снижения количества вирусов, определить размер серии исходного сырья и иные существенные аспекты процесса производства.</w:t>
      </w:r>
    </w:p>
    <w:bookmarkEnd w:id="5439"/>
    <w:bookmarkStart w:name="z5585" w:id="5440"/>
    <w:p>
      <w:pPr>
        <w:spacing w:after="0"/>
        <w:ind w:left="0"/>
        <w:jc w:val="both"/>
      </w:pPr>
      <w:r>
        <w:rPr>
          <w:rFonts w:ascii="Times New Roman"/>
          <w:b w:val="false"/>
          <w:i w:val="false"/>
          <w:color w:val="000000"/>
          <w:sz w:val="28"/>
        </w:rPr>
        <w:t>
      4. Прослеживаемость и мероприятия после забора крови</w:t>
      </w:r>
    </w:p>
    <w:bookmarkEnd w:id="5440"/>
    <w:bookmarkStart w:name="z5586" w:id="5441"/>
    <w:p>
      <w:pPr>
        <w:spacing w:after="0"/>
        <w:ind w:left="0"/>
        <w:jc w:val="both"/>
      </w:pPr>
      <w:r>
        <w:rPr>
          <w:rFonts w:ascii="Times New Roman"/>
          <w:b w:val="false"/>
          <w:i w:val="false"/>
          <w:color w:val="000000"/>
          <w:sz w:val="28"/>
        </w:rPr>
        <w:t>
      4.1. В наличии система, которая дает возможность прослеживаемости от донора до дозы, забранной в учреждении по забору (проверке) крови, до серии лекарственного препарата, а также в обратном направлении.</w:t>
      </w:r>
    </w:p>
    <w:bookmarkEnd w:id="5441"/>
    <w:bookmarkStart w:name="z5587" w:id="5442"/>
    <w:p>
      <w:pPr>
        <w:spacing w:after="0"/>
        <w:ind w:left="0"/>
        <w:jc w:val="both"/>
      </w:pPr>
      <w:r>
        <w:rPr>
          <w:rFonts w:ascii="Times New Roman"/>
          <w:b w:val="false"/>
          <w:i w:val="false"/>
          <w:color w:val="000000"/>
          <w:sz w:val="28"/>
        </w:rPr>
        <w:t>
      4.2. Определяется ответственность за прослеживаемость продукции (отсутствие какого-либо этапа не допускается):</w:t>
      </w:r>
    </w:p>
    <w:bookmarkEnd w:id="5442"/>
    <w:bookmarkStart w:name="z5588" w:id="5443"/>
    <w:p>
      <w:pPr>
        <w:spacing w:after="0"/>
        <w:ind w:left="0"/>
        <w:jc w:val="both"/>
      </w:pPr>
      <w:r>
        <w:rPr>
          <w:rFonts w:ascii="Times New Roman"/>
          <w:b w:val="false"/>
          <w:i w:val="false"/>
          <w:color w:val="000000"/>
          <w:sz w:val="28"/>
        </w:rPr>
        <w:t>
      от донора и дозы, взятой в учреждении по забору (проверке) крови, до предприятия по фракционированию (это является обязанностью ответственного лица в учреждении по забору (проверке) крови);</w:t>
      </w:r>
    </w:p>
    <w:bookmarkEnd w:id="5443"/>
    <w:bookmarkStart w:name="z5589" w:id="5444"/>
    <w:p>
      <w:pPr>
        <w:spacing w:after="0"/>
        <w:ind w:left="0"/>
        <w:jc w:val="both"/>
      </w:pPr>
      <w:r>
        <w:rPr>
          <w:rFonts w:ascii="Times New Roman"/>
          <w:b w:val="false"/>
          <w:i w:val="false"/>
          <w:color w:val="000000"/>
          <w:sz w:val="28"/>
        </w:rPr>
        <w:t>
      от предприятия по фракционированию до производителя лекарственного препарата и какого-либо субподрядчика, независимо от того, является ли он производителем лекарственного препарата или медицинского изделия (это является обязанностью уполномоченного лица).</w:t>
      </w:r>
    </w:p>
    <w:bookmarkEnd w:id="5444"/>
    <w:bookmarkStart w:name="z5590" w:id="5445"/>
    <w:p>
      <w:pPr>
        <w:spacing w:after="0"/>
        <w:ind w:left="0"/>
        <w:jc w:val="both"/>
      </w:pPr>
      <w:r>
        <w:rPr>
          <w:rFonts w:ascii="Times New Roman"/>
          <w:b w:val="false"/>
          <w:i w:val="false"/>
          <w:color w:val="000000"/>
          <w:sz w:val="28"/>
        </w:rPr>
        <w:t>
      4.3. Данные, необходимые для полной прослеживаемости, необходимо хранить не менее 30 лет, если иное не установлено законодательством.</w:t>
      </w:r>
    </w:p>
    <w:bookmarkEnd w:id="5445"/>
    <w:bookmarkStart w:name="z5591" w:id="5446"/>
    <w:p>
      <w:pPr>
        <w:spacing w:after="0"/>
        <w:ind w:left="0"/>
        <w:jc w:val="both"/>
      </w:pPr>
      <w:r>
        <w:rPr>
          <w:rFonts w:ascii="Times New Roman"/>
          <w:b w:val="false"/>
          <w:i w:val="false"/>
          <w:color w:val="000000"/>
          <w:sz w:val="28"/>
        </w:rPr>
        <w:t>
      4.4. Договоры, указанные в пункте 3.5 настоящих Требований, заключенные между учреждениями по забору (проверке) крови (в том числе контрольными лабораториями) и предприятием по фракционированию (производителем), гарантируется, что прослеживаемость и мероприятия после забора крови охватывают всю цепь от забора плазмы до всех производителей, ответственных за выдачу разрешения на выпуск готовой продукции.</w:t>
      </w:r>
    </w:p>
    <w:bookmarkEnd w:id="5446"/>
    <w:bookmarkStart w:name="z5592" w:id="5447"/>
    <w:p>
      <w:pPr>
        <w:spacing w:after="0"/>
        <w:ind w:left="0"/>
        <w:jc w:val="both"/>
      </w:pPr>
      <w:r>
        <w:rPr>
          <w:rFonts w:ascii="Times New Roman"/>
          <w:b w:val="false"/>
          <w:i w:val="false"/>
          <w:color w:val="000000"/>
          <w:sz w:val="28"/>
        </w:rPr>
        <w:t xml:space="preserve">
      4.5. Учреждения по забору (проверке) крови уведомляют предприятие по фракционированию (производителя) о каком-либо случае, который может повлиять на качество или безопасность продукции, а также о другой важной информации, полученной после приема донора или выдачи разрешения на выпуск плазмы (например, обратную информацию (информацию, полученную после забора крови)). </w:t>
      </w:r>
    </w:p>
    <w:bookmarkEnd w:id="5447"/>
    <w:bookmarkStart w:name="z5593" w:id="5448"/>
    <w:p>
      <w:pPr>
        <w:spacing w:after="0"/>
        <w:ind w:left="0"/>
        <w:jc w:val="both"/>
      </w:pPr>
      <w:r>
        <w:rPr>
          <w:rFonts w:ascii="Times New Roman"/>
          <w:b w:val="false"/>
          <w:i w:val="false"/>
          <w:color w:val="000000"/>
          <w:sz w:val="28"/>
        </w:rPr>
        <w:t>
      4.6. В случае если результатом инспектирования уполномоченным органом учреждения по забору (проверке) крови является аннулирование специального разрешения (лицензии, сертификата), необходимо также сделать уведомление, как указано в пункте 4.5 настоящих Требований.</w:t>
      </w:r>
    </w:p>
    <w:bookmarkEnd w:id="5448"/>
    <w:bookmarkStart w:name="z5594" w:id="5449"/>
    <w:p>
      <w:pPr>
        <w:spacing w:after="0"/>
        <w:ind w:left="0"/>
        <w:jc w:val="both"/>
      </w:pPr>
      <w:r>
        <w:rPr>
          <w:rFonts w:ascii="Times New Roman"/>
          <w:b w:val="false"/>
          <w:i w:val="false"/>
          <w:color w:val="000000"/>
          <w:sz w:val="28"/>
        </w:rPr>
        <w:t>
      4.7. В стандартных операционных процедурах описывается управление информацией, полученной после забора крови, при этом учитываются лицензионные требования и процедуры информирования уполномоченных органов.</w:t>
      </w:r>
    </w:p>
    <w:bookmarkEnd w:id="5449"/>
    <w:bookmarkStart w:name="z5595" w:id="5450"/>
    <w:p>
      <w:pPr>
        <w:spacing w:after="0"/>
        <w:ind w:left="0"/>
        <w:jc w:val="both"/>
      </w:pPr>
      <w:r>
        <w:rPr>
          <w:rFonts w:ascii="Times New Roman"/>
          <w:b w:val="false"/>
          <w:i w:val="false"/>
          <w:color w:val="000000"/>
          <w:sz w:val="28"/>
        </w:rPr>
        <w:t>
      5. Помещения и оборудование</w:t>
      </w:r>
    </w:p>
    <w:bookmarkEnd w:id="5450"/>
    <w:bookmarkStart w:name="z5596" w:id="5451"/>
    <w:p>
      <w:pPr>
        <w:spacing w:after="0"/>
        <w:ind w:left="0"/>
        <w:jc w:val="both"/>
      </w:pPr>
      <w:r>
        <w:rPr>
          <w:rFonts w:ascii="Times New Roman"/>
          <w:b w:val="false"/>
          <w:i w:val="false"/>
          <w:color w:val="000000"/>
          <w:sz w:val="28"/>
        </w:rPr>
        <w:t>
      5.1. С целью сведения к минимуму микробной контаминации или внесения постороннего материала в серию плазмы оттаивание и объединение единиц плазмы следует производить в зонах, которые соответствуют требованиям класса чистоты не менее D, установленным в Приложении № 1 Стандарта. Следует использовать специальную одежду, включая маски на лице и перчатки. Иные операции с открытой (неупакованной) продукцией в ходе технологического процесса следует осуществлять в условиях, соответствующих требованиям Приложения № 1 Стандарта надлежащей производственной практики.</w:t>
      </w:r>
    </w:p>
    <w:bookmarkEnd w:id="5451"/>
    <w:bookmarkStart w:name="z5597" w:id="5452"/>
    <w:p>
      <w:pPr>
        <w:spacing w:after="0"/>
        <w:ind w:left="0"/>
        <w:jc w:val="both"/>
      </w:pPr>
      <w:r>
        <w:rPr>
          <w:rFonts w:ascii="Times New Roman"/>
          <w:b w:val="false"/>
          <w:i w:val="false"/>
          <w:color w:val="000000"/>
          <w:sz w:val="28"/>
        </w:rPr>
        <w:t>
      5.2. В соответствии требованиями Приложения № 1 Стандарта надлежащей производственной практики следует осуществлять регулярный мониторинг производственной среды, особенно во время открывания контейнеров с плазмой, а также во время процессов оттаивания и объединения. Устанавливаются критерии приемлемости.</w:t>
      </w:r>
    </w:p>
    <w:bookmarkEnd w:id="5452"/>
    <w:bookmarkStart w:name="z5598" w:id="5453"/>
    <w:p>
      <w:pPr>
        <w:spacing w:after="0"/>
        <w:ind w:left="0"/>
        <w:jc w:val="both"/>
      </w:pPr>
      <w:r>
        <w:rPr>
          <w:rFonts w:ascii="Times New Roman"/>
          <w:b w:val="false"/>
          <w:i w:val="false"/>
          <w:color w:val="000000"/>
          <w:sz w:val="28"/>
        </w:rPr>
        <w:t>
      5.3. При производстве лекарственных препаратов, получаемых из донорской плазмы, используются соответствующие методы инактивации или удаления вирусов и принимаются соответствующие меры по предотвращению контаминации обработанной продукции еще не обработанной продукцией. Для стадий технологического процесса, которые проводятся после вирусной инактивации, используются специально предназначенные отдельные помещения и оборудование.</w:t>
      </w:r>
    </w:p>
    <w:bookmarkEnd w:id="5453"/>
    <w:bookmarkStart w:name="z5599" w:id="5454"/>
    <w:p>
      <w:pPr>
        <w:spacing w:after="0"/>
        <w:ind w:left="0"/>
        <w:jc w:val="both"/>
      </w:pPr>
      <w:r>
        <w:rPr>
          <w:rFonts w:ascii="Times New Roman"/>
          <w:b w:val="false"/>
          <w:i w:val="false"/>
          <w:color w:val="000000"/>
          <w:sz w:val="28"/>
        </w:rPr>
        <w:t>
      5.4. Для снижения рисков контаминации текущего производства вирусами, которые используются во время валидационных испытаний, валидацию методов снижения количества вирусов не следует проводить использованием производственных технических средств. Валидацию в указанном случае следует проводить в соответствии с нормативными правовыми актами.</w:t>
      </w:r>
    </w:p>
    <w:bookmarkEnd w:id="5454"/>
    <w:bookmarkStart w:name="z5600" w:id="5455"/>
    <w:p>
      <w:pPr>
        <w:spacing w:after="0"/>
        <w:ind w:left="0"/>
        <w:jc w:val="both"/>
      </w:pPr>
      <w:r>
        <w:rPr>
          <w:rFonts w:ascii="Times New Roman"/>
          <w:b w:val="false"/>
          <w:i w:val="false"/>
          <w:color w:val="000000"/>
          <w:sz w:val="28"/>
        </w:rPr>
        <w:t xml:space="preserve">
      Производство </w:t>
      </w:r>
    </w:p>
    <w:bookmarkEnd w:id="5455"/>
    <w:bookmarkStart w:name="z5601" w:id="5456"/>
    <w:p>
      <w:pPr>
        <w:spacing w:after="0"/>
        <w:ind w:left="0"/>
        <w:jc w:val="both"/>
      </w:pPr>
      <w:r>
        <w:rPr>
          <w:rFonts w:ascii="Times New Roman"/>
          <w:b w:val="false"/>
          <w:i w:val="false"/>
          <w:color w:val="000000"/>
          <w:sz w:val="28"/>
        </w:rPr>
        <w:t>
      Исходные материалы</w:t>
      </w:r>
    </w:p>
    <w:bookmarkEnd w:id="5456"/>
    <w:bookmarkStart w:name="z5602" w:id="5457"/>
    <w:p>
      <w:pPr>
        <w:spacing w:after="0"/>
        <w:ind w:left="0"/>
        <w:jc w:val="both"/>
      </w:pPr>
      <w:r>
        <w:rPr>
          <w:rFonts w:ascii="Times New Roman"/>
          <w:b w:val="false"/>
          <w:i w:val="false"/>
          <w:color w:val="000000"/>
          <w:sz w:val="28"/>
        </w:rPr>
        <w:t>
      6.1. Исходные материалы соответствуют требованиям соответствующих фармакопейных статей, а также удовлетворять условиям, которые содержатся в соответствующем регистрационном досье, в том числе в основном досье плазмы. Эти требования изложены в письменном договоре (см. пункт 3.5. настоящего приложения) между учреждением по забору (проверке) крови и предприятием по фракционированию (производителем). Их контролируют с помощью системы качества.</w:t>
      </w:r>
    </w:p>
    <w:bookmarkEnd w:id="5457"/>
    <w:bookmarkStart w:name="z5603" w:id="5458"/>
    <w:p>
      <w:pPr>
        <w:spacing w:after="0"/>
        <w:ind w:left="0"/>
        <w:jc w:val="both"/>
      </w:pPr>
      <w:r>
        <w:rPr>
          <w:rFonts w:ascii="Times New Roman"/>
          <w:b w:val="false"/>
          <w:i w:val="false"/>
          <w:color w:val="000000"/>
          <w:sz w:val="28"/>
        </w:rPr>
        <w:t>
      6.2. Исходные материалы для программ фракционирования по контракту для третьих стран соответствуют требованиям, указанным в пункте 2.4 настоящего приложения.</w:t>
      </w:r>
    </w:p>
    <w:bookmarkEnd w:id="5458"/>
    <w:bookmarkStart w:name="z5604" w:id="5459"/>
    <w:p>
      <w:pPr>
        <w:spacing w:after="0"/>
        <w:ind w:left="0"/>
        <w:jc w:val="both"/>
      </w:pPr>
      <w:r>
        <w:rPr>
          <w:rFonts w:ascii="Times New Roman"/>
          <w:b w:val="false"/>
          <w:i w:val="false"/>
          <w:color w:val="000000"/>
          <w:sz w:val="28"/>
        </w:rPr>
        <w:t>
      6.3. В зависимости от типа забора (например, забор цельной крови или автоматический аферез) требуются различные стадии обработки. Все стадии обработки (например, центрифугирование и (или) разделение, отбор проб, маркировка, замораживание) определяются в письменных инструкциях.</w:t>
      </w:r>
    </w:p>
    <w:bookmarkEnd w:id="5459"/>
    <w:bookmarkStart w:name="z5605" w:id="5460"/>
    <w:p>
      <w:pPr>
        <w:spacing w:after="0"/>
        <w:ind w:left="0"/>
        <w:jc w:val="both"/>
      </w:pPr>
      <w:r>
        <w:rPr>
          <w:rFonts w:ascii="Times New Roman"/>
          <w:b w:val="false"/>
          <w:i w:val="false"/>
          <w:color w:val="000000"/>
          <w:sz w:val="28"/>
        </w:rPr>
        <w:t>
      6.4. Избегать какого-либо перепутывания единиц и образцов, особенно во время маркировки, а также какой-либо контаминации (например, при отрезании сегментов трубок (укупоривании контейнеров)).</w:t>
      </w:r>
    </w:p>
    <w:bookmarkEnd w:id="5460"/>
    <w:bookmarkStart w:name="z5606" w:id="5461"/>
    <w:p>
      <w:pPr>
        <w:spacing w:after="0"/>
        <w:ind w:left="0"/>
        <w:jc w:val="both"/>
      </w:pPr>
      <w:r>
        <w:rPr>
          <w:rFonts w:ascii="Times New Roman"/>
          <w:b w:val="false"/>
          <w:i w:val="false"/>
          <w:color w:val="000000"/>
          <w:sz w:val="28"/>
        </w:rPr>
        <w:t>
      6.5. Замораживание является критической стадией выделения протеинов, которые в плазме являются лабильными (например, факторов свертываемости). Поэтому замораживание осуществляют с помощью валидированных методов как можно быстрее после забора крови. При этом необходимо придерживаться требований соответствующих фармакопейных статей.</w:t>
      </w:r>
    </w:p>
    <w:bookmarkEnd w:id="5461"/>
    <w:bookmarkStart w:name="z5607" w:id="5462"/>
    <w:p>
      <w:pPr>
        <w:spacing w:after="0"/>
        <w:ind w:left="0"/>
        <w:jc w:val="both"/>
      </w:pPr>
      <w:r>
        <w:rPr>
          <w:rFonts w:ascii="Times New Roman"/>
          <w:b w:val="false"/>
          <w:i w:val="false"/>
          <w:color w:val="000000"/>
          <w:sz w:val="28"/>
        </w:rPr>
        <w:t>
      6.6. Условия хранения и транспортирования крови или плазмы к предприятию по фракционированию (производителю) определяются и документально оформляются на всех этапах цепи поставки. Об отклонениях от установленной температуры уведомляют предприятие по фракционированию (производителя). Необходимо использовать оборудование, которое прошло квалификацию, и процедуры, которые прошли валидацию.</w:t>
      </w:r>
    </w:p>
    <w:bookmarkEnd w:id="5462"/>
    <w:bookmarkStart w:name="z5608" w:id="5463"/>
    <w:p>
      <w:pPr>
        <w:spacing w:after="0"/>
        <w:ind w:left="0"/>
        <w:jc w:val="both"/>
      </w:pPr>
      <w:r>
        <w:rPr>
          <w:rFonts w:ascii="Times New Roman"/>
          <w:b w:val="false"/>
          <w:i w:val="false"/>
          <w:color w:val="000000"/>
          <w:sz w:val="28"/>
        </w:rPr>
        <w:t>
      Оценка (выдача) разрешения на выпуск плазмы для фракционирования, используемой как исходное сырье</w:t>
      </w:r>
    </w:p>
    <w:bookmarkEnd w:id="5463"/>
    <w:bookmarkStart w:name="z5609" w:id="5464"/>
    <w:p>
      <w:pPr>
        <w:spacing w:after="0"/>
        <w:ind w:left="0"/>
        <w:jc w:val="both"/>
      </w:pPr>
      <w:r>
        <w:rPr>
          <w:rFonts w:ascii="Times New Roman"/>
          <w:b w:val="false"/>
          <w:i w:val="false"/>
          <w:color w:val="000000"/>
          <w:sz w:val="28"/>
        </w:rPr>
        <w:t>
      6.7. Разрешение на выпуск плазмы для фракционирования (из карантина) может производиться только посредством систем и процедур, которые обеспечивают качество, необходимое для производства готовой продукции. Плазма может быть поставлена предприятию по фракционированию (производителю) только после документального подтверждения ответственным лицом соответствия плазмы для фракционирования требованиям и спецификациям, установленным в соответствующих письменных договорах, а также того, что все стадии были проведены в соответствии со Стандартом надлежащей производственной практики.</w:t>
      </w:r>
    </w:p>
    <w:bookmarkEnd w:id="5464"/>
    <w:bookmarkStart w:name="z5610" w:id="5465"/>
    <w:p>
      <w:pPr>
        <w:spacing w:after="0"/>
        <w:ind w:left="0"/>
        <w:jc w:val="both"/>
      </w:pPr>
      <w:r>
        <w:rPr>
          <w:rFonts w:ascii="Times New Roman"/>
          <w:b w:val="false"/>
          <w:i w:val="false"/>
          <w:color w:val="000000"/>
          <w:sz w:val="28"/>
        </w:rPr>
        <w:t>
      6.8. Использование контейнеров с плазмой для фракционирования при поступлении на предприятие по фракционированию разрешено уполномоченным лицом. Уполномоченное лицо подтверждает, что плазма соответствует всем требованиям фармакопейных статей, и удовлетворяет условиям соответствующего регистрационного досье, в том числе основного досье плазмы, а в случае использования плазмы для программ фракционирования по контракту для третьих стран - требованиям, указанным в пункте 2.4 настоящего приложения.</w:t>
      </w:r>
    </w:p>
    <w:bookmarkEnd w:id="5465"/>
    <w:bookmarkStart w:name="z5611" w:id="5466"/>
    <w:p>
      <w:pPr>
        <w:spacing w:after="0"/>
        <w:ind w:left="0"/>
        <w:jc w:val="both"/>
      </w:pPr>
      <w:r>
        <w:rPr>
          <w:rFonts w:ascii="Times New Roman"/>
          <w:b w:val="false"/>
          <w:i w:val="false"/>
          <w:color w:val="000000"/>
          <w:sz w:val="28"/>
        </w:rPr>
        <w:t>
      Обработка плазмы для фракционирования</w:t>
      </w:r>
    </w:p>
    <w:bookmarkEnd w:id="5466"/>
    <w:bookmarkStart w:name="z5612" w:id="5467"/>
    <w:p>
      <w:pPr>
        <w:spacing w:after="0"/>
        <w:ind w:left="0"/>
        <w:jc w:val="both"/>
      </w:pPr>
      <w:r>
        <w:rPr>
          <w:rFonts w:ascii="Times New Roman"/>
          <w:b w:val="false"/>
          <w:i w:val="false"/>
          <w:color w:val="000000"/>
          <w:sz w:val="28"/>
        </w:rPr>
        <w:t>
      6.9. Стадии процесса фракционирования различаются в зависимости от продукции и производителя. Как правило, они включают в себя различные операции фракционирования (очистки), а некоторые из них могут способствовать инактивации и (или) удалению возможной контаминации.</w:t>
      </w:r>
    </w:p>
    <w:bookmarkEnd w:id="5467"/>
    <w:bookmarkStart w:name="z5613" w:id="5468"/>
    <w:p>
      <w:pPr>
        <w:spacing w:after="0"/>
        <w:ind w:left="0"/>
        <w:jc w:val="both"/>
      </w:pPr>
      <w:r>
        <w:rPr>
          <w:rFonts w:ascii="Times New Roman"/>
          <w:b w:val="false"/>
          <w:i w:val="false"/>
          <w:color w:val="000000"/>
          <w:sz w:val="28"/>
        </w:rPr>
        <w:t>
      6.10. Устанавливают и обеспечивают соблюдение требований к процессам объединения, отбора проб из объединенной плазмы, фракционирования (очистки) и инактивации (удаления) вирусов.</w:t>
      </w:r>
    </w:p>
    <w:bookmarkEnd w:id="5468"/>
    <w:bookmarkStart w:name="z5614" w:id="5469"/>
    <w:p>
      <w:pPr>
        <w:spacing w:after="0"/>
        <w:ind w:left="0"/>
        <w:jc w:val="both"/>
      </w:pPr>
      <w:r>
        <w:rPr>
          <w:rFonts w:ascii="Times New Roman"/>
          <w:b w:val="false"/>
          <w:i w:val="false"/>
          <w:color w:val="000000"/>
          <w:sz w:val="28"/>
        </w:rPr>
        <w:t>
      6.11. Методы, используемые в процессе вирусной инактивации, применяют со строгим соблюдением валидированных процедур. Эти методы соответствуют методам, которые были использованы при валидации процедур вирусной инактивации. Выполняют расследование неудавшихся процедур вирусной инактивации. Соблюдение валидированного технологического процесса является особенно важным в процедурах снижения количества вирусов, поскольку отклонения могут представлять риски для безопасности готовой продукции. В наличии процедуры, которые учитывают эти риски.</w:t>
      </w:r>
    </w:p>
    <w:bookmarkEnd w:id="5469"/>
    <w:bookmarkStart w:name="z5615" w:id="5470"/>
    <w:p>
      <w:pPr>
        <w:spacing w:after="0"/>
        <w:ind w:left="0"/>
        <w:jc w:val="both"/>
      </w:pPr>
      <w:r>
        <w:rPr>
          <w:rFonts w:ascii="Times New Roman"/>
          <w:b w:val="false"/>
          <w:i w:val="false"/>
          <w:color w:val="000000"/>
          <w:sz w:val="28"/>
        </w:rPr>
        <w:t>
      6.12. Какую-либо повторную обработку или переработку производят только после проведения мероприятий по управлению рисками для качества и только на определенных стадиях технологического процесса, что указывается в регистрационном досье соответствующего препарата.</w:t>
      </w:r>
    </w:p>
    <w:bookmarkEnd w:id="5470"/>
    <w:bookmarkStart w:name="z5616" w:id="5471"/>
    <w:p>
      <w:pPr>
        <w:spacing w:after="0"/>
        <w:ind w:left="0"/>
        <w:jc w:val="both"/>
      </w:pPr>
      <w:r>
        <w:rPr>
          <w:rFonts w:ascii="Times New Roman"/>
          <w:b w:val="false"/>
          <w:i w:val="false"/>
          <w:color w:val="000000"/>
          <w:sz w:val="28"/>
        </w:rPr>
        <w:t>
      6.13. Существует разделение (различение) лекарственных препаратов и промежуточной продукции, которые прошли процедуру инактивации (удаления) вирусов и которые еще не прошли такую процедуру.</w:t>
      </w:r>
    </w:p>
    <w:bookmarkEnd w:id="5471"/>
    <w:bookmarkStart w:name="z5617" w:id="5472"/>
    <w:p>
      <w:pPr>
        <w:spacing w:after="0"/>
        <w:ind w:left="0"/>
        <w:jc w:val="both"/>
      </w:pPr>
      <w:r>
        <w:rPr>
          <w:rFonts w:ascii="Times New Roman"/>
          <w:b w:val="false"/>
          <w:i w:val="false"/>
          <w:color w:val="000000"/>
          <w:sz w:val="28"/>
        </w:rPr>
        <w:t>
      6.14. В зависимости от результата проведенного процесса управления рисками (с учетом возможных отличий в эпидемиологических данных) разрешается производство по принципу производственных циклов в случае, если на 1 предприятии обрабатывают плазму (промежуточную продукцию) различного происхождения, включая необходимые процедуры четкого разделения и наличие установленных валилидированных процедур очистки. Требования для таких мероприятий основываются на соответствующих нормативных правовых актах. Процесс управления рисками устанавливает необходимость использования специального оборудования в случае программ фракционирования по контракту с третьими странами.</w:t>
      </w:r>
    </w:p>
    <w:bookmarkEnd w:id="5472"/>
    <w:bookmarkStart w:name="z5618" w:id="5473"/>
    <w:p>
      <w:pPr>
        <w:spacing w:after="0"/>
        <w:ind w:left="0"/>
        <w:jc w:val="both"/>
      </w:pPr>
      <w:r>
        <w:rPr>
          <w:rFonts w:ascii="Times New Roman"/>
          <w:b w:val="false"/>
          <w:i w:val="false"/>
          <w:color w:val="000000"/>
          <w:sz w:val="28"/>
        </w:rPr>
        <w:t>
      6.15. Для промежуточной продукции, предназначенной для хранения, устанавливают срок хранения на основании данных о стабильности.</w:t>
      </w:r>
    </w:p>
    <w:bookmarkEnd w:id="5473"/>
    <w:bookmarkStart w:name="z5619" w:id="5474"/>
    <w:p>
      <w:pPr>
        <w:spacing w:after="0"/>
        <w:ind w:left="0"/>
        <w:jc w:val="both"/>
      </w:pPr>
      <w:r>
        <w:rPr>
          <w:rFonts w:ascii="Times New Roman"/>
          <w:b w:val="false"/>
          <w:i w:val="false"/>
          <w:color w:val="000000"/>
          <w:sz w:val="28"/>
        </w:rPr>
        <w:t>
      6.16. Установлены и документально оформлены требования к хранению и транспортированию промежуточной продукции и готовых лекарственных препаратов на всех этапах цепи поставки. Используется оборудование, которое прошло квалификацию, и процедуры, которые прошли валидацию.</w:t>
      </w:r>
    </w:p>
    <w:bookmarkEnd w:id="5474"/>
    <w:bookmarkStart w:name="z5620" w:id="5475"/>
    <w:p>
      <w:pPr>
        <w:spacing w:after="0"/>
        <w:ind w:left="0"/>
        <w:jc w:val="both"/>
      </w:pPr>
      <w:r>
        <w:rPr>
          <w:rFonts w:ascii="Times New Roman"/>
          <w:b w:val="false"/>
          <w:i w:val="false"/>
          <w:color w:val="000000"/>
          <w:sz w:val="28"/>
        </w:rPr>
        <w:t>
      7. Контроль качества</w:t>
      </w:r>
    </w:p>
    <w:bookmarkEnd w:id="5475"/>
    <w:bookmarkStart w:name="z5621" w:id="5476"/>
    <w:p>
      <w:pPr>
        <w:spacing w:after="0"/>
        <w:ind w:left="0"/>
        <w:jc w:val="both"/>
      </w:pPr>
      <w:r>
        <w:rPr>
          <w:rFonts w:ascii="Times New Roman"/>
          <w:b w:val="false"/>
          <w:i w:val="false"/>
          <w:color w:val="000000"/>
          <w:sz w:val="28"/>
        </w:rPr>
        <w:t>
      7.1. Требования к испытаниям на вирусы или другие инфицирующие агенты следует устанавливать с учетом новых знаний об инфицирующих агентах и наличия вилидированных методов испытаний.</w:t>
      </w:r>
    </w:p>
    <w:bookmarkEnd w:id="5476"/>
    <w:bookmarkStart w:name="z5622" w:id="5477"/>
    <w:p>
      <w:pPr>
        <w:spacing w:after="0"/>
        <w:ind w:left="0"/>
        <w:jc w:val="both"/>
      </w:pPr>
      <w:r>
        <w:rPr>
          <w:rFonts w:ascii="Times New Roman"/>
          <w:b w:val="false"/>
          <w:i w:val="false"/>
          <w:color w:val="000000"/>
          <w:sz w:val="28"/>
        </w:rPr>
        <w:t>
      7.2. Первый однородный пул плазмы (например, после отделения криопреципитата от пула плазмы) следует контролировать с использованием валидированных методов с надлежащей чувствительностью и специфичностью согласно соответствующим фармакопейным требованиям.</w:t>
      </w:r>
    </w:p>
    <w:bookmarkEnd w:id="5477"/>
    <w:bookmarkStart w:name="z5623" w:id="5478"/>
    <w:p>
      <w:pPr>
        <w:spacing w:after="0"/>
        <w:ind w:left="0"/>
        <w:jc w:val="both"/>
      </w:pPr>
      <w:r>
        <w:rPr>
          <w:rFonts w:ascii="Times New Roman"/>
          <w:b w:val="false"/>
          <w:i w:val="false"/>
          <w:color w:val="000000"/>
          <w:sz w:val="28"/>
        </w:rPr>
        <w:t>
      Выдача разрешения на выпуск промежуточной готовой продукции</w:t>
      </w:r>
    </w:p>
    <w:bookmarkEnd w:id="5478"/>
    <w:bookmarkStart w:name="z5624" w:id="5479"/>
    <w:p>
      <w:pPr>
        <w:spacing w:after="0"/>
        <w:ind w:left="0"/>
        <w:jc w:val="both"/>
      </w:pPr>
      <w:r>
        <w:rPr>
          <w:rFonts w:ascii="Times New Roman"/>
          <w:b w:val="false"/>
          <w:i w:val="false"/>
          <w:color w:val="000000"/>
          <w:sz w:val="28"/>
        </w:rPr>
        <w:t>
      8.1. Разрешается выпуск только тех серий, которые произведены из пулов плазмы, которые были признаны в результате контроля негативными в отношении вирус-маркеров (антител), а также соответствующих фармакопейным требованиям (включая значения в рамках пределов, ограничивающих содержание вирусов) и утвержденным спецификациям (например, основному досье плазмы).</w:t>
      </w:r>
    </w:p>
    <w:bookmarkEnd w:id="5479"/>
    <w:bookmarkStart w:name="z5625" w:id="5480"/>
    <w:p>
      <w:pPr>
        <w:spacing w:after="0"/>
        <w:ind w:left="0"/>
        <w:jc w:val="both"/>
      </w:pPr>
      <w:r>
        <w:rPr>
          <w:rFonts w:ascii="Times New Roman"/>
          <w:b w:val="false"/>
          <w:i w:val="false"/>
          <w:color w:val="000000"/>
          <w:sz w:val="28"/>
        </w:rPr>
        <w:t>
      8.2. Выдача разрешения на выпуск промежуточной продукции, предназначенной для дальнейшей обработки внутри предприятия или поставки на другое предприятие, а также выдача разрешения на выпуск готовых лекарственных препаратов осуществляется уполномоченным лицом с соблюдением требований утвержденного регистрационного досье.</w:t>
      </w:r>
    </w:p>
    <w:bookmarkEnd w:id="5480"/>
    <w:bookmarkStart w:name="z5626" w:id="5481"/>
    <w:p>
      <w:pPr>
        <w:spacing w:after="0"/>
        <w:ind w:left="0"/>
        <w:jc w:val="both"/>
      </w:pPr>
      <w:r>
        <w:rPr>
          <w:rFonts w:ascii="Times New Roman"/>
          <w:b w:val="false"/>
          <w:i w:val="false"/>
          <w:color w:val="000000"/>
          <w:sz w:val="28"/>
        </w:rPr>
        <w:t>
      8.3. Уполномоченное лицо осуществляет выдачу разрешения на выпуск промежуточной или готовой продукции, используемой для программ фракционирования по контракту для третьих стран, на основании нормативов, согласованных с заказчиком, а также в соответствии с требованиями Стандарта надлежащей производственной практики.</w:t>
      </w:r>
    </w:p>
    <w:bookmarkEnd w:id="5481"/>
    <w:bookmarkStart w:name="z5627" w:id="5482"/>
    <w:p>
      <w:pPr>
        <w:spacing w:after="0"/>
        <w:ind w:left="0"/>
        <w:jc w:val="both"/>
      </w:pPr>
      <w:r>
        <w:rPr>
          <w:rFonts w:ascii="Times New Roman"/>
          <w:b w:val="false"/>
          <w:i w:val="false"/>
          <w:color w:val="000000"/>
          <w:sz w:val="28"/>
        </w:rPr>
        <w:t>
      9. Хранение образцов пулов плазмы</w:t>
      </w:r>
    </w:p>
    <w:bookmarkEnd w:id="5482"/>
    <w:bookmarkStart w:name="z5628" w:id="5483"/>
    <w:p>
      <w:pPr>
        <w:spacing w:after="0"/>
        <w:ind w:left="0"/>
        <w:jc w:val="both"/>
      </w:pPr>
      <w:r>
        <w:rPr>
          <w:rFonts w:ascii="Times New Roman"/>
          <w:b w:val="false"/>
          <w:i w:val="false"/>
          <w:color w:val="000000"/>
          <w:sz w:val="28"/>
        </w:rPr>
        <w:t>
      9.1. Один пул плазмы может быть использован для производства нескольких серий и (или) лекарственных препаратов. Контрольные образцы каждого пула плазмы, а также соответствующие записи следует хранить на менее 1 года после окончания срока хранения полученного из этого пула лекарственного препарата с наибольшим сроком хранения.</w:t>
      </w:r>
    </w:p>
    <w:bookmarkEnd w:id="5483"/>
    <w:bookmarkStart w:name="z5629" w:id="5484"/>
    <w:p>
      <w:pPr>
        <w:spacing w:after="0"/>
        <w:ind w:left="0"/>
        <w:jc w:val="both"/>
      </w:pPr>
      <w:r>
        <w:rPr>
          <w:rFonts w:ascii="Times New Roman"/>
          <w:b w:val="false"/>
          <w:i w:val="false"/>
          <w:color w:val="000000"/>
          <w:sz w:val="28"/>
        </w:rPr>
        <w:t>
      10. Удаление отходов</w:t>
      </w:r>
    </w:p>
    <w:bookmarkEnd w:id="5484"/>
    <w:bookmarkStart w:name="z5630" w:id="5485"/>
    <w:p>
      <w:pPr>
        <w:spacing w:after="0"/>
        <w:ind w:left="0"/>
        <w:jc w:val="both"/>
      </w:pPr>
      <w:r>
        <w:rPr>
          <w:rFonts w:ascii="Times New Roman"/>
          <w:b w:val="false"/>
          <w:i w:val="false"/>
          <w:color w:val="000000"/>
          <w:sz w:val="28"/>
        </w:rPr>
        <w:t>
      10.1. Следует иметь письменные процедуры безопасного хранения</w:t>
      </w:r>
    </w:p>
    <w:bookmarkEnd w:id="5485"/>
    <w:bookmarkStart w:name="z5631" w:id="5486"/>
    <w:p>
      <w:pPr>
        <w:spacing w:after="0"/>
        <w:ind w:left="0"/>
        <w:jc w:val="both"/>
      </w:pPr>
      <w:r>
        <w:rPr>
          <w:rFonts w:ascii="Times New Roman"/>
          <w:b w:val="false"/>
          <w:i w:val="false"/>
          <w:color w:val="000000"/>
          <w:sz w:val="28"/>
        </w:rPr>
        <w:t>
      удаления отходов, одноразовых и отклоненных материалов (например, контаминированных единиц, единиц от инфицированных доноров, а также крови, плазмы, промежуточной продукции или готовых лекарственных препаратов с истекшим сроком годности), что оформляется документально.</w:t>
      </w:r>
    </w:p>
    <w:bookmarkEnd w:id="5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633" w:id="5487"/>
    <w:p>
      <w:pPr>
        <w:spacing w:after="0"/>
        <w:ind w:left="0"/>
        <w:jc w:val="left"/>
      </w:pPr>
      <w:r>
        <w:rPr>
          <w:rFonts w:ascii="Times New Roman"/>
          <w:b/>
          <w:i w:val="false"/>
          <w:color w:val="000000"/>
        </w:rPr>
        <w:t xml:space="preserve"> Требования квалификации и валидации</w:t>
      </w:r>
    </w:p>
    <w:bookmarkEnd w:id="5487"/>
    <w:bookmarkStart w:name="z5634" w:id="5488"/>
    <w:p>
      <w:pPr>
        <w:spacing w:after="0"/>
        <w:ind w:left="0"/>
        <w:jc w:val="both"/>
      </w:pPr>
      <w:r>
        <w:rPr>
          <w:rFonts w:ascii="Times New Roman"/>
          <w:b w:val="false"/>
          <w:i w:val="false"/>
          <w:color w:val="000000"/>
          <w:sz w:val="28"/>
        </w:rPr>
        <w:t>
      Принцип</w:t>
      </w:r>
    </w:p>
    <w:bookmarkEnd w:id="5488"/>
    <w:bookmarkStart w:name="z5635" w:id="5489"/>
    <w:p>
      <w:pPr>
        <w:spacing w:after="0"/>
        <w:ind w:left="0"/>
        <w:jc w:val="both"/>
      </w:pPr>
      <w:r>
        <w:rPr>
          <w:rFonts w:ascii="Times New Roman"/>
          <w:b w:val="false"/>
          <w:i w:val="false"/>
          <w:color w:val="000000"/>
          <w:sz w:val="28"/>
        </w:rPr>
        <w:t>
      1. В настоящем приложении описаны принципы квалификации и валидации, применимые к производству лекарственных препаратов.</w:t>
      </w:r>
    </w:p>
    <w:bookmarkEnd w:id="5489"/>
    <w:bookmarkStart w:name="z5636" w:id="5490"/>
    <w:p>
      <w:pPr>
        <w:spacing w:after="0"/>
        <w:ind w:left="0"/>
        <w:jc w:val="both"/>
      </w:pPr>
      <w:r>
        <w:rPr>
          <w:rFonts w:ascii="Times New Roman"/>
          <w:b w:val="false"/>
          <w:i w:val="false"/>
          <w:color w:val="000000"/>
          <w:sz w:val="28"/>
        </w:rPr>
        <w:t>
      С целью доказательства соответствия параметров критических процессов (оборудования) заданным требованиям производители лекарственных средств проводят валидацию процессов и оборудования, используемых при производстве лекарственных средств. Валидация также проводится при существенных изменениях в помещениях, оборудовании и процессах, которые оказывают влияние на качество продукции.</w:t>
      </w:r>
    </w:p>
    <w:bookmarkEnd w:id="5490"/>
    <w:bookmarkStart w:name="z5637" w:id="5491"/>
    <w:p>
      <w:pPr>
        <w:spacing w:after="0"/>
        <w:ind w:left="0"/>
        <w:jc w:val="both"/>
      </w:pPr>
      <w:r>
        <w:rPr>
          <w:rFonts w:ascii="Times New Roman"/>
          <w:b w:val="false"/>
          <w:i w:val="false"/>
          <w:color w:val="000000"/>
          <w:sz w:val="28"/>
        </w:rPr>
        <w:t>
      Для определения состава и объема работ по валидации используют подход, основанный на оценке рисков. В соответствии с требованиями Стандарта надлежащей производственной практики, производители определяют, какая работа по валидации необходима для подтверждения контроля критических аспектов проводимых ими конкретных операций. Существенные изменения, вносимые в помещение, оборудование и процессы, которые влияют на качество продукции, проходят валидацию.</w:t>
      </w:r>
    </w:p>
    <w:bookmarkEnd w:id="5491"/>
    <w:bookmarkStart w:name="z5638" w:id="5492"/>
    <w:p>
      <w:pPr>
        <w:spacing w:after="0"/>
        <w:ind w:left="0"/>
        <w:jc w:val="both"/>
      </w:pPr>
      <w:r>
        <w:rPr>
          <w:rFonts w:ascii="Times New Roman"/>
          <w:b w:val="false"/>
          <w:i w:val="false"/>
          <w:color w:val="000000"/>
          <w:sz w:val="28"/>
        </w:rPr>
        <w:t>
      Для определения области проведения и объема валидации следует использовать подход, основанный на оценке рисков.</w:t>
      </w:r>
    </w:p>
    <w:bookmarkEnd w:id="5492"/>
    <w:bookmarkStart w:name="z5639" w:id="5493"/>
    <w:p>
      <w:pPr>
        <w:spacing w:after="0"/>
        <w:ind w:left="0"/>
        <w:jc w:val="both"/>
      </w:pPr>
      <w:r>
        <w:rPr>
          <w:rFonts w:ascii="Times New Roman"/>
          <w:b w:val="false"/>
          <w:i w:val="false"/>
          <w:color w:val="000000"/>
          <w:sz w:val="28"/>
        </w:rPr>
        <w:t>
      Планирование валидации</w:t>
      </w:r>
    </w:p>
    <w:bookmarkEnd w:id="5493"/>
    <w:bookmarkStart w:name="z5640" w:id="5494"/>
    <w:p>
      <w:pPr>
        <w:spacing w:after="0"/>
        <w:ind w:left="0"/>
        <w:jc w:val="both"/>
      </w:pPr>
      <w:r>
        <w:rPr>
          <w:rFonts w:ascii="Times New Roman"/>
          <w:b w:val="false"/>
          <w:i w:val="false"/>
          <w:color w:val="000000"/>
          <w:sz w:val="28"/>
        </w:rPr>
        <w:t>
      2. Всю деятельность по валидации следует планировать. Ключевые элементы программы валидации следует четко определить и оформить документально в основном плане валидации или эквивалентных документах.</w:t>
      </w:r>
    </w:p>
    <w:bookmarkEnd w:id="5494"/>
    <w:bookmarkStart w:name="z5641" w:id="5495"/>
    <w:p>
      <w:pPr>
        <w:spacing w:after="0"/>
        <w:ind w:left="0"/>
        <w:jc w:val="both"/>
      </w:pPr>
      <w:r>
        <w:rPr>
          <w:rFonts w:ascii="Times New Roman"/>
          <w:b w:val="false"/>
          <w:i w:val="false"/>
          <w:color w:val="000000"/>
          <w:sz w:val="28"/>
        </w:rPr>
        <w:t>
      3. Основной план валидации, составленный в лаконичной, точной и ясной форме.</w:t>
      </w:r>
    </w:p>
    <w:bookmarkEnd w:id="5495"/>
    <w:bookmarkStart w:name="z5642" w:id="5496"/>
    <w:p>
      <w:pPr>
        <w:spacing w:after="0"/>
        <w:ind w:left="0"/>
        <w:jc w:val="both"/>
      </w:pPr>
      <w:r>
        <w:rPr>
          <w:rFonts w:ascii="Times New Roman"/>
          <w:b w:val="false"/>
          <w:i w:val="false"/>
          <w:color w:val="000000"/>
          <w:sz w:val="28"/>
        </w:rPr>
        <w:t>
      4. Основной план валидации включает в себя, как минимум, следующее:</w:t>
      </w:r>
    </w:p>
    <w:bookmarkEnd w:id="5496"/>
    <w:bookmarkStart w:name="z5643" w:id="5497"/>
    <w:p>
      <w:pPr>
        <w:spacing w:after="0"/>
        <w:ind w:left="0"/>
        <w:jc w:val="both"/>
      </w:pPr>
      <w:r>
        <w:rPr>
          <w:rFonts w:ascii="Times New Roman"/>
          <w:b w:val="false"/>
          <w:i w:val="false"/>
          <w:color w:val="000000"/>
          <w:sz w:val="28"/>
        </w:rPr>
        <w:t>
      a) цель проведения валидации;</w:t>
      </w:r>
    </w:p>
    <w:bookmarkEnd w:id="5497"/>
    <w:bookmarkStart w:name="z5644" w:id="5498"/>
    <w:p>
      <w:pPr>
        <w:spacing w:after="0"/>
        <w:ind w:left="0"/>
        <w:jc w:val="both"/>
      </w:pPr>
      <w:r>
        <w:rPr>
          <w:rFonts w:ascii="Times New Roman"/>
          <w:b w:val="false"/>
          <w:i w:val="false"/>
          <w:color w:val="000000"/>
          <w:sz w:val="28"/>
        </w:rPr>
        <w:t>
      b) организационная схема деятельности по валидации;</w:t>
      </w:r>
    </w:p>
    <w:bookmarkEnd w:id="5498"/>
    <w:bookmarkStart w:name="z5645" w:id="5499"/>
    <w:p>
      <w:pPr>
        <w:spacing w:after="0"/>
        <w:ind w:left="0"/>
        <w:jc w:val="both"/>
      </w:pPr>
      <w:r>
        <w:rPr>
          <w:rFonts w:ascii="Times New Roman"/>
          <w:b w:val="false"/>
          <w:i w:val="false"/>
          <w:color w:val="000000"/>
          <w:sz w:val="28"/>
        </w:rPr>
        <w:t>
      c) перечень всех помещений, систем, оборудования и процессов, подлежащих валидации;</w:t>
      </w:r>
    </w:p>
    <w:bookmarkEnd w:id="5499"/>
    <w:bookmarkStart w:name="z5646" w:id="5500"/>
    <w:p>
      <w:pPr>
        <w:spacing w:after="0"/>
        <w:ind w:left="0"/>
        <w:jc w:val="both"/>
      </w:pPr>
      <w:r>
        <w:rPr>
          <w:rFonts w:ascii="Times New Roman"/>
          <w:b w:val="false"/>
          <w:i w:val="false"/>
          <w:color w:val="000000"/>
          <w:sz w:val="28"/>
        </w:rPr>
        <w:t>
      d) форма документации: форму, которую следует использовать для протоколов и отчетов;</w:t>
      </w:r>
    </w:p>
    <w:bookmarkEnd w:id="5500"/>
    <w:bookmarkStart w:name="z5647" w:id="5501"/>
    <w:p>
      <w:pPr>
        <w:spacing w:after="0"/>
        <w:ind w:left="0"/>
        <w:jc w:val="both"/>
      </w:pPr>
      <w:r>
        <w:rPr>
          <w:rFonts w:ascii="Times New Roman"/>
          <w:b w:val="false"/>
          <w:i w:val="false"/>
          <w:color w:val="000000"/>
          <w:sz w:val="28"/>
        </w:rPr>
        <w:t>
      e) планирование и график выполнения работ; f) контроль изменений;</w:t>
      </w:r>
    </w:p>
    <w:bookmarkEnd w:id="5501"/>
    <w:bookmarkStart w:name="z5648" w:id="5502"/>
    <w:p>
      <w:pPr>
        <w:spacing w:after="0"/>
        <w:ind w:left="0"/>
        <w:jc w:val="both"/>
      </w:pPr>
      <w:r>
        <w:rPr>
          <w:rFonts w:ascii="Times New Roman"/>
          <w:b w:val="false"/>
          <w:i w:val="false"/>
          <w:color w:val="000000"/>
          <w:sz w:val="28"/>
        </w:rPr>
        <w:t>
      g) ссылки на существующие документы.</w:t>
      </w:r>
    </w:p>
    <w:bookmarkEnd w:id="5502"/>
    <w:bookmarkStart w:name="z5649" w:id="5503"/>
    <w:p>
      <w:pPr>
        <w:spacing w:after="0"/>
        <w:ind w:left="0"/>
        <w:jc w:val="both"/>
      </w:pPr>
      <w:r>
        <w:rPr>
          <w:rFonts w:ascii="Times New Roman"/>
          <w:b w:val="false"/>
          <w:i w:val="false"/>
          <w:color w:val="000000"/>
          <w:sz w:val="28"/>
        </w:rPr>
        <w:t>
      5. В случае выполнения крупных проектов при необходимости составляются отдельные основные планы валидации.</w:t>
      </w:r>
    </w:p>
    <w:bookmarkEnd w:id="5503"/>
    <w:bookmarkStart w:name="z5650" w:id="5504"/>
    <w:p>
      <w:pPr>
        <w:spacing w:after="0"/>
        <w:ind w:left="0"/>
        <w:jc w:val="both"/>
      </w:pPr>
      <w:r>
        <w:rPr>
          <w:rFonts w:ascii="Times New Roman"/>
          <w:b w:val="false"/>
          <w:i w:val="false"/>
          <w:color w:val="000000"/>
          <w:sz w:val="28"/>
        </w:rPr>
        <w:t>
      Документация</w:t>
      </w:r>
    </w:p>
    <w:bookmarkEnd w:id="5504"/>
    <w:bookmarkStart w:name="z5651" w:id="5505"/>
    <w:p>
      <w:pPr>
        <w:spacing w:after="0"/>
        <w:ind w:left="0"/>
        <w:jc w:val="both"/>
      </w:pPr>
      <w:r>
        <w:rPr>
          <w:rFonts w:ascii="Times New Roman"/>
          <w:b w:val="false"/>
          <w:i w:val="false"/>
          <w:color w:val="000000"/>
          <w:sz w:val="28"/>
        </w:rPr>
        <w:t>
      6. Следует разработать письменный протокол с указаниями, каким образом будет проведена квалификация и валидация. Такой протокол проверяется и утверждается. В протоколе указаны критические этапы и критерии приемлемости.</w:t>
      </w:r>
    </w:p>
    <w:bookmarkEnd w:id="5505"/>
    <w:bookmarkStart w:name="z5652" w:id="5506"/>
    <w:p>
      <w:pPr>
        <w:spacing w:after="0"/>
        <w:ind w:left="0"/>
        <w:jc w:val="both"/>
      </w:pPr>
      <w:r>
        <w:rPr>
          <w:rFonts w:ascii="Times New Roman"/>
          <w:b w:val="false"/>
          <w:i w:val="false"/>
          <w:color w:val="000000"/>
          <w:sz w:val="28"/>
        </w:rPr>
        <w:t>
      7. Подготовлен отчет с перекрестными ссылками на протокол квалификации и (или) валидации, обобщающий полученные результаты, включающий в себя комментарии относительно любых замеченных отклонений и выводы, включая рекомендуемые изменения, необходимые для устранения отклонений. Изменения, внесенные в план, который приведен в протоколе, оформляется документально соответствующим обоснованием.</w:t>
      </w:r>
    </w:p>
    <w:bookmarkEnd w:id="5506"/>
    <w:bookmarkStart w:name="z5653" w:id="5507"/>
    <w:p>
      <w:pPr>
        <w:spacing w:after="0"/>
        <w:ind w:left="0"/>
        <w:jc w:val="both"/>
      </w:pPr>
      <w:r>
        <w:rPr>
          <w:rFonts w:ascii="Times New Roman"/>
          <w:b w:val="false"/>
          <w:i w:val="false"/>
          <w:color w:val="000000"/>
          <w:sz w:val="28"/>
        </w:rPr>
        <w:t>
      8. После успешного завершения квалификации оформляется официальное письменное разрешение для перехода к следующему этапу квалификации и валидации.</w:t>
      </w:r>
    </w:p>
    <w:bookmarkEnd w:id="5507"/>
    <w:bookmarkStart w:name="z5654" w:id="5508"/>
    <w:p>
      <w:pPr>
        <w:spacing w:after="0"/>
        <w:ind w:left="0"/>
        <w:jc w:val="both"/>
      </w:pPr>
      <w:r>
        <w:rPr>
          <w:rFonts w:ascii="Times New Roman"/>
          <w:b w:val="false"/>
          <w:i w:val="false"/>
          <w:color w:val="000000"/>
          <w:sz w:val="28"/>
        </w:rPr>
        <w:t>
      Квалификация</w:t>
      </w:r>
    </w:p>
    <w:bookmarkEnd w:id="5508"/>
    <w:bookmarkStart w:name="z5655" w:id="5509"/>
    <w:p>
      <w:pPr>
        <w:spacing w:after="0"/>
        <w:ind w:left="0"/>
        <w:jc w:val="both"/>
      </w:pPr>
      <w:r>
        <w:rPr>
          <w:rFonts w:ascii="Times New Roman"/>
          <w:b w:val="false"/>
          <w:i w:val="false"/>
          <w:color w:val="000000"/>
          <w:sz w:val="28"/>
        </w:rPr>
        <w:t>
      Квалификация проекта</w:t>
      </w:r>
    </w:p>
    <w:bookmarkEnd w:id="5509"/>
    <w:bookmarkStart w:name="z5656" w:id="5510"/>
    <w:p>
      <w:pPr>
        <w:spacing w:after="0"/>
        <w:ind w:left="0"/>
        <w:jc w:val="both"/>
      </w:pPr>
      <w:r>
        <w:rPr>
          <w:rFonts w:ascii="Times New Roman"/>
          <w:b w:val="false"/>
          <w:i w:val="false"/>
          <w:color w:val="000000"/>
          <w:sz w:val="28"/>
        </w:rPr>
        <w:t>
      9. Первым элементом проведения валидации новых помещений, систем или оборудования является квалификация проекта.</w:t>
      </w:r>
    </w:p>
    <w:bookmarkEnd w:id="5510"/>
    <w:bookmarkStart w:name="z5657" w:id="5511"/>
    <w:p>
      <w:pPr>
        <w:spacing w:after="0"/>
        <w:ind w:left="0"/>
        <w:jc w:val="both"/>
      </w:pPr>
      <w:r>
        <w:rPr>
          <w:rFonts w:ascii="Times New Roman"/>
          <w:b w:val="false"/>
          <w:i w:val="false"/>
          <w:color w:val="000000"/>
          <w:sz w:val="28"/>
        </w:rPr>
        <w:t>
      10. Показать и документально оформить соответствие проекта требованиям Стандарта надлежащей производственной практики.</w:t>
      </w:r>
    </w:p>
    <w:bookmarkEnd w:id="5511"/>
    <w:bookmarkStart w:name="z5658" w:id="5512"/>
    <w:p>
      <w:pPr>
        <w:spacing w:after="0"/>
        <w:ind w:left="0"/>
        <w:jc w:val="both"/>
      </w:pPr>
      <w:r>
        <w:rPr>
          <w:rFonts w:ascii="Times New Roman"/>
          <w:b w:val="false"/>
          <w:i w:val="false"/>
          <w:color w:val="000000"/>
          <w:sz w:val="28"/>
        </w:rPr>
        <w:t>
      Квалификация монтажа</w:t>
      </w:r>
    </w:p>
    <w:bookmarkEnd w:id="5512"/>
    <w:bookmarkStart w:name="z5659" w:id="5513"/>
    <w:p>
      <w:pPr>
        <w:spacing w:after="0"/>
        <w:ind w:left="0"/>
        <w:jc w:val="both"/>
      </w:pPr>
      <w:r>
        <w:rPr>
          <w:rFonts w:ascii="Times New Roman"/>
          <w:b w:val="false"/>
          <w:i w:val="false"/>
          <w:color w:val="000000"/>
          <w:sz w:val="28"/>
        </w:rPr>
        <w:t>
      11. Квалификацию монтажа следует проводить для новых или модифицированных помещений, систем и оборудования.</w:t>
      </w:r>
    </w:p>
    <w:bookmarkEnd w:id="5513"/>
    <w:bookmarkStart w:name="z5660" w:id="5514"/>
    <w:p>
      <w:pPr>
        <w:spacing w:after="0"/>
        <w:ind w:left="0"/>
        <w:jc w:val="both"/>
      </w:pPr>
      <w:r>
        <w:rPr>
          <w:rFonts w:ascii="Times New Roman"/>
          <w:b w:val="false"/>
          <w:i w:val="false"/>
          <w:color w:val="000000"/>
          <w:sz w:val="28"/>
        </w:rPr>
        <w:t>
      12. Квалификация монтажа включает в себя в том числе следующие элементы:</w:t>
      </w:r>
    </w:p>
    <w:bookmarkEnd w:id="5514"/>
    <w:bookmarkStart w:name="z5661" w:id="5515"/>
    <w:p>
      <w:pPr>
        <w:spacing w:after="0"/>
        <w:ind w:left="0"/>
        <w:jc w:val="both"/>
      </w:pPr>
      <w:r>
        <w:rPr>
          <w:rFonts w:ascii="Times New Roman"/>
          <w:b w:val="false"/>
          <w:i w:val="false"/>
          <w:color w:val="000000"/>
          <w:sz w:val="28"/>
        </w:rPr>
        <w:t>
      a) проверка монтажа оборудования, трубопроводов, вспомогательных систем и приборов на соответствие действующим техническим чертежам и спецификациям;</w:t>
      </w:r>
    </w:p>
    <w:bookmarkEnd w:id="5515"/>
    <w:bookmarkStart w:name="z5662" w:id="5516"/>
    <w:p>
      <w:pPr>
        <w:spacing w:after="0"/>
        <w:ind w:left="0"/>
        <w:jc w:val="both"/>
      </w:pPr>
      <w:r>
        <w:rPr>
          <w:rFonts w:ascii="Times New Roman"/>
          <w:b w:val="false"/>
          <w:i w:val="false"/>
          <w:color w:val="000000"/>
          <w:sz w:val="28"/>
        </w:rPr>
        <w:t>
      b) оценка полноты и сопоставление инструкций поставщика по эксплуатации и работе, а также требований к техническому обслуживанию;</w:t>
      </w:r>
    </w:p>
    <w:bookmarkEnd w:id="5516"/>
    <w:bookmarkStart w:name="z5663" w:id="5517"/>
    <w:p>
      <w:pPr>
        <w:spacing w:after="0"/>
        <w:ind w:left="0"/>
        <w:jc w:val="both"/>
      </w:pPr>
      <w:r>
        <w:rPr>
          <w:rFonts w:ascii="Times New Roman"/>
          <w:b w:val="false"/>
          <w:i w:val="false"/>
          <w:color w:val="000000"/>
          <w:sz w:val="28"/>
        </w:rPr>
        <w:t>
      c) оценка требований к калибровке;</w:t>
      </w:r>
    </w:p>
    <w:bookmarkEnd w:id="5517"/>
    <w:bookmarkStart w:name="z5664" w:id="5518"/>
    <w:p>
      <w:pPr>
        <w:spacing w:after="0"/>
        <w:ind w:left="0"/>
        <w:jc w:val="both"/>
      </w:pPr>
      <w:r>
        <w:rPr>
          <w:rFonts w:ascii="Times New Roman"/>
          <w:b w:val="false"/>
          <w:i w:val="false"/>
          <w:color w:val="000000"/>
          <w:sz w:val="28"/>
        </w:rPr>
        <w:t>
      d) проверка материалов, использованных в конструкциях.</w:t>
      </w:r>
    </w:p>
    <w:bookmarkEnd w:id="5518"/>
    <w:bookmarkStart w:name="z5665" w:id="5519"/>
    <w:p>
      <w:pPr>
        <w:spacing w:after="0"/>
        <w:ind w:left="0"/>
        <w:jc w:val="both"/>
      </w:pPr>
      <w:r>
        <w:rPr>
          <w:rFonts w:ascii="Times New Roman"/>
          <w:b w:val="false"/>
          <w:i w:val="false"/>
          <w:color w:val="000000"/>
          <w:sz w:val="28"/>
        </w:rPr>
        <w:t>
      Квалификация функционирования</w:t>
      </w:r>
    </w:p>
    <w:bookmarkEnd w:id="5519"/>
    <w:bookmarkStart w:name="z5666" w:id="5520"/>
    <w:p>
      <w:pPr>
        <w:spacing w:after="0"/>
        <w:ind w:left="0"/>
        <w:jc w:val="both"/>
      </w:pPr>
      <w:r>
        <w:rPr>
          <w:rFonts w:ascii="Times New Roman"/>
          <w:b w:val="false"/>
          <w:i w:val="false"/>
          <w:color w:val="000000"/>
          <w:sz w:val="28"/>
        </w:rPr>
        <w:t>
      13. Квалификация функционирования следует за квалификацией монтажа.</w:t>
      </w:r>
    </w:p>
    <w:bookmarkEnd w:id="5520"/>
    <w:bookmarkStart w:name="z5667" w:id="5521"/>
    <w:p>
      <w:pPr>
        <w:spacing w:after="0"/>
        <w:ind w:left="0"/>
        <w:jc w:val="both"/>
      </w:pPr>
      <w:r>
        <w:rPr>
          <w:rFonts w:ascii="Times New Roman"/>
          <w:b w:val="false"/>
          <w:i w:val="false"/>
          <w:color w:val="000000"/>
          <w:sz w:val="28"/>
        </w:rPr>
        <w:t>
      14. Квалификация функционирования включает в себя в том числе следующие элементы:</w:t>
      </w:r>
    </w:p>
    <w:bookmarkEnd w:id="5521"/>
    <w:bookmarkStart w:name="z5668" w:id="5522"/>
    <w:p>
      <w:pPr>
        <w:spacing w:after="0"/>
        <w:ind w:left="0"/>
        <w:jc w:val="both"/>
      </w:pPr>
      <w:r>
        <w:rPr>
          <w:rFonts w:ascii="Times New Roman"/>
          <w:b w:val="false"/>
          <w:i w:val="false"/>
          <w:color w:val="000000"/>
          <w:sz w:val="28"/>
        </w:rPr>
        <w:t>
      a) испытания, исходя из знаний о процессах, системах и оборудовании;</w:t>
      </w:r>
    </w:p>
    <w:bookmarkEnd w:id="5522"/>
    <w:bookmarkStart w:name="z5669" w:id="5523"/>
    <w:p>
      <w:pPr>
        <w:spacing w:after="0"/>
        <w:ind w:left="0"/>
        <w:jc w:val="both"/>
      </w:pPr>
      <w:r>
        <w:rPr>
          <w:rFonts w:ascii="Times New Roman"/>
          <w:b w:val="false"/>
          <w:i w:val="false"/>
          <w:color w:val="000000"/>
          <w:sz w:val="28"/>
        </w:rPr>
        <w:t>
      b) испытания функционирования оборудования при рабочих параметрах, равных верхним и нижним допустимым пределам, то есть в условиях "наихудшего случая".</w:t>
      </w:r>
    </w:p>
    <w:bookmarkEnd w:id="5523"/>
    <w:bookmarkStart w:name="z5670" w:id="5524"/>
    <w:p>
      <w:pPr>
        <w:spacing w:after="0"/>
        <w:ind w:left="0"/>
        <w:jc w:val="both"/>
      </w:pPr>
      <w:r>
        <w:rPr>
          <w:rFonts w:ascii="Times New Roman"/>
          <w:b w:val="false"/>
          <w:i w:val="false"/>
          <w:color w:val="000000"/>
          <w:sz w:val="28"/>
        </w:rPr>
        <w:t>
      15. Успешное завершение квалификации функционирования способствует окончательному оформлению инструкций по калибровке, эксплуатации и очистке, проведению обучения операторов, а также установлению требований к профилактическому техническому обслуживанию. Это позволит проводить официальную приемку помещений, систем и оборудования.</w:t>
      </w:r>
    </w:p>
    <w:bookmarkEnd w:id="5524"/>
    <w:bookmarkStart w:name="z5671" w:id="5525"/>
    <w:p>
      <w:pPr>
        <w:spacing w:after="0"/>
        <w:ind w:left="0"/>
        <w:jc w:val="both"/>
      </w:pPr>
      <w:r>
        <w:rPr>
          <w:rFonts w:ascii="Times New Roman"/>
          <w:b w:val="false"/>
          <w:i w:val="false"/>
          <w:color w:val="000000"/>
          <w:sz w:val="28"/>
        </w:rPr>
        <w:t>
      Квалификация эксплуатации</w:t>
      </w:r>
    </w:p>
    <w:bookmarkEnd w:id="5525"/>
    <w:bookmarkStart w:name="z5672" w:id="5526"/>
    <w:p>
      <w:pPr>
        <w:spacing w:after="0"/>
        <w:ind w:left="0"/>
        <w:jc w:val="both"/>
      </w:pPr>
      <w:r>
        <w:rPr>
          <w:rFonts w:ascii="Times New Roman"/>
          <w:b w:val="false"/>
          <w:i w:val="false"/>
          <w:color w:val="000000"/>
          <w:sz w:val="28"/>
        </w:rPr>
        <w:t>
      16. Квалификация эксплуатации выполняется после успешного завершения квалификации монтажа и квалификации функционирования.</w:t>
      </w:r>
    </w:p>
    <w:bookmarkEnd w:id="5526"/>
    <w:bookmarkStart w:name="z5673" w:id="5527"/>
    <w:p>
      <w:pPr>
        <w:spacing w:after="0"/>
        <w:ind w:left="0"/>
        <w:jc w:val="both"/>
      </w:pPr>
      <w:r>
        <w:rPr>
          <w:rFonts w:ascii="Times New Roman"/>
          <w:b w:val="false"/>
          <w:i w:val="false"/>
          <w:color w:val="000000"/>
          <w:sz w:val="28"/>
        </w:rPr>
        <w:t>
      17. Квалификация эксплуатации включает в себя в том числе следующие элементы:</w:t>
      </w:r>
    </w:p>
    <w:bookmarkEnd w:id="5527"/>
    <w:bookmarkStart w:name="z5674" w:id="5528"/>
    <w:p>
      <w:pPr>
        <w:spacing w:after="0"/>
        <w:ind w:left="0"/>
        <w:jc w:val="both"/>
      </w:pPr>
      <w:r>
        <w:rPr>
          <w:rFonts w:ascii="Times New Roman"/>
          <w:b w:val="false"/>
          <w:i w:val="false"/>
          <w:color w:val="000000"/>
          <w:sz w:val="28"/>
        </w:rPr>
        <w:t>
      a) испытания с использованием реальных исходного сырья и материалов, применяемых в производстве, выбранных заменителей с аналогичными свойствами или моделирующего препарата, разработанные на основании знаний о процессе, а также о технических средствах, системах или оборудовании;</w:t>
      </w:r>
    </w:p>
    <w:bookmarkEnd w:id="5528"/>
    <w:bookmarkStart w:name="z5675" w:id="5529"/>
    <w:p>
      <w:pPr>
        <w:spacing w:after="0"/>
        <w:ind w:left="0"/>
        <w:jc w:val="both"/>
      </w:pPr>
      <w:r>
        <w:rPr>
          <w:rFonts w:ascii="Times New Roman"/>
          <w:b w:val="false"/>
          <w:i w:val="false"/>
          <w:color w:val="000000"/>
          <w:sz w:val="28"/>
        </w:rPr>
        <w:t>
      b) испытания при рабочих параметрах, равных верхним и нижним допустимым пределам.</w:t>
      </w:r>
    </w:p>
    <w:bookmarkEnd w:id="5529"/>
    <w:bookmarkStart w:name="z5676" w:id="5530"/>
    <w:p>
      <w:pPr>
        <w:spacing w:after="0"/>
        <w:ind w:left="0"/>
        <w:jc w:val="both"/>
      </w:pPr>
      <w:r>
        <w:rPr>
          <w:rFonts w:ascii="Times New Roman"/>
          <w:b w:val="false"/>
          <w:i w:val="false"/>
          <w:color w:val="000000"/>
          <w:sz w:val="28"/>
        </w:rPr>
        <w:t>
      18. Квалификация эксплуатации является отдельным этапом работ, в некоторых случаях допускается проводить ее совместно с квалификацией функционирования при обеспечении целесообразности.</w:t>
      </w:r>
    </w:p>
    <w:bookmarkEnd w:id="5530"/>
    <w:bookmarkStart w:name="z5677" w:id="5531"/>
    <w:p>
      <w:pPr>
        <w:spacing w:after="0"/>
        <w:ind w:left="0"/>
        <w:jc w:val="both"/>
      </w:pPr>
      <w:r>
        <w:rPr>
          <w:rFonts w:ascii="Times New Roman"/>
          <w:b w:val="false"/>
          <w:i w:val="false"/>
          <w:color w:val="000000"/>
          <w:sz w:val="28"/>
        </w:rPr>
        <w:t>
      Квалификация установленных (используемых) технических средств, помещений и оборудования</w:t>
      </w:r>
    </w:p>
    <w:bookmarkEnd w:id="5531"/>
    <w:bookmarkStart w:name="z5678" w:id="5532"/>
    <w:p>
      <w:pPr>
        <w:spacing w:after="0"/>
        <w:ind w:left="0"/>
        <w:jc w:val="both"/>
      </w:pPr>
      <w:r>
        <w:rPr>
          <w:rFonts w:ascii="Times New Roman"/>
          <w:b w:val="false"/>
          <w:i w:val="false"/>
          <w:color w:val="000000"/>
          <w:sz w:val="28"/>
        </w:rPr>
        <w:t>
      19. Необходимо иметь данные, обосновывающие и подтверждающие соответствие рабочих критических параметров заданным требованиям. Кроме того, инструкции по калибровке, очистке, профилактическому техническому обслуживанию и эксплуатации, по обучению операторов и ведению отчетов приняты в форме письменных документов.</w:t>
      </w:r>
    </w:p>
    <w:bookmarkEnd w:id="5532"/>
    <w:bookmarkStart w:name="z5679" w:id="5533"/>
    <w:p>
      <w:pPr>
        <w:spacing w:after="0"/>
        <w:ind w:left="0"/>
        <w:jc w:val="both"/>
      </w:pPr>
      <w:r>
        <w:rPr>
          <w:rFonts w:ascii="Times New Roman"/>
          <w:b w:val="false"/>
          <w:i w:val="false"/>
          <w:color w:val="000000"/>
          <w:sz w:val="28"/>
        </w:rPr>
        <w:t>
      Валидация процесса</w:t>
      </w:r>
    </w:p>
    <w:bookmarkEnd w:id="5533"/>
    <w:bookmarkStart w:name="z5680" w:id="5534"/>
    <w:p>
      <w:pPr>
        <w:spacing w:after="0"/>
        <w:ind w:left="0"/>
        <w:jc w:val="both"/>
      </w:pPr>
      <w:r>
        <w:rPr>
          <w:rFonts w:ascii="Times New Roman"/>
          <w:b w:val="false"/>
          <w:i w:val="false"/>
          <w:color w:val="000000"/>
          <w:sz w:val="28"/>
        </w:rPr>
        <w:t>
      Общие требования</w:t>
      </w:r>
    </w:p>
    <w:bookmarkEnd w:id="5534"/>
    <w:bookmarkStart w:name="z5681" w:id="5535"/>
    <w:p>
      <w:pPr>
        <w:spacing w:after="0"/>
        <w:ind w:left="0"/>
        <w:jc w:val="both"/>
      </w:pPr>
      <w:r>
        <w:rPr>
          <w:rFonts w:ascii="Times New Roman"/>
          <w:b w:val="false"/>
          <w:i w:val="false"/>
          <w:color w:val="000000"/>
          <w:sz w:val="28"/>
        </w:rPr>
        <w:t>
      20. Требования и принципы, предусмотренные настоящим приложением, применимы к производству лекарственных форм. Они распространяются на первоначальную валидацию новых процессов, последующую валидацию измененных процессов и повторную валидацию.</w:t>
      </w:r>
    </w:p>
    <w:bookmarkEnd w:id="5535"/>
    <w:bookmarkStart w:name="z5682" w:id="5536"/>
    <w:p>
      <w:pPr>
        <w:spacing w:after="0"/>
        <w:ind w:left="0"/>
        <w:jc w:val="both"/>
      </w:pPr>
      <w:r>
        <w:rPr>
          <w:rFonts w:ascii="Times New Roman"/>
          <w:b w:val="false"/>
          <w:i w:val="false"/>
          <w:color w:val="000000"/>
          <w:sz w:val="28"/>
        </w:rPr>
        <w:t>
      21. Валидация процесса, как правило, завершается до начала реализации и продажи лекарственного препарата (перспективная валидация). В исключительных случаях, когда такая валидация невозможна, возникает необходимость проведения валидации процессов во время текущего производства (сопутствующая валидация). Процессы, которые уже проводились в течение некоторого времени, также подлежат валидации (ретроспективная валидация).</w:t>
      </w:r>
    </w:p>
    <w:bookmarkEnd w:id="5536"/>
    <w:bookmarkStart w:name="z5683" w:id="5537"/>
    <w:p>
      <w:pPr>
        <w:spacing w:after="0"/>
        <w:ind w:left="0"/>
        <w:jc w:val="both"/>
      </w:pPr>
      <w:r>
        <w:rPr>
          <w:rFonts w:ascii="Times New Roman"/>
          <w:b w:val="false"/>
          <w:i w:val="false"/>
          <w:color w:val="000000"/>
          <w:sz w:val="28"/>
        </w:rPr>
        <w:t>
      22. Используемые помещения, системы и оборудование квалифицированы, а аналитические методики испытаний - валидированы. Персонал, принимающий участие в проведении валидации, соответствующим образом обучен.</w:t>
      </w:r>
    </w:p>
    <w:bookmarkEnd w:id="5537"/>
    <w:bookmarkStart w:name="z5684" w:id="5538"/>
    <w:p>
      <w:pPr>
        <w:spacing w:after="0"/>
        <w:ind w:left="0"/>
        <w:jc w:val="both"/>
      </w:pPr>
      <w:r>
        <w:rPr>
          <w:rFonts w:ascii="Times New Roman"/>
          <w:b w:val="false"/>
          <w:i w:val="false"/>
          <w:color w:val="000000"/>
          <w:sz w:val="28"/>
        </w:rPr>
        <w:t>
      23. Проводится периодическую оценку помещений, систем, оборудования и процессов с целью подтверждения их работы в соответствии с заданными требованиями.</w:t>
      </w:r>
    </w:p>
    <w:bookmarkEnd w:id="5538"/>
    <w:bookmarkStart w:name="z5685" w:id="5539"/>
    <w:p>
      <w:pPr>
        <w:spacing w:after="0"/>
        <w:ind w:left="0"/>
        <w:jc w:val="both"/>
      </w:pPr>
      <w:r>
        <w:rPr>
          <w:rFonts w:ascii="Times New Roman"/>
          <w:b w:val="false"/>
          <w:i w:val="false"/>
          <w:color w:val="000000"/>
          <w:sz w:val="28"/>
        </w:rPr>
        <w:t>
      Перспективная валидация</w:t>
      </w:r>
    </w:p>
    <w:bookmarkEnd w:id="5539"/>
    <w:bookmarkStart w:name="z5686" w:id="5540"/>
    <w:p>
      <w:pPr>
        <w:spacing w:after="0"/>
        <w:ind w:left="0"/>
        <w:jc w:val="both"/>
      </w:pPr>
      <w:r>
        <w:rPr>
          <w:rFonts w:ascii="Times New Roman"/>
          <w:b w:val="false"/>
          <w:i w:val="false"/>
          <w:color w:val="000000"/>
          <w:sz w:val="28"/>
        </w:rPr>
        <w:t>
      24. Перспективная валидация включает в себя следующие элементы (но не ограничиваться ими):</w:t>
      </w:r>
    </w:p>
    <w:bookmarkEnd w:id="5540"/>
    <w:bookmarkStart w:name="z5687" w:id="5541"/>
    <w:p>
      <w:pPr>
        <w:spacing w:after="0"/>
        <w:ind w:left="0"/>
        <w:jc w:val="both"/>
      </w:pPr>
      <w:r>
        <w:rPr>
          <w:rFonts w:ascii="Times New Roman"/>
          <w:b w:val="false"/>
          <w:i w:val="false"/>
          <w:color w:val="000000"/>
          <w:sz w:val="28"/>
        </w:rPr>
        <w:t>
      a) краткое описание процесса;</w:t>
      </w:r>
    </w:p>
    <w:bookmarkEnd w:id="5541"/>
    <w:bookmarkStart w:name="z5688" w:id="5542"/>
    <w:p>
      <w:pPr>
        <w:spacing w:after="0"/>
        <w:ind w:left="0"/>
        <w:jc w:val="both"/>
      </w:pPr>
      <w:r>
        <w:rPr>
          <w:rFonts w:ascii="Times New Roman"/>
          <w:b w:val="false"/>
          <w:i w:val="false"/>
          <w:color w:val="000000"/>
          <w:sz w:val="28"/>
        </w:rPr>
        <w:t>
      b) перечень критических стадий процесса, подлежащих исследованию;</w:t>
      </w:r>
    </w:p>
    <w:bookmarkEnd w:id="5542"/>
    <w:bookmarkStart w:name="z5689" w:id="5543"/>
    <w:p>
      <w:pPr>
        <w:spacing w:after="0"/>
        <w:ind w:left="0"/>
        <w:jc w:val="both"/>
      </w:pPr>
      <w:r>
        <w:rPr>
          <w:rFonts w:ascii="Times New Roman"/>
          <w:b w:val="false"/>
          <w:i w:val="false"/>
          <w:color w:val="000000"/>
          <w:sz w:val="28"/>
        </w:rPr>
        <w:t>
      c) перечень используемых помещений (оборудования) (включая измерительное (контрольное, регистрирующее) оборудование) с указанием сведений об их калибровке;</w:t>
      </w:r>
    </w:p>
    <w:bookmarkEnd w:id="5543"/>
    <w:bookmarkStart w:name="z5690" w:id="5544"/>
    <w:p>
      <w:pPr>
        <w:spacing w:after="0"/>
        <w:ind w:left="0"/>
        <w:jc w:val="both"/>
      </w:pPr>
      <w:r>
        <w:rPr>
          <w:rFonts w:ascii="Times New Roman"/>
          <w:b w:val="false"/>
          <w:i w:val="false"/>
          <w:color w:val="000000"/>
          <w:sz w:val="28"/>
        </w:rPr>
        <w:t>
      d) спецификации на готовую продукцию при выпуске; e) при необходимости перечень аналитических методик;</w:t>
      </w:r>
    </w:p>
    <w:bookmarkEnd w:id="5544"/>
    <w:bookmarkStart w:name="z5691" w:id="5545"/>
    <w:p>
      <w:pPr>
        <w:spacing w:after="0"/>
        <w:ind w:left="0"/>
        <w:jc w:val="both"/>
      </w:pPr>
      <w:r>
        <w:rPr>
          <w:rFonts w:ascii="Times New Roman"/>
          <w:b w:val="false"/>
          <w:i w:val="false"/>
          <w:color w:val="000000"/>
          <w:sz w:val="28"/>
        </w:rPr>
        <w:t>
      f) предлагаемые точки контроля в процессе производства и критерии приемлемости;</w:t>
      </w:r>
    </w:p>
    <w:bookmarkEnd w:id="5545"/>
    <w:bookmarkStart w:name="z5692" w:id="5546"/>
    <w:p>
      <w:pPr>
        <w:spacing w:after="0"/>
        <w:ind w:left="0"/>
        <w:jc w:val="both"/>
      </w:pPr>
      <w:r>
        <w:rPr>
          <w:rFonts w:ascii="Times New Roman"/>
          <w:b w:val="false"/>
          <w:i w:val="false"/>
          <w:color w:val="000000"/>
          <w:sz w:val="28"/>
        </w:rPr>
        <w:t>
      g) при необходимости дополнительные испытания, которые следует провести, вместе с критериями приемлемости и валидацией аналитических методик;</w:t>
      </w:r>
    </w:p>
    <w:bookmarkEnd w:id="5546"/>
    <w:bookmarkStart w:name="z5693" w:id="5547"/>
    <w:p>
      <w:pPr>
        <w:spacing w:after="0"/>
        <w:ind w:left="0"/>
        <w:jc w:val="both"/>
      </w:pPr>
      <w:r>
        <w:rPr>
          <w:rFonts w:ascii="Times New Roman"/>
          <w:b w:val="false"/>
          <w:i w:val="false"/>
          <w:color w:val="000000"/>
          <w:sz w:val="28"/>
        </w:rPr>
        <w:t>
      h) план отбора проб;</w:t>
      </w:r>
    </w:p>
    <w:bookmarkEnd w:id="5547"/>
    <w:bookmarkStart w:name="z5694" w:id="5548"/>
    <w:p>
      <w:pPr>
        <w:spacing w:after="0"/>
        <w:ind w:left="0"/>
        <w:jc w:val="both"/>
      </w:pPr>
      <w:r>
        <w:rPr>
          <w:rFonts w:ascii="Times New Roman"/>
          <w:b w:val="false"/>
          <w:i w:val="false"/>
          <w:color w:val="000000"/>
          <w:sz w:val="28"/>
        </w:rPr>
        <w:t>
      i) методы регистрации и оценки результатов;</w:t>
      </w:r>
    </w:p>
    <w:bookmarkEnd w:id="5548"/>
    <w:bookmarkStart w:name="z5695" w:id="5549"/>
    <w:p>
      <w:pPr>
        <w:spacing w:after="0"/>
        <w:ind w:left="0"/>
        <w:jc w:val="both"/>
      </w:pPr>
      <w:r>
        <w:rPr>
          <w:rFonts w:ascii="Times New Roman"/>
          <w:b w:val="false"/>
          <w:i w:val="false"/>
          <w:color w:val="000000"/>
          <w:sz w:val="28"/>
        </w:rPr>
        <w:t>
      j) функции и обязанности;</w:t>
      </w:r>
    </w:p>
    <w:bookmarkEnd w:id="5549"/>
    <w:bookmarkStart w:name="z5696" w:id="5550"/>
    <w:p>
      <w:pPr>
        <w:spacing w:after="0"/>
        <w:ind w:left="0"/>
        <w:jc w:val="both"/>
      </w:pPr>
      <w:r>
        <w:rPr>
          <w:rFonts w:ascii="Times New Roman"/>
          <w:b w:val="false"/>
          <w:i w:val="false"/>
          <w:color w:val="000000"/>
          <w:sz w:val="28"/>
        </w:rPr>
        <w:t>
      k) предполагаемый график выполнения работ.</w:t>
      </w:r>
    </w:p>
    <w:bookmarkEnd w:id="5550"/>
    <w:bookmarkStart w:name="z5697" w:id="5551"/>
    <w:p>
      <w:pPr>
        <w:spacing w:after="0"/>
        <w:ind w:left="0"/>
        <w:jc w:val="both"/>
      </w:pPr>
      <w:r>
        <w:rPr>
          <w:rFonts w:ascii="Times New Roman"/>
          <w:b w:val="false"/>
          <w:i w:val="false"/>
          <w:color w:val="000000"/>
          <w:sz w:val="28"/>
        </w:rPr>
        <w:t>
      25. С помощью установленного процесса (используя компоненты, соответствующие спецификациям) можно произвести ряд серий готовой продукции при обычных условиях. Теоретически количество выполненных производственных циклов и сделанных наблюдений достаточным, чтобы позволить установить обычную степень изменчивости и тенденции, а также получить необходимое количество данных для оценки. Для валидации процесса считается достаточным выполнение 3 последовательных серий (циклов), при которых параметры находятся в заданных пределах.</w:t>
      </w:r>
    </w:p>
    <w:bookmarkEnd w:id="5551"/>
    <w:bookmarkStart w:name="z5698" w:id="5552"/>
    <w:p>
      <w:pPr>
        <w:spacing w:after="0"/>
        <w:ind w:left="0"/>
        <w:jc w:val="both"/>
      </w:pPr>
      <w:r>
        <w:rPr>
          <w:rFonts w:ascii="Times New Roman"/>
          <w:b w:val="false"/>
          <w:i w:val="false"/>
          <w:color w:val="000000"/>
          <w:sz w:val="28"/>
        </w:rPr>
        <w:t>
      26. Размер серии при валидации равный размеру серии при промышленном выпуске продукции.</w:t>
      </w:r>
    </w:p>
    <w:bookmarkEnd w:id="5552"/>
    <w:bookmarkStart w:name="z5699" w:id="5553"/>
    <w:p>
      <w:pPr>
        <w:spacing w:after="0"/>
        <w:ind w:left="0"/>
        <w:jc w:val="both"/>
      </w:pPr>
      <w:r>
        <w:rPr>
          <w:rFonts w:ascii="Times New Roman"/>
          <w:b w:val="false"/>
          <w:i w:val="false"/>
          <w:color w:val="000000"/>
          <w:sz w:val="28"/>
        </w:rPr>
        <w:t>
      27. Если предполагается продажа или поставка серий, произведенных при валидации, то условия их производства полностью соответствует регистрационному досье и требованиям Стандарта надлежащей производственной практики, включая удовлетворительный результат проведения валидации.</w:t>
      </w:r>
    </w:p>
    <w:bookmarkEnd w:id="5553"/>
    <w:bookmarkStart w:name="z5700" w:id="5554"/>
    <w:p>
      <w:pPr>
        <w:spacing w:after="0"/>
        <w:ind w:left="0"/>
        <w:jc w:val="both"/>
      </w:pPr>
      <w:r>
        <w:rPr>
          <w:rFonts w:ascii="Times New Roman"/>
          <w:b w:val="false"/>
          <w:i w:val="false"/>
          <w:color w:val="000000"/>
          <w:sz w:val="28"/>
        </w:rPr>
        <w:t>
      Сопутствующая валидация</w:t>
      </w:r>
    </w:p>
    <w:bookmarkEnd w:id="5554"/>
    <w:bookmarkStart w:name="z5701" w:id="5555"/>
    <w:p>
      <w:pPr>
        <w:spacing w:after="0"/>
        <w:ind w:left="0"/>
        <w:jc w:val="both"/>
      </w:pPr>
      <w:r>
        <w:rPr>
          <w:rFonts w:ascii="Times New Roman"/>
          <w:b w:val="false"/>
          <w:i w:val="false"/>
          <w:color w:val="000000"/>
          <w:sz w:val="28"/>
        </w:rPr>
        <w:t>
      28. В исключительных случаях допускается начинать серийное производство до завершения программы валидации.</w:t>
      </w:r>
    </w:p>
    <w:bookmarkEnd w:id="5555"/>
    <w:bookmarkStart w:name="z5702" w:id="5556"/>
    <w:p>
      <w:pPr>
        <w:spacing w:after="0"/>
        <w:ind w:left="0"/>
        <w:jc w:val="both"/>
      </w:pPr>
      <w:r>
        <w:rPr>
          <w:rFonts w:ascii="Times New Roman"/>
          <w:b w:val="false"/>
          <w:i w:val="false"/>
          <w:color w:val="000000"/>
          <w:sz w:val="28"/>
        </w:rPr>
        <w:t>
      29. Решение о проведении сопутствующей валидации обосновано, документально оформлено и утверждено лицами, имеющими на это право.</w:t>
      </w:r>
    </w:p>
    <w:bookmarkEnd w:id="5556"/>
    <w:bookmarkStart w:name="z5703" w:id="5557"/>
    <w:p>
      <w:pPr>
        <w:spacing w:after="0"/>
        <w:ind w:left="0"/>
        <w:jc w:val="both"/>
      </w:pPr>
      <w:r>
        <w:rPr>
          <w:rFonts w:ascii="Times New Roman"/>
          <w:b w:val="false"/>
          <w:i w:val="false"/>
          <w:color w:val="000000"/>
          <w:sz w:val="28"/>
        </w:rPr>
        <w:t>
      30. Требования к документации для сопутствующей валидации являются такими же, как и требования, установленные для перспективной валидации.</w:t>
      </w:r>
    </w:p>
    <w:bookmarkEnd w:id="5557"/>
    <w:bookmarkStart w:name="z5704" w:id="5558"/>
    <w:p>
      <w:pPr>
        <w:spacing w:after="0"/>
        <w:ind w:left="0"/>
        <w:jc w:val="both"/>
      </w:pPr>
      <w:r>
        <w:rPr>
          <w:rFonts w:ascii="Times New Roman"/>
          <w:b w:val="false"/>
          <w:i w:val="false"/>
          <w:color w:val="000000"/>
          <w:sz w:val="28"/>
        </w:rPr>
        <w:t>
      Ретроспективная валидация</w:t>
      </w:r>
    </w:p>
    <w:bookmarkEnd w:id="5558"/>
    <w:bookmarkStart w:name="z5705" w:id="5559"/>
    <w:p>
      <w:pPr>
        <w:spacing w:after="0"/>
        <w:ind w:left="0"/>
        <w:jc w:val="both"/>
      </w:pPr>
      <w:r>
        <w:rPr>
          <w:rFonts w:ascii="Times New Roman"/>
          <w:b w:val="false"/>
          <w:i w:val="false"/>
          <w:color w:val="000000"/>
          <w:sz w:val="28"/>
        </w:rPr>
        <w:t>
      31. Ретроспективная валидация может проводиться только для хорошо отработанных процессов. Проведение ее не допускается, если в состав продукции, технологический процесс или оборудование недавно были внесены изменения.</w:t>
      </w:r>
    </w:p>
    <w:bookmarkEnd w:id="5559"/>
    <w:bookmarkStart w:name="z5706" w:id="5560"/>
    <w:p>
      <w:pPr>
        <w:spacing w:after="0"/>
        <w:ind w:left="0"/>
        <w:jc w:val="both"/>
      </w:pPr>
      <w:r>
        <w:rPr>
          <w:rFonts w:ascii="Times New Roman"/>
          <w:b w:val="false"/>
          <w:i w:val="false"/>
          <w:color w:val="000000"/>
          <w:sz w:val="28"/>
        </w:rPr>
        <w:t>
      32. Ретроспективная валидация хорошо отработанных процессов основывается на предшествующих данных. При этом требуются составление специального протокола и отчета и проведение обзора данных предшествующей эксплуатации с выдачей заключения и рекомендаций.</w:t>
      </w:r>
    </w:p>
    <w:bookmarkEnd w:id="5560"/>
    <w:bookmarkStart w:name="z5707" w:id="5561"/>
    <w:p>
      <w:pPr>
        <w:spacing w:after="0"/>
        <w:ind w:left="0"/>
        <w:jc w:val="both"/>
      </w:pPr>
      <w:r>
        <w:rPr>
          <w:rFonts w:ascii="Times New Roman"/>
          <w:b w:val="false"/>
          <w:i w:val="false"/>
          <w:color w:val="000000"/>
          <w:sz w:val="28"/>
        </w:rPr>
        <w:t>
      33. Источники данных для такой валидации включают в себя (но не ограничиваться ими) записи по производству и упаковке серий продукции, контрольные карты производства, журналы проведения технического обслуживания, данные об изменениях в составе персонала, исследования возможностей процесса, данные о готовой продукции, в том числе карты тенденций, а также результаты изучения ее стабильности при хранении.</w:t>
      </w:r>
    </w:p>
    <w:bookmarkEnd w:id="5561"/>
    <w:bookmarkStart w:name="z5708" w:id="5562"/>
    <w:p>
      <w:pPr>
        <w:spacing w:after="0"/>
        <w:ind w:left="0"/>
        <w:jc w:val="both"/>
      </w:pPr>
      <w:r>
        <w:rPr>
          <w:rFonts w:ascii="Times New Roman"/>
          <w:b w:val="false"/>
          <w:i w:val="false"/>
          <w:color w:val="000000"/>
          <w:sz w:val="28"/>
        </w:rPr>
        <w:t>
      34. Серии продукции, отобранные для проведения ретроспективной валидации, являются представительной выборкой для всех серий, произведенных в течение рассматриваемого периода, в том числе всех серий, не соответствующих спецификациям. Количество серий продукции достаточное, чтобы доказать стабильность процесса. При проведении ретроспективной валидации процесса могут понадобиться дополнительные испытания архивных образцов для получения необходимого количества или необходимого вида данных.</w:t>
      </w:r>
    </w:p>
    <w:bookmarkEnd w:id="5562"/>
    <w:bookmarkStart w:name="z5709" w:id="5563"/>
    <w:p>
      <w:pPr>
        <w:spacing w:after="0"/>
        <w:ind w:left="0"/>
        <w:jc w:val="both"/>
      </w:pPr>
      <w:r>
        <w:rPr>
          <w:rFonts w:ascii="Times New Roman"/>
          <w:b w:val="false"/>
          <w:i w:val="false"/>
          <w:color w:val="000000"/>
          <w:sz w:val="28"/>
        </w:rPr>
        <w:t>
      35. Для оценки стабильности процесса при проведении ретроспективной валидации выполняется анализ данных по 10 - 30 последовательно произведенным сериям, однако при наличии соответствующего обоснования количество исследуемых серий может быть уменьшено.</w:t>
      </w:r>
    </w:p>
    <w:bookmarkEnd w:id="5563"/>
    <w:bookmarkStart w:name="z5710" w:id="5564"/>
    <w:p>
      <w:pPr>
        <w:spacing w:after="0"/>
        <w:ind w:left="0"/>
        <w:jc w:val="both"/>
      </w:pPr>
      <w:r>
        <w:rPr>
          <w:rFonts w:ascii="Times New Roman"/>
          <w:b w:val="false"/>
          <w:i w:val="false"/>
          <w:color w:val="000000"/>
          <w:sz w:val="28"/>
        </w:rPr>
        <w:t>
      Валидация очистки</w:t>
      </w:r>
    </w:p>
    <w:bookmarkEnd w:id="5564"/>
    <w:bookmarkStart w:name="z5711" w:id="5565"/>
    <w:p>
      <w:pPr>
        <w:spacing w:after="0"/>
        <w:ind w:left="0"/>
        <w:jc w:val="both"/>
      </w:pPr>
      <w:r>
        <w:rPr>
          <w:rFonts w:ascii="Times New Roman"/>
          <w:b w:val="false"/>
          <w:i w:val="false"/>
          <w:color w:val="000000"/>
          <w:sz w:val="28"/>
        </w:rPr>
        <w:t>
      36. Валидацию очистки проводят для того, чтобы подтвердить эффективность процедуры очистки. Обоснование выбранных пределов для переносимых остатков продукта, моющих средств, а также микробной контаминации основывается на свойствах применяемых материалов. Эти предельные значения достижимые на практике и проверяемыми.</w:t>
      </w:r>
    </w:p>
    <w:bookmarkEnd w:id="5565"/>
    <w:bookmarkStart w:name="z5712" w:id="5566"/>
    <w:p>
      <w:pPr>
        <w:spacing w:after="0"/>
        <w:ind w:left="0"/>
        <w:jc w:val="both"/>
      </w:pPr>
      <w:r>
        <w:rPr>
          <w:rFonts w:ascii="Times New Roman"/>
          <w:b w:val="false"/>
          <w:i w:val="false"/>
          <w:color w:val="000000"/>
          <w:sz w:val="28"/>
        </w:rPr>
        <w:t>
      37. Для обнаружения остатков или контаминантов используют валидированные аналитические методики. Предел обнаружения для каждой аналитической методики достаточные для того, чтобы обнаружить установленный допустимый уровень остатка или контаминанта.</w:t>
      </w:r>
    </w:p>
    <w:bookmarkEnd w:id="5566"/>
    <w:bookmarkStart w:name="z5713" w:id="5567"/>
    <w:p>
      <w:pPr>
        <w:spacing w:after="0"/>
        <w:ind w:left="0"/>
        <w:jc w:val="both"/>
      </w:pPr>
      <w:r>
        <w:rPr>
          <w:rFonts w:ascii="Times New Roman"/>
          <w:b w:val="false"/>
          <w:i w:val="false"/>
          <w:color w:val="000000"/>
          <w:sz w:val="28"/>
        </w:rPr>
        <w:t>
      38. Необходимо проводить валидацию только процедур очистки поверхностей оборудования, контактирующих с продукцией. Требуется также оценить необходимость валидации деталей оборудования, не контактирующих с продукцией. Проводится валидация длительности интервалов времени между окончанием процесса и очисткой, а также между очисткой и началом следующего процесса. Заранее устанавливают методы очистки и интервалы времени между проведением очистки.</w:t>
      </w:r>
    </w:p>
    <w:bookmarkEnd w:id="5567"/>
    <w:bookmarkStart w:name="z5714" w:id="5568"/>
    <w:p>
      <w:pPr>
        <w:spacing w:after="0"/>
        <w:ind w:left="0"/>
        <w:jc w:val="both"/>
      </w:pPr>
      <w:r>
        <w:rPr>
          <w:rFonts w:ascii="Times New Roman"/>
          <w:b w:val="false"/>
          <w:i w:val="false"/>
          <w:color w:val="000000"/>
          <w:sz w:val="28"/>
        </w:rPr>
        <w:t>
      39. В отношении процедур очистки, связанных с очень сходными продуктами и сходными процессами, допускается выбрать репрезентативный ряд сходных продуктов и сходных процессов. В указанных случаях можно провести 1 валидационное исследование с использованием подхода "наихудший случай", при котором учтены все критические факторы.</w:t>
      </w:r>
    </w:p>
    <w:bookmarkEnd w:id="5568"/>
    <w:bookmarkStart w:name="z5715" w:id="5569"/>
    <w:p>
      <w:pPr>
        <w:spacing w:after="0"/>
        <w:ind w:left="0"/>
        <w:jc w:val="both"/>
      </w:pPr>
      <w:r>
        <w:rPr>
          <w:rFonts w:ascii="Times New Roman"/>
          <w:b w:val="false"/>
          <w:i w:val="false"/>
          <w:color w:val="000000"/>
          <w:sz w:val="28"/>
        </w:rPr>
        <w:t>
      40. Для валидации процедуры очистки достаточно успешное проведение 3 последовательных циклов очистки.</w:t>
      </w:r>
    </w:p>
    <w:bookmarkEnd w:id="5569"/>
    <w:bookmarkStart w:name="z5716" w:id="5570"/>
    <w:p>
      <w:pPr>
        <w:spacing w:after="0"/>
        <w:ind w:left="0"/>
        <w:jc w:val="both"/>
      </w:pPr>
      <w:r>
        <w:rPr>
          <w:rFonts w:ascii="Times New Roman"/>
          <w:b w:val="false"/>
          <w:i w:val="false"/>
          <w:color w:val="000000"/>
          <w:sz w:val="28"/>
        </w:rPr>
        <w:t>
      41. Метод "испытывать до тех пор, пока не будет чисто" не заменяет валидацию процедуры очистки.</w:t>
      </w:r>
    </w:p>
    <w:bookmarkEnd w:id="5570"/>
    <w:bookmarkStart w:name="z5717" w:id="5571"/>
    <w:p>
      <w:pPr>
        <w:spacing w:after="0"/>
        <w:ind w:left="0"/>
        <w:jc w:val="both"/>
      </w:pPr>
      <w:r>
        <w:rPr>
          <w:rFonts w:ascii="Times New Roman"/>
          <w:b w:val="false"/>
          <w:i w:val="false"/>
          <w:color w:val="000000"/>
          <w:sz w:val="28"/>
        </w:rPr>
        <w:t>
      42. Если удаляемые вещества являются токсичными или опасными, то в порядке исключения вместо них могут использоваться продукты, моделирующие физико-химические свойства таких веществ.</w:t>
      </w:r>
    </w:p>
    <w:bookmarkEnd w:id="5571"/>
    <w:bookmarkStart w:name="z5718" w:id="5572"/>
    <w:p>
      <w:pPr>
        <w:spacing w:after="0"/>
        <w:ind w:left="0"/>
        <w:jc w:val="both"/>
      </w:pPr>
      <w:r>
        <w:rPr>
          <w:rFonts w:ascii="Times New Roman"/>
          <w:b w:val="false"/>
          <w:i w:val="false"/>
          <w:color w:val="000000"/>
          <w:sz w:val="28"/>
        </w:rPr>
        <w:t>
      Контроль изменений</w:t>
      </w:r>
    </w:p>
    <w:bookmarkEnd w:id="5572"/>
    <w:bookmarkStart w:name="z5719" w:id="5573"/>
    <w:p>
      <w:pPr>
        <w:spacing w:after="0"/>
        <w:ind w:left="0"/>
        <w:jc w:val="both"/>
      </w:pPr>
      <w:r>
        <w:rPr>
          <w:rFonts w:ascii="Times New Roman"/>
          <w:b w:val="false"/>
          <w:i w:val="false"/>
          <w:color w:val="000000"/>
          <w:sz w:val="28"/>
        </w:rPr>
        <w:t>
      43. Необходимо иметь принятые в форме письменных документов процедуры, включающие в себя описание действий, которые следует предпринять, если предполагается изменение исходного сырья, компонентов продукта, технологического оборудования, параметров производственной среды (или участка), способа производства или метода контроля или другое изменение, которое может повлиять на качество продукции или воспроизводимость процесса. Процедуры контроля изменений обеспечивают получение достаточного количества данных для подтверждения того, что измененный процесс позволяет получать продукцию требуемого качества, соответствующую утвержденным спецификациям. Все изменения, которые оказывают влияние на качество продукции или воспроизводимость процесса, официально заявлены, документально оформлены и утверждены. Необходимо оценить возможное влияние изменений в помещениях, системах и оборудовании на продукцию, в том числе провести анализ рисков. Определяют необходимость и объем повторной квалификации и повторной валидации.</w:t>
      </w:r>
    </w:p>
    <w:bookmarkEnd w:id="5573"/>
    <w:bookmarkStart w:name="z5720" w:id="5574"/>
    <w:p>
      <w:pPr>
        <w:spacing w:after="0"/>
        <w:ind w:left="0"/>
        <w:jc w:val="both"/>
      </w:pPr>
      <w:r>
        <w:rPr>
          <w:rFonts w:ascii="Times New Roman"/>
          <w:b w:val="false"/>
          <w:i w:val="false"/>
          <w:color w:val="000000"/>
          <w:sz w:val="28"/>
        </w:rPr>
        <w:t>
      Повторная валидация</w:t>
      </w:r>
    </w:p>
    <w:bookmarkEnd w:id="5574"/>
    <w:bookmarkStart w:name="z5721" w:id="5575"/>
    <w:p>
      <w:pPr>
        <w:spacing w:after="0"/>
        <w:ind w:left="0"/>
        <w:jc w:val="both"/>
      </w:pPr>
      <w:r>
        <w:rPr>
          <w:rFonts w:ascii="Times New Roman"/>
          <w:b w:val="false"/>
          <w:i w:val="false"/>
          <w:color w:val="000000"/>
          <w:sz w:val="28"/>
        </w:rPr>
        <w:t>
      45. Следует проводить периодическую оценку помещений, систем, оборудования и процессов, включая проведение процедур очистки, для подтверждения их соответствия заданным требованиям. Если существенные изменения отсутствуют, то вместо повторной валидации составляется отчет, свидетельствующий о соответствии помещений, систем, оборудования и процессов установленным требованиям.</w:t>
      </w:r>
    </w:p>
    <w:bookmarkEnd w:id="5575"/>
    <w:bookmarkStart w:name="z5722" w:id="5576"/>
    <w:p>
      <w:pPr>
        <w:spacing w:after="0"/>
        <w:ind w:left="0"/>
        <w:jc w:val="both"/>
      </w:pPr>
      <w:r>
        <w:rPr>
          <w:rFonts w:ascii="Times New Roman"/>
          <w:b w:val="false"/>
          <w:i w:val="false"/>
          <w:color w:val="000000"/>
          <w:sz w:val="28"/>
        </w:rPr>
        <w:t>
      Определения</w:t>
      </w:r>
    </w:p>
    <w:bookmarkEnd w:id="5576"/>
    <w:bookmarkStart w:name="z5723" w:id="5577"/>
    <w:p>
      <w:pPr>
        <w:spacing w:after="0"/>
        <w:ind w:left="0"/>
        <w:jc w:val="both"/>
      </w:pPr>
      <w:r>
        <w:rPr>
          <w:rFonts w:ascii="Times New Roman"/>
          <w:b w:val="false"/>
          <w:i w:val="false"/>
          <w:color w:val="000000"/>
          <w:sz w:val="28"/>
        </w:rPr>
        <w:t>
      Понятия, использованные в настоящем приложении, означают следующее:</w:t>
      </w:r>
    </w:p>
    <w:bookmarkEnd w:id="5577"/>
    <w:bookmarkStart w:name="z5724" w:id="5578"/>
    <w:p>
      <w:pPr>
        <w:spacing w:after="0"/>
        <w:ind w:left="0"/>
        <w:jc w:val="both"/>
      </w:pPr>
      <w:r>
        <w:rPr>
          <w:rFonts w:ascii="Times New Roman"/>
          <w:b w:val="false"/>
          <w:i w:val="false"/>
          <w:color w:val="000000"/>
          <w:sz w:val="28"/>
        </w:rPr>
        <w:t>
      "анализ рисков" (risk analysis) - метод оценки и описания критических параметров при функционировании оборудования, систем или процесса;</w:t>
      </w:r>
    </w:p>
    <w:bookmarkEnd w:id="5578"/>
    <w:bookmarkStart w:name="z5725" w:id="5579"/>
    <w:p>
      <w:pPr>
        <w:spacing w:after="0"/>
        <w:ind w:left="0"/>
        <w:jc w:val="both"/>
      </w:pPr>
      <w:r>
        <w:rPr>
          <w:rFonts w:ascii="Times New Roman"/>
          <w:b w:val="false"/>
          <w:i w:val="false"/>
          <w:color w:val="000000"/>
          <w:sz w:val="28"/>
        </w:rPr>
        <w:t>
      "валидация очистки" (cleaning validation) - документально оформленное подтверждение того, что утвержденная процедура очистки обеспечивает такую чистоту оборудования, которая необходима для производства лекарственных средств;</w:t>
      </w:r>
    </w:p>
    <w:bookmarkEnd w:id="5579"/>
    <w:bookmarkStart w:name="z5726" w:id="5580"/>
    <w:p>
      <w:pPr>
        <w:spacing w:after="0"/>
        <w:ind w:left="0"/>
        <w:jc w:val="both"/>
      </w:pPr>
      <w:r>
        <w:rPr>
          <w:rFonts w:ascii="Times New Roman"/>
          <w:b w:val="false"/>
          <w:i w:val="false"/>
          <w:color w:val="000000"/>
          <w:sz w:val="28"/>
        </w:rPr>
        <w:t>
      "валидация процесса" (process validation) - документально оформленное подтверждение того, что процесс, выполняемый в рамках установленных параметров, осуществляется эффективно, воспроизводимо и приводит к производству лекарственного препарата, соответствующего заранее установленным спецификациям и показателям качества;</w:t>
      </w:r>
    </w:p>
    <w:bookmarkEnd w:id="5580"/>
    <w:bookmarkStart w:name="z5727" w:id="5581"/>
    <w:p>
      <w:pPr>
        <w:spacing w:after="0"/>
        <w:ind w:left="0"/>
        <w:jc w:val="both"/>
      </w:pPr>
      <w:r>
        <w:rPr>
          <w:rFonts w:ascii="Times New Roman"/>
          <w:b w:val="false"/>
          <w:i w:val="false"/>
          <w:color w:val="000000"/>
          <w:sz w:val="28"/>
        </w:rPr>
        <w:t>
      "квалификация монтажа" (installation qualification, IQ) - документально оформленное подтверждение того, что монтаж помещений, систем и оборудования (установленных или модифицированных) выполнен в соответствии с утвержденным проектом, рекомендациями производителя и (или) требованиями пользователя;</w:t>
      </w:r>
    </w:p>
    <w:bookmarkEnd w:id="5581"/>
    <w:bookmarkStart w:name="z5728" w:id="5582"/>
    <w:p>
      <w:pPr>
        <w:spacing w:after="0"/>
        <w:ind w:left="0"/>
        <w:jc w:val="both"/>
      </w:pPr>
      <w:r>
        <w:rPr>
          <w:rFonts w:ascii="Times New Roman"/>
          <w:b w:val="false"/>
          <w:i w:val="false"/>
          <w:color w:val="000000"/>
          <w:sz w:val="28"/>
        </w:rPr>
        <w:t>
      "квалификация проекта" (design qualification, DQ) - документально оформленное подтверждение того, что предложенный проект производственных помещений, оборудования или систем является пригодным для применения по назначению;</w:t>
      </w:r>
    </w:p>
    <w:bookmarkEnd w:id="5582"/>
    <w:bookmarkStart w:name="z5729" w:id="5583"/>
    <w:p>
      <w:pPr>
        <w:spacing w:after="0"/>
        <w:ind w:left="0"/>
        <w:jc w:val="both"/>
      </w:pPr>
      <w:r>
        <w:rPr>
          <w:rFonts w:ascii="Times New Roman"/>
          <w:b w:val="false"/>
          <w:i w:val="false"/>
          <w:color w:val="000000"/>
          <w:sz w:val="28"/>
        </w:rPr>
        <w:t>
      "квалификация функционирования" (operational qualification, OQ) - документально оформленное подтверждение того, что помещения, системы и оборудование (установленные или модифицированные) функционируют в соответствии с предъявляемыми требованиями во всех предусмотренных режимах работы;</w:t>
      </w:r>
    </w:p>
    <w:bookmarkEnd w:id="5583"/>
    <w:bookmarkStart w:name="z5730" w:id="5584"/>
    <w:p>
      <w:pPr>
        <w:spacing w:after="0"/>
        <w:ind w:left="0"/>
        <w:jc w:val="both"/>
      </w:pPr>
      <w:r>
        <w:rPr>
          <w:rFonts w:ascii="Times New Roman"/>
          <w:b w:val="false"/>
          <w:i w:val="false"/>
          <w:color w:val="000000"/>
          <w:sz w:val="28"/>
        </w:rPr>
        <w:t>
      "квалификация эксплуатации" (performance qualification, PQ) - документально оформленное подтверждение того, что помещения, системы и оборудование при совместном использовании работают эффективно и с воспроизводимыми показателями в соответствии с утвержденными требованиями и характеристиками процесса;</w:t>
      </w:r>
    </w:p>
    <w:bookmarkEnd w:id="5584"/>
    <w:bookmarkStart w:name="z5731" w:id="5585"/>
    <w:p>
      <w:pPr>
        <w:spacing w:after="0"/>
        <w:ind w:left="0"/>
        <w:jc w:val="both"/>
      </w:pPr>
      <w:r>
        <w:rPr>
          <w:rFonts w:ascii="Times New Roman"/>
          <w:b w:val="false"/>
          <w:i w:val="false"/>
          <w:color w:val="000000"/>
          <w:sz w:val="28"/>
        </w:rPr>
        <w:t>
      "контроль изменений" (change control) - документально оформленный порядок, в соответствии с которым квалифицированные представители различных специальностей рассматривают предложенные или фактически внесенные изменения, которые могут повлиять на валидированное состояние помещений, оборудования, систем или процессов, целью которого является определение необходимости мероприятий, которые обеспечивают и документально удостоверяют поддержание системы в валидированном состоянии;</w:t>
      </w:r>
    </w:p>
    <w:bookmarkEnd w:id="5585"/>
    <w:bookmarkStart w:name="z5732" w:id="5586"/>
    <w:p>
      <w:pPr>
        <w:spacing w:after="0"/>
        <w:ind w:left="0"/>
        <w:jc w:val="both"/>
      </w:pPr>
      <w:r>
        <w:rPr>
          <w:rFonts w:ascii="Times New Roman"/>
          <w:b w:val="false"/>
          <w:i w:val="false"/>
          <w:color w:val="000000"/>
          <w:sz w:val="28"/>
        </w:rPr>
        <w:t>
      "моделирующий препарат" (simulated product) - материал, который по своим физическим и, по возможности, химическим характеристикам (например, вязкости, размерам частиц, pH и др.) близок продукту, в отношении которого проводится валидация. Во многих случаях этими характеристиками обладает серия препарата-плацебо (продукта, не содержащего активного ингредиента);</w:t>
      </w:r>
    </w:p>
    <w:bookmarkEnd w:id="5586"/>
    <w:bookmarkStart w:name="z5733" w:id="5587"/>
    <w:p>
      <w:pPr>
        <w:spacing w:after="0"/>
        <w:ind w:left="0"/>
        <w:jc w:val="both"/>
      </w:pPr>
      <w:r>
        <w:rPr>
          <w:rFonts w:ascii="Times New Roman"/>
          <w:b w:val="false"/>
          <w:i w:val="false"/>
          <w:color w:val="000000"/>
          <w:sz w:val="28"/>
        </w:rPr>
        <w:t>
      "наихудший случай" (worst case) - определенные стандартными операционными процедурами условия или комплекс условий, относящиеся к верхним и нижним предельным значениям рабочих параметров процесса и связанным с ними факторам, которые обусловливают наибольшую вероятность появления сбоя в процессе или дефекта продукта по сравнению с идеальными условиями. Такие условия не обязательно приводят к сбою в процессе или появлению дефекта продукта;</w:t>
      </w:r>
    </w:p>
    <w:bookmarkEnd w:id="5587"/>
    <w:bookmarkStart w:name="z5734" w:id="5588"/>
    <w:p>
      <w:pPr>
        <w:spacing w:after="0"/>
        <w:ind w:left="0"/>
        <w:jc w:val="both"/>
      </w:pPr>
      <w:r>
        <w:rPr>
          <w:rFonts w:ascii="Times New Roman"/>
          <w:b w:val="false"/>
          <w:i w:val="false"/>
          <w:color w:val="000000"/>
          <w:sz w:val="28"/>
        </w:rPr>
        <w:t>
      "перспективная валидация" (prospective validation) - валидация, выполняемая до начала серийного производства продукции, предназначенной для реализации;</w:t>
      </w:r>
    </w:p>
    <w:bookmarkEnd w:id="5588"/>
    <w:bookmarkStart w:name="z5735" w:id="5589"/>
    <w:p>
      <w:pPr>
        <w:spacing w:after="0"/>
        <w:ind w:left="0"/>
        <w:jc w:val="both"/>
      </w:pPr>
      <w:r>
        <w:rPr>
          <w:rFonts w:ascii="Times New Roman"/>
          <w:b w:val="false"/>
          <w:i w:val="false"/>
          <w:color w:val="000000"/>
          <w:sz w:val="28"/>
        </w:rPr>
        <w:t>
      "повторная валидация" (re-validation) - повторение валидации процесса для обеспечения гарантии того, что изменения в процессе (оборудовании), внесенные в соответствии с процедурой контроля изменений, не ухудшают характеристики процесса и качество продукции;</w:t>
      </w:r>
    </w:p>
    <w:bookmarkEnd w:id="5589"/>
    <w:bookmarkStart w:name="z5736" w:id="5590"/>
    <w:p>
      <w:pPr>
        <w:spacing w:after="0"/>
        <w:ind w:left="0"/>
        <w:jc w:val="both"/>
      </w:pPr>
      <w:r>
        <w:rPr>
          <w:rFonts w:ascii="Times New Roman"/>
          <w:b w:val="false"/>
          <w:i w:val="false"/>
          <w:color w:val="000000"/>
          <w:sz w:val="28"/>
        </w:rPr>
        <w:t>
      "ретроспективная валидация" (retrospective validation) - валидация серийного процесса производства реализуемого продукта, основанная на собранных данных о производстве и контроле серий продукции;</w:t>
      </w:r>
    </w:p>
    <w:bookmarkEnd w:id="5590"/>
    <w:bookmarkStart w:name="z5737" w:id="5591"/>
    <w:p>
      <w:pPr>
        <w:spacing w:after="0"/>
        <w:ind w:left="0"/>
        <w:jc w:val="both"/>
      </w:pPr>
      <w:r>
        <w:rPr>
          <w:rFonts w:ascii="Times New Roman"/>
          <w:b w:val="false"/>
          <w:i w:val="false"/>
          <w:color w:val="000000"/>
          <w:sz w:val="28"/>
        </w:rPr>
        <w:t>
      "система" (system) - комплекс оборудования, имеющего общее назначение;</w:t>
      </w:r>
    </w:p>
    <w:bookmarkEnd w:id="5591"/>
    <w:bookmarkStart w:name="z5738" w:id="5592"/>
    <w:p>
      <w:pPr>
        <w:spacing w:after="0"/>
        <w:ind w:left="0"/>
        <w:jc w:val="both"/>
      </w:pPr>
      <w:r>
        <w:rPr>
          <w:rFonts w:ascii="Times New Roman"/>
          <w:b w:val="false"/>
          <w:i w:val="false"/>
          <w:color w:val="000000"/>
          <w:sz w:val="28"/>
        </w:rPr>
        <w:t>
      "сопутствующая валидация" (concurrent validation) - валидация, выполняемая во время текущего (серийного) производства продукции, предназначенной для реализации.</w:t>
      </w:r>
    </w:p>
    <w:bookmarkEnd w:id="5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740" w:id="5593"/>
    <w:p>
      <w:pPr>
        <w:spacing w:after="0"/>
        <w:ind w:left="0"/>
        <w:jc w:val="left"/>
      </w:pPr>
      <w:r>
        <w:rPr>
          <w:rFonts w:ascii="Times New Roman"/>
          <w:b/>
          <w:i w:val="false"/>
          <w:color w:val="000000"/>
        </w:rPr>
        <w:t xml:space="preserve"> Требования подтверждению уполномоченным лицом соответствия серии продукции с целью ее выпуска</w:t>
      </w:r>
    </w:p>
    <w:bookmarkEnd w:id="5593"/>
    <w:bookmarkStart w:name="z5741" w:id="5594"/>
    <w:p>
      <w:pPr>
        <w:spacing w:after="0"/>
        <w:ind w:left="0"/>
        <w:jc w:val="both"/>
      </w:pPr>
      <w:r>
        <w:rPr>
          <w:rFonts w:ascii="Times New Roman"/>
          <w:b w:val="false"/>
          <w:i w:val="false"/>
          <w:color w:val="000000"/>
          <w:sz w:val="28"/>
        </w:rPr>
        <w:t>
      Область применения</w:t>
      </w:r>
    </w:p>
    <w:bookmarkEnd w:id="5594"/>
    <w:bookmarkStart w:name="z5742" w:id="5595"/>
    <w:p>
      <w:pPr>
        <w:spacing w:after="0"/>
        <w:ind w:left="0"/>
        <w:jc w:val="both"/>
      </w:pPr>
      <w:r>
        <w:rPr>
          <w:rFonts w:ascii="Times New Roman"/>
          <w:b w:val="false"/>
          <w:i w:val="false"/>
          <w:color w:val="000000"/>
          <w:sz w:val="28"/>
        </w:rPr>
        <w:t>
      1.1. Настоящим документом устанавливаются порядок подтверждения соответствия, выполняемого уполномоченным лицом, и требования к выпуску серий зарегистрированных или произведенных для экспорта лекарственных препаратов.</w:t>
      </w:r>
    </w:p>
    <w:bookmarkEnd w:id="5595"/>
    <w:bookmarkStart w:name="z5743" w:id="5596"/>
    <w:p>
      <w:pPr>
        <w:spacing w:after="0"/>
        <w:ind w:left="0"/>
        <w:jc w:val="both"/>
      </w:pPr>
      <w:r>
        <w:rPr>
          <w:rFonts w:ascii="Times New Roman"/>
          <w:b w:val="false"/>
          <w:i w:val="false"/>
          <w:color w:val="000000"/>
          <w:sz w:val="28"/>
        </w:rPr>
        <w:t xml:space="preserve">
      1.2. В настоящем документе также рассматриваются случаи, когда производство серии продукции или проведение анализов разделено на несколько этапов, выполняемых в разных местах или разными производителями, а также когда серию промежуточной или нерасфасованной продукции разделяют на 2 и более серий готовой продукции. Настоящий документ может быть также применен к лекарственным препаратам для клинических исследований, на которые распространяются другие положения актов. </w:t>
      </w:r>
    </w:p>
    <w:bookmarkEnd w:id="5596"/>
    <w:bookmarkStart w:name="z5744" w:id="5597"/>
    <w:p>
      <w:pPr>
        <w:spacing w:after="0"/>
        <w:ind w:left="0"/>
        <w:jc w:val="both"/>
      </w:pPr>
      <w:r>
        <w:rPr>
          <w:rFonts w:ascii="Times New Roman"/>
          <w:b w:val="false"/>
          <w:i w:val="false"/>
          <w:color w:val="000000"/>
          <w:sz w:val="28"/>
        </w:rPr>
        <w:t>
      1.3 Настоящий документ не описывает все возможные меры, принятие которых допустимо с точки зрения законодательства. В настоящем документе не рассматриваются также разрешения на выпуск серии, выдаваемые уполномоченном органом, которое может иметь специфику для некоторых препаратов крови и иммунобиологических лекарственных препаратов.</w:t>
      </w:r>
    </w:p>
    <w:bookmarkEnd w:id="5597"/>
    <w:bookmarkStart w:name="z5745" w:id="5598"/>
    <w:p>
      <w:pPr>
        <w:spacing w:after="0"/>
        <w:ind w:left="0"/>
        <w:jc w:val="both"/>
      </w:pPr>
      <w:r>
        <w:rPr>
          <w:rFonts w:ascii="Times New Roman"/>
          <w:b w:val="false"/>
          <w:i w:val="false"/>
          <w:color w:val="000000"/>
          <w:sz w:val="28"/>
        </w:rPr>
        <w:t>
      1.4. Основные требования к выпуску серии продукции приводятся регистрационном досье. Положения настоящего документа применяются в области, не противоречащей этим основным требованиям.</w:t>
      </w:r>
    </w:p>
    <w:bookmarkEnd w:id="5598"/>
    <w:bookmarkStart w:name="z5746" w:id="5599"/>
    <w:p>
      <w:pPr>
        <w:spacing w:after="0"/>
        <w:ind w:left="0"/>
        <w:jc w:val="both"/>
      </w:pPr>
      <w:r>
        <w:rPr>
          <w:rFonts w:ascii="Times New Roman"/>
          <w:b w:val="false"/>
          <w:i w:val="false"/>
          <w:color w:val="000000"/>
          <w:sz w:val="28"/>
        </w:rPr>
        <w:t>
      2. Принцип</w:t>
      </w:r>
    </w:p>
    <w:bookmarkEnd w:id="5599"/>
    <w:bookmarkStart w:name="z5747" w:id="5600"/>
    <w:p>
      <w:pPr>
        <w:spacing w:after="0"/>
        <w:ind w:left="0"/>
        <w:jc w:val="both"/>
      </w:pPr>
      <w:r>
        <w:rPr>
          <w:rFonts w:ascii="Times New Roman"/>
          <w:b w:val="false"/>
          <w:i w:val="false"/>
          <w:color w:val="000000"/>
          <w:sz w:val="28"/>
        </w:rPr>
        <w:t>
      2.1. Уполномоченное лицо подтверждает соответствие каждой серии готовой продукции установленным требования до ее выпуска на внутренний рынок или на экспорт.</w:t>
      </w:r>
    </w:p>
    <w:bookmarkEnd w:id="5600"/>
    <w:bookmarkStart w:name="z5748" w:id="5601"/>
    <w:p>
      <w:pPr>
        <w:spacing w:after="0"/>
        <w:ind w:left="0"/>
        <w:jc w:val="both"/>
      </w:pPr>
      <w:r>
        <w:rPr>
          <w:rFonts w:ascii="Times New Roman"/>
          <w:b w:val="false"/>
          <w:i w:val="false"/>
          <w:color w:val="000000"/>
          <w:sz w:val="28"/>
        </w:rPr>
        <w:t>
      2.2. Целями регулирования процедуры выпуска серии продукции являются:</w:t>
      </w:r>
    </w:p>
    <w:bookmarkEnd w:id="5601"/>
    <w:bookmarkStart w:name="z5749" w:id="5602"/>
    <w:p>
      <w:pPr>
        <w:spacing w:after="0"/>
        <w:ind w:left="0"/>
        <w:jc w:val="both"/>
      </w:pPr>
      <w:r>
        <w:rPr>
          <w:rFonts w:ascii="Times New Roman"/>
          <w:b w:val="false"/>
          <w:i w:val="false"/>
          <w:color w:val="000000"/>
          <w:sz w:val="28"/>
        </w:rPr>
        <w:t>
      гарантия того, что серия была произведена и проверена согласно требованиям лицензии на производство, регистрационного досье и Стандарта или аналогичных Стандарта надлежащего производства другой страны, признанных эквивалентными указанным Стандарта, а также любым другим соответствующим законодательным требованиям перед ее выпуском;</w:t>
      </w:r>
    </w:p>
    <w:bookmarkEnd w:id="5602"/>
    <w:bookmarkStart w:name="z5750" w:id="5603"/>
    <w:p>
      <w:pPr>
        <w:spacing w:after="0"/>
        <w:ind w:left="0"/>
        <w:jc w:val="both"/>
      </w:pPr>
      <w:r>
        <w:rPr>
          <w:rFonts w:ascii="Times New Roman"/>
          <w:b w:val="false"/>
          <w:i w:val="false"/>
          <w:color w:val="000000"/>
          <w:sz w:val="28"/>
        </w:rPr>
        <w:t>
      гарантия того, что при необходимости исследования дефекта или отзыва серии уполномоченное лицо, которое выдало разрешение на ее выпуск, и соответствующие записи могут быть легко идентифицированы.</w:t>
      </w:r>
    </w:p>
    <w:bookmarkEnd w:id="5603"/>
    <w:bookmarkStart w:name="z5751" w:id="5604"/>
    <w:p>
      <w:pPr>
        <w:spacing w:after="0"/>
        <w:ind w:left="0"/>
        <w:jc w:val="both"/>
      </w:pPr>
      <w:r>
        <w:rPr>
          <w:rFonts w:ascii="Times New Roman"/>
          <w:b w:val="false"/>
          <w:i w:val="false"/>
          <w:color w:val="000000"/>
          <w:sz w:val="28"/>
        </w:rPr>
        <w:t>
      3. Введение</w:t>
      </w:r>
    </w:p>
    <w:bookmarkEnd w:id="5604"/>
    <w:bookmarkStart w:name="z5752" w:id="5605"/>
    <w:p>
      <w:pPr>
        <w:spacing w:after="0"/>
        <w:ind w:left="0"/>
        <w:jc w:val="both"/>
      </w:pPr>
      <w:r>
        <w:rPr>
          <w:rFonts w:ascii="Times New Roman"/>
          <w:b w:val="false"/>
          <w:i w:val="false"/>
          <w:color w:val="000000"/>
          <w:sz w:val="28"/>
        </w:rPr>
        <w:t>
      3.1. Производство серии лекарственных препаратов, в том числе контроль качества, разделяется на стадии, которые выполняются на разных производственных площадках и разными производителями. Каждая стадия выполняется согласно соответствующему регистрационному досье, требованиям Стандарта, актов. Этим руководствуется уполномоченное лицо, осуществляющее процедуру подтверждения соответствия серии готовой продукции установленным требованиям перед ее выпуском.</w:t>
      </w:r>
    </w:p>
    <w:bookmarkEnd w:id="5605"/>
    <w:bookmarkStart w:name="z5753" w:id="5606"/>
    <w:p>
      <w:pPr>
        <w:spacing w:after="0"/>
        <w:ind w:left="0"/>
        <w:jc w:val="both"/>
      </w:pPr>
      <w:r>
        <w:rPr>
          <w:rFonts w:ascii="Times New Roman"/>
          <w:b w:val="false"/>
          <w:i w:val="false"/>
          <w:color w:val="000000"/>
          <w:sz w:val="28"/>
        </w:rPr>
        <w:t>
      3.2. В условиях промышленного производства, как правило, одно уполномоченное лицо не имеет возможности тщательно изучить каждую стадию производства. Уполномоченное лицо, которое подтверждает соответствие серии готовой продукции, по отдельным вопросам может опираться на заключения других уполномоченных лиц.</w:t>
      </w:r>
    </w:p>
    <w:bookmarkEnd w:id="5606"/>
    <w:bookmarkStart w:name="z5754" w:id="5607"/>
    <w:p>
      <w:pPr>
        <w:spacing w:after="0"/>
        <w:ind w:left="0"/>
        <w:jc w:val="both"/>
      </w:pPr>
      <w:r>
        <w:rPr>
          <w:rFonts w:ascii="Times New Roman"/>
          <w:b w:val="false"/>
          <w:i w:val="false"/>
          <w:color w:val="000000"/>
          <w:sz w:val="28"/>
        </w:rPr>
        <w:t>
      таких случаях уполномоченное лицо предварительно удостоверяется в обоснованности такого доверия исходя из личного опыта или на основании подтверждения другими уполномоченными лицами в рамках признаваемой им системы качества.</w:t>
      </w:r>
    </w:p>
    <w:bookmarkEnd w:id="5607"/>
    <w:bookmarkStart w:name="z5755" w:id="5608"/>
    <w:p>
      <w:pPr>
        <w:spacing w:after="0"/>
        <w:ind w:left="0"/>
        <w:jc w:val="both"/>
      </w:pPr>
      <w:r>
        <w:rPr>
          <w:rFonts w:ascii="Times New Roman"/>
          <w:b w:val="false"/>
          <w:i w:val="false"/>
          <w:color w:val="000000"/>
          <w:sz w:val="28"/>
        </w:rPr>
        <w:t>
      3.3. При выполнении отдельных стадий производства в третьей стране аналогичные требования к соответствию производства и проведению контроля качества предъявляются и к участнику производства в этой стране. В этом случае производство лекарственных препаратов также осуществляется в соответствии с требованиями регистрационного досье. Производитель имеет лицензию на осуществление своей деятельности в соответствии с законом своей страны и выполнять требования Стандарта надлежащего производства.</w:t>
      </w:r>
    </w:p>
    <w:bookmarkEnd w:id="5608"/>
    <w:bookmarkStart w:name="z5756" w:id="5609"/>
    <w:p>
      <w:pPr>
        <w:spacing w:after="0"/>
        <w:ind w:left="0"/>
        <w:jc w:val="both"/>
      </w:pPr>
      <w:r>
        <w:rPr>
          <w:rFonts w:ascii="Times New Roman"/>
          <w:b w:val="false"/>
          <w:i w:val="false"/>
          <w:color w:val="000000"/>
          <w:sz w:val="28"/>
        </w:rPr>
        <w:t>
      3.4. Некоторым используемым в настоящем документе терминам присвоены конкретные значения, приведенные в разделе "Термины и определения" данного документа.</w:t>
      </w:r>
    </w:p>
    <w:bookmarkEnd w:id="5609"/>
    <w:bookmarkStart w:name="z5757" w:id="5610"/>
    <w:p>
      <w:pPr>
        <w:spacing w:after="0"/>
        <w:ind w:left="0"/>
        <w:jc w:val="both"/>
      </w:pPr>
      <w:r>
        <w:rPr>
          <w:rFonts w:ascii="Times New Roman"/>
          <w:b w:val="false"/>
          <w:i w:val="false"/>
          <w:color w:val="000000"/>
          <w:sz w:val="28"/>
        </w:rPr>
        <w:t>
      4. Общие требования</w:t>
      </w:r>
    </w:p>
    <w:bookmarkEnd w:id="5610"/>
    <w:bookmarkStart w:name="z5758" w:id="5611"/>
    <w:p>
      <w:pPr>
        <w:spacing w:after="0"/>
        <w:ind w:left="0"/>
        <w:jc w:val="both"/>
      </w:pPr>
      <w:r>
        <w:rPr>
          <w:rFonts w:ascii="Times New Roman"/>
          <w:b w:val="false"/>
          <w:i w:val="false"/>
          <w:color w:val="000000"/>
          <w:sz w:val="28"/>
        </w:rPr>
        <w:t>
      4.1. Различные стадии (этапы) производства, ввоза, контроля и хранения одной и той же серии готовой продукции перед ее выпуском могут осуществляться на разных производственных площадках. Все эти производственные площадки имеют одну или раздельные лицензии на производство и осуществлять деятельность под контролем, по крайней мере, одного уполномоченного лица, подтверждающего соответствие этой серии установленным требованиям до ее выпуска. Однако надлежащее производство конкретной серии продукции, независимо от числа задействованных участков, находится под общим надзором уполномоченного лица, подтверждающего соответствие этой серии готовой продукции установленным требованиям перед выпуском.</w:t>
      </w:r>
    </w:p>
    <w:bookmarkEnd w:id="5611"/>
    <w:bookmarkStart w:name="z5759" w:id="5612"/>
    <w:p>
      <w:pPr>
        <w:spacing w:after="0"/>
        <w:ind w:left="0"/>
        <w:jc w:val="both"/>
      </w:pPr>
      <w:r>
        <w:rPr>
          <w:rFonts w:ascii="Times New Roman"/>
          <w:b w:val="false"/>
          <w:i w:val="false"/>
          <w:color w:val="000000"/>
          <w:sz w:val="28"/>
        </w:rPr>
        <w:t>
      4.2. Различные серии продукции производятся или импортируются и выпускаться в продажу в разных странах, имеющих соглашение о взаимном признании условий производства и реализации. При этом держатель регистрационного удостоверения, а также каждая производственная площадка, имеющая право на выпуск серии продукции, имеет в своем распоряжении точное указание адреса площадки, на которой была выпущена конкретная серия продукции, и информацию об уполномоченном лице, ответственном за подтверждение соответствия ее качества установленным требованиям.</w:t>
      </w:r>
    </w:p>
    <w:bookmarkEnd w:id="5612"/>
    <w:bookmarkStart w:name="z5760" w:id="5613"/>
    <w:p>
      <w:pPr>
        <w:spacing w:after="0"/>
        <w:ind w:left="0"/>
        <w:jc w:val="both"/>
      </w:pPr>
      <w:r>
        <w:rPr>
          <w:rFonts w:ascii="Times New Roman"/>
          <w:b w:val="false"/>
          <w:i w:val="false"/>
          <w:color w:val="000000"/>
          <w:sz w:val="28"/>
        </w:rPr>
        <w:t>
      4.3. Уполномоченное лицо, подтверждающее соответствие серии готовой продукции установленным требованиям перед выдачей разрешения на выпуск, может основывать свое решение на личном знании всех используемых в производстве помещений и процессов, опыте участвовавшего в производстве персонала и применяемой системы качества, в рамках которой осуществляется производство. Оно может также опираться на заключение со стороны одного или более уполномоченных лиц о соответствии промежуточных стадий производства принятой уполномоченным лицом системе качества.</w:t>
      </w:r>
    </w:p>
    <w:bookmarkEnd w:id="5613"/>
    <w:bookmarkStart w:name="z5761" w:id="5614"/>
    <w:p>
      <w:pPr>
        <w:spacing w:after="0"/>
        <w:ind w:left="0"/>
        <w:jc w:val="both"/>
      </w:pPr>
      <w:r>
        <w:rPr>
          <w:rFonts w:ascii="Times New Roman"/>
          <w:b w:val="false"/>
          <w:i w:val="false"/>
          <w:color w:val="000000"/>
          <w:sz w:val="28"/>
        </w:rPr>
        <w:t>
      Такое подтверждение, выдаваемое другими уполномоченными лицами, оформлено документально и ясно определяет предмет подтверждения соответствия. Проводимые для выполнения этой задачи систематические мероприятия указаны в письменном договоре.</w:t>
      </w:r>
    </w:p>
    <w:bookmarkEnd w:id="5614"/>
    <w:bookmarkStart w:name="z5762" w:id="5615"/>
    <w:p>
      <w:pPr>
        <w:spacing w:after="0"/>
        <w:ind w:left="0"/>
        <w:jc w:val="both"/>
      </w:pPr>
      <w:r>
        <w:rPr>
          <w:rFonts w:ascii="Times New Roman"/>
          <w:b w:val="false"/>
          <w:i w:val="false"/>
          <w:color w:val="000000"/>
          <w:sz w:val="28"/>
        </w:rPr>
        <w:t>
      4.4. Договор, указанный выше, требуется в тех случаях, когда уполномоченное лицо опирается на заключение другого уполномоченного лица. Этот договор в целом соответствует положениям главы 7 Стандарта. Уполномоченное лицо, подтверждающее соответствие серии готовой продукции установленным требованиям, гарантирует выполнение мероприятий, определенных в указанном договоре. Форма такого договора соответствует взаимоотношениям сторон. Например, оно представляет собой стандартную операционную процедуру в рамках предприятия или официальный договор между различными предприятиями, даже если они входят в одну и ту же группу компаний.</w:t>
      </w:r>
    </w:p>
    <w:bookmarkEnd w:id="5615"/>
    <w:bookmarkStart w:name="z5763" w:id="5616"/>
    <w:p>
      <w:pPr>
        <w:spacing w:after="0"/>
        <w:ind w:left="0"/>
        <w:jc w:val="both"/>
      </w:pPr>
      <w:r>
        <w:rPr>
          <w:rFonts w:ascii="Times New Roman"/>
          <w:b w:val="false"/>
          <w:i w:val="false"/>
          <w:color w:val="000000"/>
          <w:sz w:val="28"/>
        </w:rPr>
        <w:t>
      4.5. Указанный договор включает в себя обязательство со стороны поставщика нерасфасованного или промежуточного продукта ставит в известность получателя(ей) продукции обо всех отклонениях, результатах, выходящих за рамки спецификаций, несоответствиях требованиям настоящих Стандарта, расследованиях, претензиях или других событиях, которые принимает во внимание уполномоченное лицо, ответственное за подтверждение соответствия серии готовой продукции всем установленным требованиям.</w:t>
      </w:r>
    </w:p>
    <w:bookmarkEnd w:id="5616"/>
    <w:bookmarkStart w:name="z5764" w:id="5617"/>
    <w:p>
      <w:pPr>
        <w:spacing w:after="0"/>
        <w:ind w:left="0"/>
        <w:jc w:val="both"/>
      </w:pPr>
      <w:r>
        <w:rPr>
          <w:rFonts w:ascii="Times New Roman"/>
          <w:b w:val="false"/>
          <w:i w:val="false"/>
          <w:color w:val="000000"/>
          <w:sz w:val="28"/>
        </w:rPr>
        <w:t>
      4.6. Если для документального оформления подтверждения соответствия и выдачи разрешения на выпуск серии продукции используют компьютеризированную систему, обращают особое внимание на выполнение требований, приведенных в Приложении 11 настоящего Стандарта.</w:t>
      </w:r>
    </w:p>
    <w:bookmarkEnd w:id="5617"/>
    <w:bookmarkStart w:name="z5765" w:id="5618"/>
    <w:p>
      <w:pPr>
        <w:spacing w:after="0"/>
        <w:ind w:left="0"/>
        <w:jc w:val="both"/>
      </w:pPr>
      <w:r>
        <w:rPr>
          <w:rFonts w:ascii="Times New Roman"/>
          <w:b w:val="false"/>
          <w:i w:val="false"/>
          <w:color w:val="000000"/>
          <w:sz w:val="28"/>
        </w:rPr>
        <w:t>
      4.7. При наличии подтверждения соответствия серии готовой продукции, выданного Уполномоченным лицом, не требуется повторения этой процедуры в странах, имеющих соглашение о взаимном признании результатов подобной процедуры.</w:t>
      </w:r>
    </w:p>
    <w:bookmarkEnd w:id="5618"/>
    <w:bookmarkStart w:name="z5766" w:id="5619"/>
    <w:p>
      <w:pPr>
        <w:spacing w:after="0"/>
        <w:ind w:left="0"/>
        <w:jc w:val="both"/>
      </w:pPr>
      <w:r>
        <w:rPr>
          <w:rFonts w:ascii="Times New Roman"/>
          <w:b w:val="false"/>
          <w:i w:val="false"/>
          <w:color w:val="000000"/>
          <w:sz w:val="28"/>
        </w:rPr>
        <w:t>
      4.8. Вне зависимости от конкретных мероприятий по подтверждению соответствия и выпуску серий существуют процедура быстрого выявления и отзыва всей продукции, которая представляет опасность для потребителей вследствие дефекта серии.</w:t>
      </w:r>
    </w:p>
    <w:bookmarkEnd w:id="5619"/>
    <w:bookmarkStart w:name="z5767" w:id="5620"/>
    <w:p>
      <w:pPr>
        <w:spacing w:after="0"/>
        <w:ind w:left="0"/>
        <w:jc w:val="both"/>
      </w:pPr>
      <w:r>
        <w:rPr>
          <w:rFonts w:ascii="Times New Roman"/>
          <w:b w:val="false"/>
          <w:i w:val="false"/>
          <w:color w:val="000000"/>
          <w:sz w:val="28"/>
        </w:rPr>
        <w:t>
      Проведение испытаний и выпуск серии продукции</w:t>
      </w:r>
    </w:p>
    <w:bookmarkEnd w:id="5620"/>
    <w:bookmarkStart w:name="z5768" w:id="5621"/>
    <w:p>
      <w:pPr>
        <w:spacing w:after="0"/>
        <w:ind w:left="0"/>
        <w:jc w:val="both"/>
      </w:pPr>
      <w:r>
        <w:rPr>
          <w:rFonts w:ascii="Times New Roman"/>
          <w:b w:val="false"/>
          <w:i w:val="false"/>
          <w:color w:val="000000"/>
          <w:sz w:val="28"/>
        </w:rPr>
        <w:t>
      5.1. Производство расположено на одной лицензированной производственной площадке.</w:t>
      </w:r>
    </w:p>
    <w:bookmarkEnd w:id="5621"/>
    <w:bookmarkStart w:name="z5769" w:id="5622"/>
    <w:p>
      <w:pPr>
        <w:spacing w:after="0"/>
        <w:ind w:left="0"/>
        <w:jc w:val="both"/>
      </w:pPr>
      <w:r>
        <w:rPr>
          <w:rFonts w:ascii="Times New Roman"/>
          <w:b w:val="false"/>
          <w:i w:val="false"/>
          <w:color w:val="000000"/>
          <w:sz w:val="28"/>
        </w:rPr>
        <w:t>
      Если все стадии производства и контроля осуществляются на одной производственной площадке, выполнение отдельных проверок может быть передано другим лицам. Уполномоченное лицо этой производственной площадки, подтверждающее соответствие серии готовой продукции, обычно несет персональную ответственность за это рамках установленной системы качества. Однако оно может принимать во внимание также подтверждение в отношении промежуточных стадий, выданное на участке другими уполномоченными лицами, которые несут ответственность за эти стадии.</w:t>
      </w:r>
    </w:p>
    <w:bookmarkEnd w:id="5622"/>
    <w:bookmarkStart w:name="z5770" w:id="5623"/>
    <w:p>
      <w:pPr>
        <w:spacing w:after="0"/>
        <w:ind w:left="0"/>
        <w:jc w:val="both"/>
      </w:pPr>
      <w:r>
        <w:rPr>
          <w:rFonts w:ascii="Times New Roman"/>
          <w:b w:val="false"/>
          <w:i w:val="false"/>
          <w:color w:val="000000"/>
          <w:sz w:val="28"/>
        </w:rPr>
        <w:t>
      5.2. Различные стадии производства выполняются в разных местах.</w:t>
      </w:r>
    </w:p>
    <w:bookmarkEnd w:id="5623"/>
    <w:bookmarkStart w:name="z5771" w:id="5624"/>
    <w:p>
      <w:pPr>
        <w:spacing w:after="0"/>
        <w:ind w:left="0"/>
        <w:jc w:val="both"/>
      </w:pPr>
      <w:r>
        <w:rPr>
          <w:rFonts w:ascii="Times New Roman"/>
          <w:b w:val="false"/>
          <w:i w:val="false"/>
          <w:color w:val="000000"/>
          <w:sz w:val="28"/>
        </w:rPr>
        <w:t>
      Если различные стадии производства серии продукции осуществляются на разных производственных площадках в пределах одной организации (независимо от того, распространяется ли на них одна и та же лицензия на производство или нет), то уполномоченное лицо отвечает за каждую стадию производства. Подтверждение соответствия серии готовой продукции установленным требованиям выполняются уполномоченным лицом производителя, которое либо несет персональную ответственность за все стадии производства, либо принимает во внимание заключения о предшествующих стадиях, сделанные уполномоченными лицами, ответственными за эти стадии.</w:t>
      </w:r>
    </w:p>
    <w:bookmarkEnd w:id="5624"/>
    <w:bookmarkStart w:name="z5772" w:id="5625"/>
    <w:p>
      <w:pPr>
        <w:spacing w:after="0"/>
        <w:ind w:left="0"/>
        <w:jc w:val="both"/>
      </w:pPr>
      <w:r>
        <w:rPr>
          <w:rFonts w:ascii="Times New Roman"/>
          <w:b w:val="false"/>
          <w:i w:val="false"/>
          <w:color w:val="000000"/>
          <w:sz w:val="28"/>
        </w:rPr>
        <w:t>
      5.3. Некоторые промежуточные стадии производства осуществляются по контракту другой организацией.</w:t>
      </w:r>
    </w:p>
    <w:bookmarkEnd w:id="5625"/>
    <w:bookmarkStart w:name="z5773" w:id="5626"/>
    <w:p>
      <w:pPr>
        <w:spacing w:after="0"/>
        <w:ind w:left="0"/>
        <w:jc w:val="both"/>
      </w:pPr>
      <w:r>
        <w:rPr>
          <w:rFonts w:ascii="Times New Roman"/>
          <w:b w:val="false"/>
          <w:i w:val="false"/>
          <w:color w:val="000000"/>
          <w:sz w:val="28"/>
        </w:rPr>
        <w:t>
      Одна или более промежуточных стадий производства и контроля качества могут выполняться в другой организации по контракту держателем лицензии на производство. Уполномоченное лицо заказчика может принимать во внимание заключение уполномоченного лица исполнителя о соответствующей стадии, но оно несет ответственность за гарантию того, что эта работа выполняется в соответствии с условиями письменного договора. Подтверждение соответствия серии готовой продукции установленным требованиям выполнено уполномоченным лицом производителя, ответственного за выпуск серии продукции.</w:t>
      </w:r>
    </w:p>
    <w:bookmarkEnd w:id="5626"/>
    <w:bookmarkStart w:name="z5774" w:id="5627"/>
    <w:p>
      <w:pPr>
        <w:spacing w:after="0"/>
        <w:ind w:left="0"/>
        <w:jc w:val="both"/>
      </w:pPr>
      <w:r>
        <w:rPr>
          <w:rFonts w:ascii="Times New Roman"/>
          <w:b w:val="false"/>
          <w:i w:val="false"/>
          <w:color w:val="000000"/>
          <w:sz w:val="28"/>
        </w:rPr>
        <w:t>
      5.4. Из серии нерасфасованной продукции на разных производственных площадках производятся несколько серий готовой продукции, которые выпускаются на рынок на основании одного регистрационного удостоверения.</w:t>
      </w:r>
    </w:p>
    <w:bookmarkEnd w:id="5627"/>
    <w:bookmarkStart w:name="z5775" w:id="5628"/>
    <w:p>
      <w:pPr>
        <w:spacing w:after="0"/>
        <w:ind w:left="0"/>
        <w:jc w:val="both"/>
      </w:pPr>
      <w:r>
        <w:rPr>
          <w:rFonts w:ascii="Times New Roman"/>
          <w:b w:val="false"/>
          <w:i w:val="false"/>
          <w:color w:val="000000"/>
          <w:sz w:val="28"/>
        </w:rPr>
        <w:t>
      5.4.1. Уполномоченное лицо держателя лицензии на производство лекарственных средств, выпускающее серию нерасфасованной продукции, может подтверждать соответствие всех серий готовой продукции перед их выпуском. В этом случае уполномоченное лицо либо берет на себя персональную ответственность за все стадии производства, либо принимает во внимание заключения о качестве серий продукции, полученные от Уполномоченных лиц с мест выпуска серий готовой продукции.</w:t>
      </w:r>
    </w:p>
    <w:bookmarkEnd w:id="5628"/>
    <w:bookmarkStart w:name="z5776" w:id="5629"/>
    <w:p>
      <w:pPr>
        <w:spacing w:after="0"/>
        <w:ind w:left="0"/>
        <w:jc w:val="both"/>
      </w:pPr>
      <w:r>
        <w:rPr>
          <w:rFonts w:ascii="Times New Roman"/>
          <w:b w:val="false"/>
          <w:i w:val="false"/>
          <w:color w:val="000000"/>
          <w:sz w:val="28"/>
        </w:rPr>
        <w:t>
      5.4.2. Допускается также подтверждение соответствия каждой серии готовой продукции до момента ее выпуска уполномоченным лицом производителя, который выполнил последнюю производственную операцию, предшествующую выпуску серии готовой продукции. В этом случае оно либо берет на себя персональную ответственность за все стадии производства, либо принимает во внимание заключение о качестве серии, полученное от уполномоченного лица с места выпуска серии нерасфасованной продукции.</w:t>
      </w:r>
    </w:p>
    <w:bookmarkEnd w:id="5629"/>
    <w:bookmarkStart w:name="z5777" w:id="5630"/>
    <w:p>
      <w:pPr>
        <w:spacing w:after="0"/>
        <w:ind w:left="0"/>
        <w:jc w:val="both"/>
      </w:pPr>
      <w:r>
        <w:rPr>
          <w:rFonts w:ascii="Times New Roman"/>
          <w:b w:val="false"/>
          <w:i w:val="false"/>
          <w:color w:val="000000"/>
          <w:sz w:val="28"/>
        </w:rPr>
        <w:t>
      5.4.3. Во всех случаях организации производства готовой продукции в разных местах на разных производственных площадках в рамках одного регистрационного удостоверения определено одно лицо (как правило, уполномоченное лицо производителя серии нерасфасованной продукции), которое несет полную ответственность за выпуск всех серий готовой продукции, полученных из одной серии нерасфасованной продукции. Это лицо знает о любых проблемах, связанных с качеством любой серии готовой продукции, и координирует осуществление всех необходимых мер, предпринимаемых в связи с наличием проблемы в отношении серии нерасфасованной продукции.</w:t>
      </w:r>
    </w:p>
    <w:bookmarkEnd w:id="5630"/>
    <w:bookmarkStart w:name="z5778" w:id="5631"/>
    <w:p>
      <w:pPr>
        <w:spacing w:after="0"/>
        <w:ind w:left="0"/>
        <w:jc w:val="both"/>
      </w:pPr>
      <w:r>
        <w:rPr>
          <w:rFonts w:ascii="Times New Roman"/>
          <w:b w:val="false"/>
          <w:i w:val="false"/>
          <w:color w:val="000000"/>
          <w:sz w:val="28"/>
        </w:rPr>
        <w:t>
      Хотя номера серий нерасфасованной и готовой продукции необязательно совпадают, необходимо документально оформить связь между номерами этих серий, чтобы обеспечить прослеживание при аудите.</w:t>
      </w:r>
    </w:p>
    <w:bookmarkEnd w:id="5631"/>
    <w:bookmarkStart w:name="z5779" w:id="5632"/>
    <w:p>
      <w:pPr>
        <w:spacing w:after="0"/>
        <w:ind w:left="0"/>
        <w:jc w:val="both"/>
      </w:pPr>
      <w:r>
        <w:rPr>
          <w:rFonts w:ascii="Times New Roman"/>
          <w:b w:val="false"/>
          <w:i w:val="false"/>
          <w:color w:val="000000"/>
          <w:sz w:val="28"/>
        </w:rPr>
        <w:t>
      5.5. Из серии нерасфасованной продукции в разных местах на разных производственных площадках производится несколько серий готовой продукции, которые выпускаются на основании разных регистрационных удостоверений. Это происходит, например, когда транснациональная компания владеет национальными регистрационными удостоверениями на лекарственный препарат или производитель воспроизведенных лекарственных препаратов приобретает нерасфасованный лекарственный препарат и выпускает готовый лекарственный препарат по своему собственному регистрационному удостоверению.</w:t>
      </w:r>
    </w:p>
    <w:bookmarkEnd w:id="5632"/>
    <w:bookmarkStart w:name="z5780" w:id="5633"/>
    <w:p>
      <w:pPr>
        <w:spacing w:after="0"/>
        <w:ind w:left="0"/>
        <w:jc w:val="both"/>
      </w:pPr>
      <w:r>
        <w:rPr>
          <w:rFonts w:ascii="Times New Roman"/>
          <w:b w:val="false"/>
          <w:i w:val="false"/>
          <w:color w:val="000000"/>
          <w:sz w:val="28"/>
        </w:rPr>
        <w:t>
      5.5.1. Уполномоченное лицо производителя готовой продукции, подтверждающее соответствие серии готовой продукции установленным требованиям, может либо взять на себя персональную ответственность за все стадии производства, либо основываться на заключении, полученном от уполномоченного лица производителя нерасфасованной продукции.</w:t>
      </w:r>
    </w:p>
    <w:bookmarkEnd w:id="5633"/>
    <w:bookmarkStart w:name="z5781" w:id="5634"/>
    <w:p>
      <w:pPr>
        <w:spacing w:after="0"/>
        <w:ind w:left="0"/>
        <w:jc w:val="both"/>
      </w:pPr>
      <w:r>
        <w:rPr>
          <w:rFonts w:ascii="Times New Roman"/>
          <w:b w:val="false"/>
          <w:i w:val="false"/>
          <w:color w:val="000000"/>
          <w:sz w:val="28"/>
        </w:rPr>
        <w:t>
      5.5.2. Любая проблема, связанная с качеством любой серии готовой продукции, источником которой могла явиться исходная серия нерасфасованной продукции, сообщена уполномоченному лицу, ответственному за подтверждение качества этой серии нерасфасованной продукции. После этого указанное уполномоченное лицо предпринимает все необходимые действия в отношении всех серий готовой продукции, произведенных из данной серии нерасфасованной продукции. Порядок действий в этом случае установлен в письменном соглашении.</w:t>
      </w:r>
    </w:p>
    <w:bookmarkEnd w:id="5634"/>
    <w:bookmarkStart w:name="z5782" w:id="5635"/>
    <w:p>
      <w:pPr>
        <w:spacing w:after="0"/>
        <w:ind w:left="0"/>
        <w:jc w:val="both"/>
      </w:pPr>
      <w:r>
        <w:rPr>
          <w:rFonts w:ascii="Times New Roman"/>
          <w:b w:val="false"/>
          <w:i w:val="false"/>
          <w:color w:val="000000"/>
          <w:sz w:val="28"/>
        </w:rPr>
        <w:t>
      5.6. Серию готовой продукции закупает и реализует держатель лицензии на производство лекарственных средств в соответствии с собственным регистрационным удостоверением. Это происходит, например, когда предприятие, поставляющее воспроизведенный лекарственный препарат, является держателем регистрационного удостоверения на лекарственный препарат, производимый другим предприятием. В этом случае первое предприятие закупает готовую продукцию, соответствие которой еще не было подтверждено производителем, и выпускает ее на основании собственной лицензии на производство и собственного регистрационного удостоверения.</w:t>
      </w:r>
    </w:p>
    <w:bookmarkEnd w:id="5635"/>
    <w:bookmarkStart w:name="z5783" w:id="5636"/>
    <w:p>
      <w:pPr>
        <w:spacing w:after="0"/>
        <w:ind w:left="0"/>
        <w:jc w:val="both"/>
      </w:pPr>
      <w:r>
        <w:rPr>
          <w:rFonts w:ascii="Times New Roman"/>
          <w:b w:val="false"/>
          <w:i w:val="false"/>
          <w:color w:val="000000"/>
          <w:sz w:val="28"/>
        </w:rPr>
        <w:t>
      В этой ситуации уполномоченное лицо предприятия, закупающего продукцию и не имеющего документальных результатов подтверждения ее соответствия, само подтвердить соответствие установленным требованиям этой серии готовой продукции перед ее выпуском. При этом уполномоченное лицо закупающего предприятия принимает на себя ответственность за все стадии производства или основывается на заключении о качестве серии продукции уполномоченного лица предприятия-поставщика.</w:t>
      </w:r>
    </w:p>
    <w:bookmarkEnd w:id="5636"/>
    <w:bookmarkStart w:name="z5784" w:id="5637"/>
    <w:p>
      <w:pPr>
        <w:spacing w:after="0"/>
        <w:ind w:left="0"/>
        <w:jc w:val="both"/>
      </w:pPr>
      <w:r>
        <w:rPr>
          <w:rFonts w:ascii="Times New Roman"/>
          <w:b w:val="false"/>
          <w:i w:val="false"/>
          <w:color w:val="000000"/>
          <w:sz w:val="28"/>
        </w:rPr>
        <w:t>
      5.7. Лаборатория контроля качества лекарственных препаратов и производитель лекарственных препаратов являются разными организациями.</w:t>
      </w:r>
    </w:p>
    <w:bookmarkEnd w:id="5637"/>
    <w:bookmarkStart w:name="z5785" w:id="5638"/>
    <w:p>
      <w:pPr>
        <w:spacing w:after="0"/>
        <w:ind w:left="0"/>
        <w:jc w:val="both"/>
      </w:pPr>
      <w:r>
        <w:rPr>
          <w:rFonts w:ascii="Times New Roman"/>
          <w:b w:val="false"/>
          <w:i w:val="false"/>
          <w:color w:val="000000"/>
          <w:sz w:val="28"/>
        </w:rPr>
        <w:t>
      Уполномоченное лицо, подтверждающее соответствие серии готовой продукции установленным требованиям, может принять на себя ответственность за лабораторные испытания, проведенные подобной лабораторией или учитывать подтверждение в отношении испытаний, выданное другим уполномоченным лицом. При отсутствии такого подтверждения уполномоченное лицо знает работу данной лаборатории и методики, применяемые в ней для подтверждения соответствия качества данной готовой продукции.</w:t>
      </w:r>
    </w:p>
    <w:bookmarkEnd w:id="5638"/>
    <w:bookmarkStart w:name="z5786" w:id="5639"/>
    <w:p>
      <w:pPr>
        <w:spacing w:after="0"/>
        <w:ind w:left="0"/>
        <w:jc w:val="both"/>
      </w:pPr>
      <w:r>
        <w:rPr>
          <w:rFonts w:ascii="Times New Roman"/>
          <w:b w:val="false"/>
          <w:i w:val="false"/>
          <w:color w:val="000000"/>
          <w:sz w:val="28"/>
        </w:rPr>
        <w:t>
      6. Обязанности уполномоченного лица</w:t>
      </w:r>
    </w:p>
    <w:bookmarkEnd w:id="5639"/>
    <w:bookmarkStart w:name="z5787" w:id="5640"/>
    <w:p>
      <w:pPr>
        <w:spacing w:after="0"/>
        <w:ind w:left="0"/>
        <w:jc w:val="both"/>
      </w:pPr>
      <w:r>
        <w:rPr>
          <w:rFonts w:ascii="Times New Roman"/>
          <w:b w:val="false"/>
          <w:i w:val="false"/>
          <w:color w:val="000000"/>
          <w:sz w:val="28"/>
        </w:rPr>
        <w:t>
      6.1. Перед осуществлением подтверждения соответствия серии готовой продукции до ее выпуска уполномоченное лицо гарантирует, как минимум, выполнении следующих требований:</w:t>
      </w:r>
    </w:p>
    <w:bookmarkEnd w:id="5640"/>
    <w:bookmarkStart w:name="z5788" w:id="5641"/>
    <w:p>
      <w:pPr>
        <w:spacing w:after="0"/>
        <w:ind w:left="0"/>
        <w:jc w:val="both"/>
      </w:pPr>
      <w:r>
        <w:rPr>
          <w:rFonts w:ascii="Times New Roman"/>
          <w:b w:val="false"/>
          <w:i w:val="false"/>
          <w:color w:val="000000"/>
          <w:sz w:val="28"/>
        </w:rPr>
        <w:t>
      а) серия готовой продукции и процесс ее производства соответствуют положениям регистрационного досье;</w:t>
      </w:r>
    </w:p>
    <w:bookmarkEnd w:id="5641"/>
    <w:bookmarkStart w:name="z5789" w:id="5642"/>
    <w:p>
      <w:pPr>
        <w:spacing w:after="0"/>
        <w:ind w:left="0"/>
        <w:jc w:val="both"/>
      </w:pPr>
      <w:r>
        <w:rPr>
          <w:rFonts w:ascii="Times New Roman"/>
          <w:b w:val="false"/>
          <w:i w:val="false"/>
          <w:color w:val="000000"/>
          <w:sz w:val="28"/>
        </w:rPr>
        <w:t>
      b) серия готовой продукции произведена в соответствии с требованиями Стандарта, а для серии продукции, импортируемой из третьих стран - в соответствии со Стандартом надлежащего производства, по крайней мере, эквивалентными требованиям Стандарта;</w:t>
      </w:r>
    </w:p>
    <w:bookmarkEnd w:id="5642"/>
    <w:bookmarkStart w:name="z5790" w:id="5643"/>
    <w:p>
      <w:pPr>
        <w:spacing w:after="0"/>
        <w:ind w:left="0"/>
        <w:jc w:val="both"/>
      </w:pPr>
      <w:r>
        <w:rPr>
          <w:rFonts w:ascii="Times New Roman"/>
          <w:b w:val="false"/>
          <w:i w:val="false"/>
          <w:color w:val="000000"/>
          <w:sz w:val="28"/>
        </w:rPr>
        <w:t>
      с) основные процессы производства и методы контроля валидированы; учтены фактические условия производства в записях, относящиеся к серии (досье на серию) продукции;</w:t>
      </w:r>
    </w:p>
    <w:bookmarkEnd w:id="5643"/>
    <w:bookmarkStart w:name="z5791" w:id="5644"/>
    <w:p>
      <w:pPr>
        <w:spacing w:after="0"/>
        <w:ind w:left="0"/>
        <w:jc w:val="both"/>
      </w:pPr>
      <w:r>
        <w:rPr>
          <w:rFonts w:ascii="Times New Roman"/>
          <w:b w:val="false"/>
          <w:i w:val="false"/>
          <w:color w:val="000000"/>
          <w:sz w:val="28"/>
        </w:rPr>
        <w:t>
      d) любые отклонения или запланированные изменения в технологическом процессе или контроле качества были утверждены ответственными лицами в соответствии с определенной системой. О любых изменениях, требующих внесения изменения в регистрационное досье или лицензию на производство, осведомлен соответствующий уполномоченный орган и получено его разрешение на внесение такого изменения;</w:t>
      </w:r>
    </w:p>
    <w:bookmarkEnd w:id="5644"/>
    <w:bookmarkStart w:name="z5792" w:id="5645"/>
    <w:p>
      <w:pPr>
        <w:spacing w:after="0"/>
        <w:ind w:left="0"/>
        <w:jc w:val="both"/>
      </w:pPr>
      <w:r>
        <w:rPr>
          <w:rFonts w:ascii="Times New Roman"/>
          <w:b w:val="false"/>
          <w:i w:val="false"/>
          <w:color w:val="000000"/>
          <w:sz w:val="28"/>
        </w:rPr>
        <w:t>
      e) проведены все необходимые проверки и испытания (в том числе дополнительный отбор проб, инспектирование, проверки и испытания, проведенные ввиду отклонений в технологическом процессе или ввиду плановых изменений);</w:t>
      </w:r>
    </w:p>
    <w:bookmarkEnd w:id="5645"/>
    <w:bookmarkStart w:name="z5793" w:id="5646"/>
    <w:p>
      <w:pPr>
        <w:spacing w:after="0"/>
        <w:ind w:left="0"/>
        <w:jc w:val="both"/>
      </w:pPr>
      <w:r>
        <w:rPr>
          <w:rFonts w:ascii="Times New Roman"/>
          <w:b w:val="false"/>
          <w:i w:val="false"/>
          <w:color w:val="000000"/>
          <w:sz w:val="28"/>
        </w:rPr>
        <w:t>
      f) документация по производственному процессу и контролю качества составлена и утверждена уполномоченным персоналом;</w:t>
      </w:r>
    </w:p>
    <w:bookmarkEnd w:id="5646"/>
    <w:bookmarkStart w:name="z5794" w:id="5647"/>
    <w:p>
      <w:pPr>
        <w:spacing w:after="0"/>
        <w:ind w:left="0"/>
        <w:jc w:val="both"/>
      </w:pPr>
      <w:r>
        <w:rPr>
          <w:rFonts w:ascii="Times New Roman"/>
          <w:b w:val="false"/>
          <w:i w:val="false"/>
          <w:color w:val="000000"/>
          <w:sz w:val="28"/>
        </w:rPr>
        <w:t>
      g) все аудиты проведены в соответствии с требованиями системы обеспечения качества;</w:t>
      </w:r>
    </w:p>
    <w:bookmarkEnd w:id="5647"/>
    <w:bookmarkStart w:name="z5795" w:id="5648"/>
    <w:p>
      <w:pPr>
        <w:spacing w:after="0"/>
        <w:ind w:left="0"/>
        <w:jc w:val="both"/>
      </w:pPr>
      <w:r>
        <w:rPr>
          <w:rFonts w:ascii="Times New Roman"/>
          <w:b w:val="false"/>
          <w:i w:val="false"/>
          <w:color w:val="000000"/>
          <w:sz w:val="28"/>
        </w:rPr>
        <w:t>
      h) приняты во внимание все факторы, которые, по мнению уполномоченного лица, являются существенными для качества данной серии продукции.</w:t>
      </w:r>
    </w:p>
    <w:bookmarkEnd w:id="5648"/>
    <w:bookmarkStart w:name="z5796" w:id="5649"/>
    <w:p>
      <w:pPr>
        <w:spacing w:after="0"/>
        <w:ind w:left="0"/>
        <w:jc w:val="both"/>
      </w:pPr>
      <w:r>
        <w:rPr>
          <w:rFonts w:ascii="Times New Roman"/>
          <w:b w:val="false"/>
          <w:i w:val="false"/>
          <w:color w:val="000000"/>
          <w:sz w:val="28"/>
        </w:rPr>
        <w:t>
      Уполномоченное лицо может иметь дополнительные обязанности соответствии с законодательством или должностными инструкциями.</w:t>
      </w:r>
    </w:p>
    <w:bookmarkEnd w:id="5649"/>
    <w:bookmarkStart w:name="z5797" w:id="5650"/>
    <w:p>
      <w:pPr>
        <w:spacing w:after="0"/>
        <w:ind w:left="0"/>
        <w:jc w:val="both"/>
      </w:pPr>
      <w:r>
        <w:rPr>
          <w:rFonts w:ascii="Times New Roman"/>
          <w:b w:val="false"/>
          <w:i w:val="false"/>
          <w:color w:val="000000"/>
          <w:sz w:val="28"/>
        </w:rPr>
        <w:t>
      6.2. Уполномоченное лицо, подтверждающее соответствие промежуточной стадии производства согласно пункту 4.3 настоящего документа, имеет такие же вышеуказанные обязанности по отношению к этой стадии (если в договоре между уполномоченными лицами не указано другое).</w:t>
      </w:r>
    </w:p>
    <w:bookmarkEnd w:id="5650"/>
    <w:bookmarkStart w:name="z5798" w:id="5651"/>
    <w:p>
      <w:pPr>
        <w:spacing w:after="0"/>
        <w:ind w:left="0"/>
        <w:jc w:val="both"/>
      </w:pPr>
      <w:r>
        <w:rPr>
          <w:rFonts w:ascii="Times New Roman"/>
          <w:b w:val="false"/>
          <w:i w:val="false"/>
          <w:color w:val="000000"/>
          <w:sz w:val="28"/>
        </w:rPr>
        <w:t>
      6.3. Уполномоченное лицо поддерживает свою квалификацию на современном уровне в свете достижений научно-технического прогресса и учитывать изменения в системе управления качеством, имеющие отношение к продукции, соответствие которой установленным требованиям подтверждает уполномоченное лицо.</w:t>
      </w:r>
    </w:p>
    <w:bookmarkEnd w:id="5651"/>
    <w:bookmarkStart w:name="z5799" w:id="5652"/>
    <w:p>
      <w:pPr>
        <w:spacing w:after="0"/>
        <w:ind w:left="0"/>
        <w:jc w:val="both"/>
      </w:pPr>
      <w:r>
        <w:rPr>
          <w:rFonts w:ascii="Times New Roman"/>
          <w:b w:val="false"/>
          <w:i w:val="false"/>
          <w:color w:val="000000"/>
          <w:sz w:val="28"/>
        </w:rPr>
        <w:t>
      6.4. При привлечении уполномоченного лица к подтверждению соответствия серии продукции, которую он знает недостаточно (например, при освоении нового вида продукции или при переходе на другое предприятие), Уполномоченное лицо получает соответствующие знания и опыт, необходимые для выполнения этих обязанностей.</w:t>
      </w:r>
    </w:p>
    <w:bookmarkEnd w:id="5652"/>
    <w:bookmarkStart w:name="z5800" w:id="5653"/>
    <w:p>
      <w:pPr>
        <w:spacing w:after="0"/>
        <w:ind w:left="0"/>
        <w:jc w:val="both"/>
      </w:pPr>
      <w:r>
        <w:rPr>
          <w:rFonts w:ascii="Times New Roman"/>
          <w:b w:val="false"/>
          <w:i w:val="false"/>
          <w:color w:val="000000"/>
          <w:sz w:val="28"/>
        </w:rPr>
        <w:t>
      В соответствии с национальными требованиями на уполномоченное лицо может быть возложена обязанность уведомлять уполномоченные органы о таком изменении; это может потребовать повторной аттестации.</w:t>
      </w:r>
    </w:p>
    <w:bookmarkEnd w:id="5653"/>
    <w:bookmarkStart w:name="z5801" w:id="5654"/>
    <w:p>
      <w:pPr>
        <w:spacing w:after="0"/>
        <w:ind w:left="0"/>
        <w:jc w:val="both"/>
      </w:pPr>
      <w:r>
        <w:rPr>
          <w:rFonts w:ascii="Times New Roman"/>
          <w:b w:val="false"/>
          <w:i w:val="false"/>
          <w:color w:val="000000"/>
          <w:sz w:val="28"/>
        </w:rPr>
        <w:t>
      7. Термины и определения</w:t>
      </w:r>
    </w:p>
    <w:bookmarkEnd w:id="5654"/>
    <w:bookmarkStart w:name="z5802" w:id="5655"/>
    <w:p>
      <w:pPr>
        <w:spacing w:after="0"/>
        <w:ind w:left="0"/>
        <w:jc w:val="both"/>
      </w:pPr>
      <w:r>
        <w:rPr>
          <w:rFonts w:ascii="Times New Roman"/>
          <w:b w:val="false"/>
          <w:i w:val="false"/>
          <w:color w:val="000000"/>
          <w:sz w:val="28"/>
        </w:rPr>
        <w:t>
      Определенные слова и словосочетания в настоящем документе используются в определенных значениях, указанных ниже. Также следует обращаться к общему разделу "Термины и определения" Стандарта.</w:t>
      </w:r>
    </w:p>
    <w:bookmarkEnd w:id="5655"/>
    <w:bookmarkStart w:name="z5803" w:id="5656"/>
    <w:p>
      <w:pPr>
        <w:spacing w:after="0"/>
        <w:ind w:left="0"/>
        <w:jc w:val="both"/>
      </w:pPr>
      <w:r>
        <w:rPr>
          <w:rFonts w:ascii="Times New Roman"/>
          <w:b w:val="false"/>
          <w:i w:val="false"/>
          <w:color w:val="000000"/>
          <w:sz w:val="28"/>
        </w:rPr>
        <w:t>
      "импортер" (importer) - держатель лицензии на импорт лекарственных препаратов из третьих стран, если таковая предусмотрена законодательством;</w:t>
      </w:r>
    </w:p>
    <w:bookmarkEnd w:id="5656"/>
    <w:bookmarkStart w:name="z5804" w:id="5657"/>
    <w:p>
      <w:pPr>
        <w:spacing w:after="0"/>
        <w:ind w:left="0"/>
        <w:jc w:val="both"/>
      </w:pPr>
      <w:r>
        <w:rPr>
          <w:rFonts w:ascii="Times New Roman"/>
          <w:b w:val="false"/>
          <w:i w:val="false"/>
          <w:color w:val="000000"/>
          <w:sz w:val="28"/>
        </w:rPr>
        <w:t>
      "оценка соответствия серии готовой продукции" (certification of the finished product batch) - документальное оформление соответствия серии готовой продукции установленным требованиям до выпуска серии;</w:t>
      </w:r>
    </w:p>
    <w:bookmarkEnd w:id="5657"/>
    <w:bookmarkStart w:name="z5805" w:id="5658"/>
    <w:p>
      <w:pPr>
        <w:spacing w:after="0"/>
        <w:ind w:left="0"/>
        <w:jc w:val="both"/>
      </w:pPr>
      <w:r>
        <w:rPr>
          <w:rFonts w:ascii="Times New Roman"/>
          <w:b w:val="false"/>
          <w:i w:val="false"/>
          <w:color w:val="000000"/>
          <w:sz w:val="28"/>
        </w:rPr>
        <w:t>
      "подтверждение" (confirmation) - подписанное свидетельство того, что процесс или испытания выполнены в соответствии с требованиями настоящего Стандарта и требованиями, установленными при государственной регистрации, согласованное в письменной форме с уполномоченным лицом, отвечающим за оценку соответствия серии готовой продукции до ее выпуска;</w:t>
      </w:r>
    </w:p>
    <w:bookmarkEnd w:id="5658"/>
    <w:bookmarkStart w:name="z5806" w:id="5659"/>
    <w:p>
      <w:pPr>
        <w:spacing w:after="0"/>
        <w:ind w:left="0"/>
        <w:jc w:val="both"/>
      </w:pPr>
      <w:r>
        <w:rPr>
          <w:rFonts w:ascii="Times New Roman"/>
          <w:b w:val="false"/>
          <w:i w:val="false"/>
          <w:color w:val="000000"/>
          <w:sz w:val="28"/>
        </w:rPr>
        <w:t>
      "серия готовой продукции" (finished product batch) - в контексте настоящего документа означает серию продукции в окончательной упаковке, готовую к выпуску;</w:t>
      </w:r>
    </w:p>
    <w:bookmarkEnd w:id="5659"/>
    <w:bookmarkStart w:name="z5807" w:id="5660"/>
    <w:p>
      <w:pPr>
        <w:spacing w:after="0"/>
        <w:ind w:left="0"/>
        <w:jc w:val="both"/>
      </w:pPr>
      <w:r>
        <w:rPr>
          <w:rFonts w:ascii="Times New Roman"/>
          <w:b w:val="false"/>
          <w:i w:val="false"/>
          <w:color w:val="000000"/>
          <w:sz w:val="28"/>
        </w:rPr>
        <w:t>
      "серия нерасфасованной продукции" (bulk production batch) - серия продукции с размером, установленным при регистрации лекарственного препарата, либо готовая к фасовке в окончательную упаковку, либо находящаяся в индивидуальных упаковках и готовая для комплектования окончательных упаковок. Серия нерасфасованной продукции может содержать, например, жидкий нерасфасованный продукт, твердые лекарственные формы (таблетки или капсулы) или наполненные ампулы;</w:t>
      </w:r>
    </w:p>
    <w:bookmarkEnd w:id="5660"/>
    <w:bookmarkStart w:name="z5808" w:id="5661"/>
    <w:p>
      <w:pPr>
        <w:spacing w:after="0"/>
        <w:ind w:left="0"/>
        <w:jc w:val="both"/>
      </w:pPr>
      <w:r>
        <w:rPr>
          <w:rFonts w:ascii="Times New Roman"/>
          <w:b w:val="false"/>
          <w:i w:val="false"/>
          <w:color w:val="000000"/>
          <w:sz w:val="28"/>
        </w:rPr>
        <w:t>
      "соглашение о взаимном признании" (Mutual Recognition Agreement, MRA) - соглашение о взаимном признании инспекций со страной, в которой производятся (из которой поставляются) ввозимые лекарственные средств;</w:t>
      </w:r>
    </w:p>
    <w:bookmarkEnd w:id="5661"/>
    <w:bookmarkStart w:name="z5809" w:id="5662"/>
    <w:p>
      <w:pPr>
        <w:spacing w:after="0"/>
        <w:ind w:left="0"/>
        <w:jc w:val="both"/>
      </w:pPr>
      <w:r>
        <w:rPr>
          <w:rFonts w:ascii="Times New Roman"/>
          <w:b w:val="false"/>
          <w:i w:val="false"/>
          <w:color w:val="000000"/>
          <w:sz w:val="28"/>
        </w:rPr>
        <w:t>
      "уполномоченное лицо" (Qualified Person) - лицо, назначенное производителем лекарственных средств, которое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Стандарта надлежащей практики. Обязанности уполномоченного лица детально описаны в главе 2 части I Стандарта надлежащей практики.</w:t>
      </w:r>
    </w:p>
    <w:bookmarkEnd w:id="5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811" w:id="5663"/>
    <w:p>
      <w:pPr>
        <w:spacing w:after="0"/>
        <w:ind w:left="0"/>
        <w:jc w:val="left"/>
      </w:pPr>
      <w:r>
        <w:rPr>
          <w:rFonts w:ascii="Times New Roman"/>
          <w:b/>
          <w:i w:val="false"/>
          <w:color w:val="000000"/>
        </w:rPr>
        <w:t xml:space="preserve"> Требования к выпуску по параметрам</w:t>
      </w:r>
    </w:p>
    <w:bookmarkEnd w:id="5663"/>
    <w:bookmarkStart w:name="z5812" w:id="5664"/>
    <w:p>
      <w:pPr>
        <w:spacing w:after="0"/>
        <w:ind w:left="0"/>
        <w:jc w:val="both"/>
      </w:pPr>
      <w:r>
        <w:rPr>
          <w:rFonts w:ascii="Times New Roman"/>
          <w:b w:val="false"/>
          <w:i w:val="false"/>
          <w:color w:val="000000"/>
          <w:sz w:val="28"/>
        </w:rPr>
        <w:t>
      1. Принцип</w:t>
      </w:r>
    </w:p>
    <w:bookmarkEnd w:id="5664"/>
    <w:bookmarkStart w:name="z5813" w:id="5665"/>
    <w:p>
      <w:pPr>
        <w:spacing w:after="0"/>
        <w:ind w:left="0"/>
        <w:jc w:val="both"/>
      </w:pPr>
      <w:r>
        <w:rPr>
          <w:rFonts w:ascii="Times New Roman"/>
          <w:b w:val="false"/>
          <w:i w:val="false"/>
          <w:color w:val="000000"/>
          <w:sz w:val="28"/>
        </w:rPr>
        <w:t>
      1.1. Термин "выпуск по параметрам", используемый в настоящем документе, основан на определении, предложенном Европейской организацией по качеству, и подразумевает систему выпуска продукции, дающую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Стандарта надлежащей производственной практики, относящимся к выпуску по параметрам.</w:t>
      </w:r>
    </w:p>
    <w:bookmarkEnd w:id="5665"/>
    <w:bookmarkStart w:name="z5814" w:id="5666"/>
    <w:p>
      <w:pPr>
        <w:spacing w:after="0"/>
        <w:ind w:left="0"/>
        <w:jc w:val="both"/>
      </w:pPr>
      <w:r>
        <w:rPr>
          <w:rFonts w:ascii="Times New Roman"/>
          <w:b w:val="false"/>
          <w:i w:val="false"/>
          <w:color w:val="000000"/>
          <w:sz w:val="28"/>
        </w:rPr>
        <w:t>
      1.2. Выпуск по параметрам удовлетворяет основным требованиям Стандарта, включая соответствующие приложения к ним и изложенные ниже требования.</w:t>
      </w:r>
    </w:p>
    <w:bookmarkEnd w:id="5666"/>
    <w:bookmarkStart w:name="z5815" w:id="5667"/>
    <w:p>
      <w:pPr>
        <w:spacing w:after="0"/>
        <w:ind w:left="0"/>
        <w:jc w:val="both"/>
      </w:pPr>
      <w:r>
        <w:rPr>
          <w:rFonts w:ascii="Times New Roman"/>
          <w:b w:val="false"/>
          <w:i w:val="false"/>
          <w:color w:val="000000"/>
          <w:sz w:val="28"/>
        </w:rPr>
        <w:t>
      2. Выпуск по параметрам</w:t>
      </w:r>
    </w:p>
    <w:bookmarkEnd w:id="5667"/>
    <w:bookmarkStart w:name="z5816" w:id="5668"/>
    <w:p>
      <w:pPr>
        <w:spacing w:after="0"/>
        <w:ind w:left="0"/>
        <w:jc w:val="both"/>
      </w:pPr>
      <w:r>
        <w:rPr>
          <w:rFonts w:ascii="Times New Roman"/>
          <w:b w:val="false"/>
          <w:i w:val="false"/>
          <w:color w:val="000000"/>
          <w:sz w:val="28"/>
        </w:rPr>
        <w:t>
      2.1. Проведение всеобъемлющего комплекса проверок и контроля параметров в процессе производства может обеспечить более высокую гарантию соответствия готовой продукции спецификации, чем испытания готовой продукции.</w:t>
      </w:r>
    </w:p>
    <w:bookmarkEnd w:id="5668"/>
    <w:bookmarkStart w:name="z5817" w:id="5669"/>
    <w:p>
      <w:pPr>
        <w:spacing w:after="0"/>
        <w:ind w:left="0"/>
        <w:jc w:val="both"/>
      </w:pPr>
      <w:r>
        <w:rPr>
          <w:rFonts w:ascii="Times New Roman"/>
          <w:b w:val="false"/>
          <w:i w:val="false"/>
          <w:color w:val="000000"/>
          <w:sz w:val="28"/>
        </w:rPr>
        <w:t>
      2.2. Выпуск по параметрам может быть разрешен в отношении некоторых специальных параметров вместо обычного испытания готовой продукции. Разрешать выпуск по параметрам, отказывать в нем или аннулировать разрешение на выпуск по параметрам лица, отвечающие за оценку продукции, совместно с фармацевтическим инспекторатом, ответственным за контроль соблюдения Стандарта.</w:t>
      </w:r>
    </w:p>
    <w:bookmarkEnd w:id="5669"/>
    <w:bookmarkStart w:name="z5818" w:id="5670"/>
    <w:p>
      <w:pPr>
        <w:spacing w:after="0"/>
        <w:ind w:left="0"/>
        <w:jc w:val="both"/>
      </w:pPr>
      <w:r>
        <w:rPr>
          <w:rFonts w:ascii="Times New Roman"/>
          <w:b w:val="false"/>
          <w:i w:val="false"/>
          <w:color w:val="000000"/>
          <w:sz w:val="28"/>
        </w:rPr>
        <w:t>
      3. Выпуск по параметрам для стерильной продукции</w:t>
      </w:r>
    </w:p>
    <w:bookmarkEnd w:id="5670"/>
    <w:bookmarkStart w:name="z5819" w:id="5671"/>
    <w:p>
      <w:pPr>
        <w:spacing w:after="0"/>
        <w:ind w:left="0"/>
        <w:jc w:val="both"/>
      </w:pPr>
      <w:r>
        <w:rPr>
          <w:rFonts w:ascii="Times New Roman"/>
          <w:b w:val="false"/>
          <w:i w:val="false"/>
          <w:color w:val="000000"/>
          <w:sz w:val="28"/>
        </w:rPr>
        <w:t>
      3.1. Настоящий раздел устанавливает требования к выпуску по параметрам готовой продукции без проведения испытания на стерильность. Непроведение испытания на стерильность является правомерным только при наличии успешного подтверждения того, что заранее установленные условия при валидации процесса стерилизации были достигнуты.</w:t>
      </w:r>
    </w:p>
    <w:bookmarkEnd w:id="5671"/>
    <w:bookmarkStart w:name="z5820" w:id="5672"/>
    <w:p>
      <w:pPr>
        <w:spacing w:after="0"/>
        <w:ind w:left="0"/>
        <w:jc w:val="both"/>
      </w:pPr>
      <w:r>
        <w:rPr>
          <w:rFonts w:ascii="Times New Roman"/>
          <w:b w:val="false"/>
          <w:i w:val="false"/>
          <w:color w:val="000000"/>
          <w:sz w:val="28"/>
        </w:rPr>
        <w:t>
      3.2. Испытание на стерильность предоставляет возможность обнаружить только значительные нарушения в системе обеспечения стерильности, что обусловлено статистическими ограничениями метода.</w:t>
      </w:r>
    </w:p>
    <w:bookmarkEnd w:id="5672"/>
    <w:bookmarkStart w:name="z5821" w:id="5673"/>
    <w:p>
      <w:pPr>
        <w:spacing w:after="0"/>
        <w:ind w:left="0"/>
        <w:jc w:val="both"/>
      </w:pPr>
      <w:r>
        <w:rPr>
          <w:rFonts w:ascii="Times New Roman"/>
          <w:b w:val="false"/>
          <w:i w:val="false"/>
          <w:color w:val="000000"/>
          <w:sz w:val="28"/>
        </w:rPr>
        <w:t>
      3.3. Выпуск по параметрам допускается только в том случае, если данные, доказывающие правильность процесса стерилизации серии, сами по себе дают достаточную гарантию того, что запланированный и валидированный процесс стерилизации обеспечивает стерильность продукции.</w:t>
      </w:r>
    </w:p>
    <w:bookmarkEnd w:id="5673"/>
    <w:bookmarkStart w:name="z5822" w:id="5674"/>
    <w:p>
      <w:pPr>
        <w:spacing w:after="0"/>
        <w:ind w:left="0"/>
        <w:jc w:val="both"/>
      </w:pPr>
      <w:r>
        <w:rPr>
          <w:rFonts w:ascii="Times New Roman"/>
          <w:b w:val="false"/>
          <w:i w:val="false"/>
          <w:color w:val="000000"/>
          <w:sz w:val="28"/>
        </w:rPr>
        <w:t>
      3.4. В настоящее время выпуск по параметрам допускается только для лекарственных препаратов, подлежащих финишной стерилизации в первичной упаковке.</w:t>
      </w:r>
    </w:p>
    <w:bookmarkEnd w:id="5674"/>
    <w:bookmarkStart w:name="z5823" w:id="5675"/>
    <w:p>
      <w:pPr>
        <w:spacing w:after="0"/>
        <w:ind w:left="0"/>
        <w:jc w:val="both"/>
      </w:pPr>
      <w:r>
        <w:rPr>
          <w:rFonts w:ascii="Times New Roman"/>
          <w:b w:val="false"/>
          <w:i w:val="false"/>
          <w:color w:val="000000"/>
          <w:sz w:val="28"/>
        </w:rPr>
        <w:t>
      3.5. Для выпуска по параметрам применяются методы стерилизации, предусматривающие в соответствии с фармакопейными требованиями использование пара, сухожарового способа и ионизирующего излучения.</w:t>
      </w:r>
    </w:p>
    <w:bookmarkEnd w:id="5675"/>
    <w:bookmarkStart w:name="z5824" w:id="5676"/>
    <w:p>
      <w:pPr>
        <w:spacing w:after="0"/>
        <w:ind w:left="0"/>
        <w:jc w:val="both"/>
      </w:pPr>
      <w:r>
        <w:rPr>
          <w:rFonts w:ascii="Times New Roman"/>
          <w:b w:val="false"/>
          <w:i w:val="false"/>
          <w:color w:val="000000"/>
          <w:sz w:val="28"/>
        </w:rPr>
        <w:t>
      3.6. Выпуск по параметрам не применяется при производстве совершенно новых лекарственных препаратов, так как удовлетворительные результаты испытаний на стерильность в течение определенного периода времени являются частью критериев приемлемости. В отдельных случаях данные испытания на стерильность, уже имеющиеся для других препаратов, можно считать достаточными для нового препарата, в который внесено только незначительное изменение с точки зрения обеспечения стерильности.</w:t>
      </w:r>
    </w:p>
    <w:bookmarkEnd w:id="5676"/>
    <w:bookmarkStart w:name="z5825" w:id="5677"/>
    <w:p>
      <w:pPr>
        <w:spacing w:after="0"/>
        <w:ind w:left="0"/>
        <w:jc w:val="both"/>
      </w:pPr>
      <w:r>
        <w:rPr>
          <w:rFonts w:ascii="Times New Roman"/>
          <w:b w:val="false"/>
          <w:i w:val="false"/>
          <w:color w:val="000000"/>
          <w:sz w:val="28"/>
        </w:rPr>
        <w:t>
      3.7. Следует выполнить анализ рисков системы обеспечения стерильности, направленный на оценку случаев выпуска нестерильной продукции.</w:t>
      </w:r>
    </w:p>
    <w:bookmarkEnd w:id="5677"/>
    <w:bookmarkStart w:name="z5826" w:id="5678"/>
    <w:p>
      <w:pPr>
        <w:spacing w:after="0"/>
        <w:ind w:left="0"/>
        <w:jc w:val="both"/>
      </w:pPr>
      <w:r>
        <w:rPr>
          <w:rFonts w:ascii="Times New Roman"/>
          <w:b w:val="false"/>
          <w:i w:val="false"/>
          <w:color w:val="000000"/>
          <w:sz w:val="28"/>
        </w:rPr>
        <w:t>
      3.8. Предыдущий опыт работы производителя лекарственных препаратов свидетельствует о соответствии его производства требованиям Стандарта.</w:t>
      </w:r>
    </w:p>
    <w:bookmarkEnd w:id="5678"/>
    <w:bookmarkStart w:name="z5827" w:id="5679"/>
    <w:p>
      <w:pPr>
        <w:spacing w:after="0"/>
        <w:ind w:left="0"/>
        <w:jc w:val="both"/>
      </w:pPr>
      <w:r>
        <w:rPr>
          <w:rFonts w:ascii="Times New Roman"/>
          <w:b w:val="false"/>
          <w:i w:val="false"/>
          <w:color w:val="000000"/>
          <w:sz w:val="28"/>
        </w:rPr>
        <w:t>
      3.9. При оценке соответствия производства требованиям Стандарта учитывает выявленные случаи нарушения стерильности продукции, а также результаты испытаний на стерильность данного лекарственного препарата с точки зрения лекарственных препаратов, стерилизуемых таким же или аналогичным способом.</w:t>
      </w:r>
    </w:p>
    <w:bookmarkEnd w:id="5679"/>
    <w:bookmarkStart w:name="z5828" w:id="5680"/>
    <w:p>
      <w:pPr>
        <w:spacing w:after="0"/>
        <w:ind w:left="0"/>
        <w:jc w:val="both"/>
      </w:pPr>
      <w:r>
        <w:rPr>
          <w:rFonts w:ascii="Times New Roman"/>
          <w:b w:val="false"/>
          <w:i w:val="false"/>
          <w:color w:val="000000"/>
          <w:sz w:val="28"/>
        </w:rPr>
        <w:t>
      3.10. На участке производства и стерилизации, как правило, в наличии квалифицированный инженер, имеющий опыт работы по обеспечению стерильности, и квалифицированный микробиолог.</w:t>
      </w:r>
    </w:p>
    <w:bookmarkEnd w:id="5680"/>
    <w:bookmarkStart w:name="z5829" w:id="5681"/>
    <w:p>
      <w:pPr>
        <w:spacing w:after="0"/>
        <w:ind w:left="0"/>
        <w:jc w:val="both"/>
      </w:pPr>
      <w:r>
        <w:rPr>
          <w:rFonts w:ascii="Times New Roman"/>
          <w:b w:val="false"/>
          <w:i w:val="false"/>
          <w:color w:val="000000"/>
          <w:sz w:val="28"/>
        </w:rPr>
        <w:t>
      3.11. Разработка и первоначальная валидация гарантирует, что при соблюдении всех соответствующих условий будет выпускаться продукт одинакового качества.</w:t>
      </w:r>
    </w:p>
    <w:bookmarkEnd w:id="5681"/>
    <w:bookmarkStart w:name="z5830" w:id="5682"/>
    <w:p>
      <w:pPr>
        <w:spacing w:after="0"/>
        <w:ind w:left="0"/>
        <w:jc w:val="both"/>
      </w:pPr>
      <w:r>
        <w:rPr>
          <w:rFonts w:ascii="Times New Roman"/>
          <w:b w:val="false"/>
          <w:i w:val="false"/>
          <w:color w:val="000000"/>
          <w:sz w:val="28"/>
        </w:rPr>
        <w:t>
      3.12. Система контроля изменений предусматривает их рассмотрение персоналом, обеспечивающим стерильность.</w:t>
      </w:r>
    </w:p>
    <w:bookmarkEnd w:id="5682"/>
    <w:bookmarkStart w:name="z5831" w:id="5683"/>
    <w:p>
      <w:pPr>
        <w:spacing w:after="0"/>
        <w:ind w:left="0"/>
        <w:jc w:val="both"/>
      </w:pPr>
      <w:r>
        <w:rPr>
          <w:rFonts w:ascii="Times New Roman"/>
          <w:b w:val="false"/>
          <w:i w:val="false"/>
          <w:color w:val="000000"/>
          <w:sz w:val="28"/>
        </w:rPr>
        <w:t>
      3.13. Организовать систему контроля микробной контаминации лекарственного препарата перед стерилизацией.</w:t>
      </w:r>
    </w:p>
    <w:bookmarkEnd w:id="5683"/>
    <w:bookmarkStart w:name="z5832" w:id="5684"/>
    <w:p>
      <w:pPr>
        <w:spacing w:after="0"/>
        <w:ind w:left="0"/>
        <w:jc w:val="both"/>
      </w:pPr>
      <w:r>
        <w:rPr>
          <w:rFonts w:ascii="Times New Roman"/>
          <w:b w:val="false"/>
          <w:i w:val="false"/>
          <w:color w:val="000000"/>
          <w:sz w:val="28"/>
        </w:rPr>
        <w:t>
      3.14. Исключена возможность перепутывания продукции, прошедшей и не прошедшей стерилизацию, что обеспечивается путем физического разделения продукции или использованием электронных систем, прошедших валидацию.</w:t>
      </w:r>
    </w:p>
    <w:bookmarkEnd w:id="5684"/>
    <w:bookmarkStart w:name="z5833" w:id="5685"/>
    <w:p>
      <w:pPr>
        <w:spacing w:after="0"/>
        <w:ind w:left="0"/>
        <w:jc w:val="both"/>
      </w:pPr>
      <w:r>
        <w:rPr>
          <w:rFonts w:ascii="Times New Roman"/>
          <w:b w:val="false"/>
          <w:i w:val="false"/>
          <w:color w:val="000000"/>
          <w:sz w:val="28"/>
        </w:rPr>
        <w:t>
      3.15. Записи по стерилизации следует проверять на соответствие требованиям спецификации с использованием не менее 2 независимых систем контроля. Такой контроль может проводиться 2 сотрудниками или сотрудником и компьютерной системой, прошедшей валидацию.</w:t>
      </w:r>
    </w:p>
    <w:bookmarkEnd w:id="5685"/>
    <w:bookmarkStart w:name="z5834" w:id="5686"/>
    <w:p>
      <w:pPr>
        <w:spacing w:after="0"/>
        <w:ind w:left="0"/>
        <w:jc w:val="both"/>
      </w:pPr>
      <w:r>
        <w:rPr>
          <w:rFonts w:ascii="Times New Roman"/>
          <w:b w:val="false"/>
          <w:i w:val="false"/>
          <w:color w:val="000000"/>
          <w:sz w:val="28"/>
        </w:rPr>
        <w:t>
      3.16. Перед выпуском каждой серии продукции следует дополнительно подтвердить следующее:</w:t>
      </w:r>
    </w:p>
    <w:bookmarkEnd w:id="5686"/>
    <w:bookmarkStart w:name="z5835" w:id="5687"/>
    <w:p>
      <w:pPr>
        <w:spacing w:after="0"/>
        <w:ind w:left="0"/>
        <w:jc w:val="both"/>
      </w:pPr>
      <w:r>
        <w:rPr>
          <w:rFonts w:ascii="Times New Roman"/>
          <w:b w:val="false"/>
          <w:i w:val="false"/>
          <w:color w:val="000000"/>
          <w:sz w:val="28"/>
        </w:rPr>
        <w:t>
      все плановые работы по техническому обслуживанию и текущие проверки используемого стерилизатора выполнены;</w:t>
      </w:r>
    </w:p>
    <w:bookmarkEnd w:id="5687"/>
    <w:bookmarkStart w:name="z5836" w:id="5688"/>
    <w:p>
      <w:pPr>
        <w:spacing w:after="0"/>
        <w:ind w:left="0"/>
        <w:jc w:val="both"/>
      </w:pPr>
      <w:r>
        <w:rPr>
          <w:rFonts w:ascii="Times New Roman"/>
          <w:b w:val="false"/>
          <w:i w:val="false"/>
          <w:color w:val="000000"/>
          <w:sz w:val="28"/>
        </w:rPr>
        <w:t>
      все ремонтные работы и модификации согласованы с инженером и микробиологом, которые несут ответственность за процесс стерилизации;</w:t>
      </w:r>
    </w:p>
    <w:bookmarkEnd w:id="5688"/>
    <w:bookmarkStart w:name="z5837" w:id="5689"/>
    <w:p>
      <w:pPr>
        <w:spacing w:after="0"/>
        <w:ind w:left="0"/>
        <w:jc w:val="both"/>
      </w:pPr>
      <w:r>
        <w:rPr>
          <w:rFonts w:ascii="Times New Roman"/>
          <w:b w:val="false"/>
          <w:i w:val="false"/>
          <w:color w:val="000000"/>
          <w:sz w:val="28"/>
        </w:rPr>
        <w:t>
      используемые приборы прошли калибровку (поверку); стерилизатор на настоящий момент валидирован для стерилизации загрузки данного типа.</w:t>
      </w:r>
    </w:p>
    <w:bookmarkEnd w:id="5689"/>
    <w:bookmarkStart w:name="z5838" w:id="5690"/>
    <w:p>
      <w:pPr>
        <w:spacing w:after="0"/>
        <w:ind w:left="0"/>
        <w:jc w:val="both"/>
      </w:pPr>
      <w:r>
        <w:rPr>
          <w:rFonts w:ascii="Times New Roman"/>
          <w:b w:val="false"/>
          <w:i w:val="false"/>
          <w:color w:val="000000"/>
          <w:sz w:val="28"/>
        </w:rPr>
        <w:t>
      3.17. Если выдано разрешение на выпуск серии продукции по параметрам, то решения о выпуске или отклонении серии продукции основаны на требованиях утвержденных спецификаций в части выпуска по параметрам. При невыполнении этих требований выпуск продукции по параметрам не допускается даже при условии успешного проведения испытания на стерильность.</w:t>
      </w:r>
    </w:p>
    <w:bookmarkEnd w:id="5690"/>
    <w:bookmarkStart w:name="z5839" w:id="5691"/>
    <w:p>
      <w:pPr>
        <w:spacing w:after="0"/>
        <w:ind w:left="0"/>
        <w:jc w:val="both"/>
      </w:pPr>
      <w:r>
        <w:rPr>
          <w:rFonts w:ascii="Times New Roman"/>
          <w:b w:val="false"/>
          <w:i w:val="false"/>
          <w:color w:val="000000"/>
          <w:sz w:val="28"/>
        </w:rPr>
        <w:t>
      Термины и определения</w:t>
      </w:r>
    </w:p>
    <w:bookmarkEnd w:id="5691"/>
    <w:bookmarkStart w:name="z5840" w:id="5692"/>
    <w:p>
      <w:pPr>
        <w:spacing w:after="0"/>
        <w:ind w:left="0"/>
        <w:jc w:val="both"/>
      </w:pPr>
      <w:r>
        <w:rPr>
          <w:rFonts w:ascii="Times New Roman"/>
          <w:b w:val="false"/>
          <w:i w:val="false"/>
          <w:color w:val="000000"/>
          <w:sz w:val="28"/>
        </w:rPr>
        <w:t>
      Для целей настоящих Требований используются основные понятия, которые означают следующее:</w:t>
      </w:r>
    </w:p>
    <w:bookmarkEnd w:id="5692"/>
    <w:bookmarkStart w:name="z5841" w:id="5693"/>
    <w:p>
      <w:pPr>
        <w:spacing w:after="0"/>
        <w:ind w:left="0"/>
        <w:jc w:val="both"/>
      </w:pPr>
      <w:r>
        <w:rPr>
          <w:rFonts w:ascii="Times New Roman"/>
          <w:b w:val="false"/>
          <w:i w:val="false"/>
          <w:color w:val="000000"/>
          <w:sz w:val="28"/>
        </w:rPr>
        <w:t>
      "выпуск по параметрам" (parametric release) - система выпуска продукции, дающая гарантию, что продукция обладает требуемым качеством, на основании информации, полученной во время производственного процесса, а также на основании соответствия определенным требованиям настоящих Стандарта, относящимся к выпуску по параметрам;</w:t>
      </w:r>
    </w:p>
    <w:bookmarkEnd w:id="5693"/>
    <w:bookmarkStart w:name="z5842" w:id="5694"/>
    <w:p>
      <w:pPr>
        <w:spacing w:after="0"/>
        <w:ind w:left="0"/>
        <w:jc w:val="both"/>
      </w:pPr>
      <w:r>
        <w:rPr>
          <w:rFonts w:ascii="Times New Roman"/>
          <w:b w:val="false"/>
          <w:i w:val="false"/>
          <w:color w:val="000000"/>
          <w:sz w:val="28"/>
        </w:rPr>
        <w:t>
      "система обеспечения стерильности" (sterility assurance system) - комплекс мер по обеспечению стерильности продукции. Для лекарственных препаратов, подлежащих финишной стерилизации, этот комплекс мер включает в себя следующее:</w:t>
      </w:r>
    </w:p>
    <w:bookmarkEnd w:id="5694"/>
    <w:bookmarkStart w:name="z5843" w:id="5695"/>
    <w:p>
      <w:pPr>
        <w:spacing w:after="0"/>
        <w:ind w:left="0"/>
        <w:jc w:val="both"/>
      </w:pPr>
      <w:r>
        <w:rPr>
          <w:rFonts w:ascii="Times New Roman"/>
          <w:b w:val="false"/>
          <w:i w:val="false"/>
          <w:color w:val="000000"/>
          <w:sz w:val="28"/>
        </w:rPr>
        <w:t>
      a) разработка лекарственного препарата;</w:t>
      </w:r>
    </w:p>
    <w:bookmarkEnd w:id="5695"/>
    <w:bookmarkStart w:name="z5844" w:id="5696"/>
    <w:p>
      <w:pPr>
        <w:spacing w:after="0"/>
        <w:ind w:left="0"/>
        <w:jc w:val="both"/>
      </w:pPr>
      <w:r>
        <w:rPr>
          <w:rFonts w:ascii="Times New Roman"/>
          <w:b w:val="false"/>
          <w:i w:val="false"/>
          <w:color w:val="000000"/>
          <w:sz w:val="28"/>
        </w:rPr>
        <w:t>
      b) знание и по возможности контроль микробиологических характеристик исходного сырья и технологических вспомогательных средств (например, газов и смазочных материалов),</w:t>
      </w:r>
    </w:p>
    <w:bookmarkEnd w:id="5696"/>
    <w:bookmarkStart w:name="z5845" w:id="5697"/>
    <w:p>
      <w:pPr>
        <w:spacing w:after="0"/>
        <w:ind w:left="0"/>
        <w:jc w:val="both"/>
      </w:pPr>
      <w:r>
        <w:rPr>
          <w:rFonts w:ascii="Times New Roman"/>
          <w:b w:val="false"/>
          <w:i w:val="false"/>
          <w:color w:val="000000"/>
          <w:sz w:val="28"/>
        </w:rPr>
        <w:t>
      c) проведение контроля контаминации в ходе технологического процесса для предотвращения попадания микроорганизмов в продукцию и их размножения. Это обычно достигается путем очистки и санитарной обработки поверхностей, контактирующих с продукцией, предупреждения контаминации из воздуха посредством проведения работ чистых помещениях, проведением технологического процесса с ограничениями во времени и в соответствующих случаях использованием стадий фильтрации;</w:t>
      </w:r>
    </w:p>
    <w:bookmarkEnd w:id="5697"/>
    <w:bookmarkStart w:name="z5846" w:id="5698"/>
    <w:p>
      <w:pPr>
        <w:spacing w:after="0"/>
        <w:ind w:left="0"/>
        <w:jc w:val="both"/>
      </w:pPr>
      <w:r>
        <w:rPr>
          <w:rFonts w:ascii="Times New Roman"/>
          <w:b w:val="false"/>
          <w:i w:val="false"/>
          <w:color w:val="000000"/>
          <w:sz w:val="28"/>
        </w:rPr>
        <w:t>
      d) предотвращение перепутывания производственных потоков стерилизованной и нестерилизованной продукции;</w:t>
      </w:r>
    </w:p>
    <w:bookmarkEnd w:id="5698"/>
    <w:bookmarkStart w:name="z5847" w:id="5699"/>
    <w:p>
      <w:pPr>
        <w:spacing w:after="0"/>
        <w:ind w:left="0"/>
        <w:jc w:val="both"/>
      </w:pPr>
      <w:r>
        <w:rPr>
          <w:rFonts w:ascii="Times New Roman"/>
          <w:b w:val="false"/>
          <w:i w:val="false"/>
          <w:color w:val="000000"/>
          <w:sz w:val="28"/>
        </w:rPr>
        <w:t>
      e) постоянное достижение качества продукции;</w:t>
      </w:r>
    </w:p>
    <w:bookmarkEnd w:id="5699"/>
    <w:bookmarkStart w:name="z5848" w:id="5700"/>
    <w:p>
      <w:pPr>
        <w:spacing w:after="0"/>
        <w:ind w:left="0"/>
        <w:jc w:val="both"/>
      </w:pPr>
      <w:r>
        <w:rPr>
          <w:rFonts w:ascii="Times New Roman"/>
          <w:b w:val="false"/>
          <w:i w:val="false"/>
          <w:color w:val="000000"/>
          <w:sz w:val="28"/>
        </w:rPr>
        <w:t>
      f) процесс стерилизации;</w:t>
      </w:r>
    </w:p>
    <w:bookmarkEnd w:id="5700"/>
    <w:bookmarkStart w:name="z5849" w:id="5701"/>
    <w:p>
      <w:pPr>
        <w:spacing w:after="0"/>
        <w:ind w:left="0"/>
        <w:jc w:val="both"/>
      </w:pPr>
      <w:r>
        <w:rPr>
          <w:rFonts w:ascii="Times New Roman"/>
          <w:b w:val="false"/>
          <w:i w:val="false"/>
          <w:color w:val="000000"/>
          <w:sz w:val="28"/>
        </w:rPr>
        <w:t>
      g) система качества в целом, в том числе система обеспечения стерильности (контроль изменений, обучение персонала, наличие письменных инструкций, контроль при выпуске продукции, плановое профилактическое техническое обслуживание, анализ сбоев в работе, предотвращение ошибок по вине персонала, валидация, калибровка (поверка) и др.).</w:t>
      </w:r>
    </w:p>
    <w:bookmarkEnd w:id="5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Стандарта надлежащей</w:t>
            </w:r>
            <w:r>
              <w:br/>
            </w:r>
            <w:r>
              <w:rPr>
                <w:rFonts w:ascii="Times New Roman"/>
                <w:b w:val="false"/>
                <w:i w:val="false"/>
                <w:color w:val="000000"/>
                <w:sz w:val="20"/>
              </w:rPr>
              <w:t>производственной практики</w:t>
            </w:r>
          </w:p>
        </w:tc>
      </w:tr>
    </w:tbl>
    <w:bookmarkStart w:name="z5851" w:id="5702"/>
    <w:p>
      <w:pPr>
        <w:spacing w:after="0"/>
        <w:ind w:left="0"/>
        <w:jc w:val="left"/>
      </w:pPr>
      <w:r>
        <w:rPr>
          <w:rFonts w:ascii="Times New Roman"/>
          <w:b/>
          <w:i w:val="false"/>
          <w:color w:val="000000"/>
        </w:rPr>
        <w:t xml:space="preserve"> Требования контрольным и архивным образцам</w:t>
      </w:r>
    </w:p>
    <w:bookmarkEnd w:id="5702"/>
    <w:bookmarkStart w:name="z5852" w:id="5703"/>
    <w:p>
      <w:pPr>
        <w:spacing w:after="0"/>
        <w:ind w:left="0"/>
        <w:jc w:val="both"/>
      </w:pPr>
      <w:r>
        <w:rPr>
          <w:rFonts w:ascii="Times New Roman"/>
          <w:b w:val="false"/>
          <w:i w:val="false"/>
          <w:color w:val="000000"/>
          <w:sz w:val="28"/>
        </w:rPr>
        <w:t>
      Область применения</w:t>
      </w:r>
    </w:p>
    <w:bookmarkEnd w:id="5703"/>
    <w:bookmarkStart w:name="z5853" w:id="5704"/>
    <w:p>
      <w:pPr>
        <w:spacing w:after="0"/>
        <w:ind w:left="0"/>
        <w:jc w:val="both"/>
      </w:pPr>
      <w:r>
        <w:rPr>
          <w:rFonts w:ascii="Times New Roman"/>
          <w:b w:val="false"/>
          <w:i w:val="false"/>
          <w:color w:val="000000"/>
          <w:sz w:val="28"/>
        </w:rPr>
        <w:t>
      1.1. Настоящий документ устанавливает требования к отбору и хранению контрольных образцов исходного сырья, упаковочных материалов или готовой продукции и архивных образцов готовой продукции.</w:t>
      </w:r>
    </w:p>
    <w:bookmarkEnd w:id="5704"/>
    <w:bookmarkStart w:name="z5854" w:id="5705"/>
    <w:p>
      <w:pPr>
        <w:spacing w:after="0"/>
        <w:ind w:left="0"/>
        <w:jc w:val="both"/>
      </w:pPr>
      <w:r>
        <w:rPr>
          <w:rFonts w:ascii="Times New Roman"/>
          <w:b w:val="false"/>
          <w:i w:val="false"/>
          <w:color w:val="000000"/>
          <w:sz w:val="28"/>
        </w:rPr>
        <w:t>
      1.2. Специальные требования к лекарственным препаратам для клинических исследований приведены в приложении № 13 Стандарта надлежащей производственной практики.</w:t>
      </w:r>
    </w:p>
    <w:bookmarkEnd w:id="5705"/>
    <w:bookmarkStart w:name="z5855" w:id="5706"/>
    <w:p>
      <w:pPr>
        <w:spacing w:after="0"/>
        <w:ind w:left="0"/>
        <w:jc w:val="both"/>
      </w:pPr>
      <w:r>
        <w:rPr>
          <w:rFonts w:ascii="Times New Roman"/>
          <w:b w:val="false"/>
          <w:i w:val="false"/>
          <w:color w:val="000000"/>
          <w:sz w:val="28"/>
        </w:rPr>
        <w:t>
      1.3. Настоящий документ также содержит указания в отношении отбора архивных образцов для параллельно импортируемых (поставляемых) лекарственных препаратов.</w:t>
      </w:r>
    </w:p>
    <w:bookmarkEnd w:id="5706"/>
    <w:bookmarkStart w:name="z5856" w:id="5707"/>
    <w:p>
      <w:pPr>
        <w:spacing w:after="0"/>
        <w:ind w:left="0"/>
        <w:jc w:val="both"/>
      </w:pPr>
      <w:r>
        <w:rPr>
          <w:rFonts w:ascii="Times New Roman"/>
          <w:b w:val="false"/>
          <w:i w:val="false"/>
          <w:color w:val="000000"/>
          <w:sz w:val="28"/>
        </w:rPr>
        <w:t>
      2. Принцип</w:t>
      </w:r>
    </w:p>
    <w:bookmarkEnd w:id="5707"/>
    <w:bookmarkStart w:name="z5857" w:id="5708"/>
    <w:p>
      <w:pPr>
        <w:spacing w:after="0"/>
        <w:ind w:left="0"/>
        <w:jc w:val="both"/>
      </w:pPr>
      <w:r>
        <w:rPr>
          <w:rFonts w:ascii="Times New Roman"/>
          <w:b w:val="false"/>
          <w:i w:val="false"/>
          <w:color w:val="000000"/>
          <w:sz w:val="28"/>
        </w:rPr>
        <w:t>
      2.1. Образцы хранят с целью обеспечения наличия образца для аналитических исследований и обеспечения наличия образца полностью готовой продукции. С учетом цели хранения образцы, могут быть поделены на 2 категории:</w:t>
      </w:r>
    </w:p>
    <w:bookmarkEnd w:id="5708"/>
    <w:bookmarkStart w:name="z5858" w:id="5709"/>
    <w:p>
      <w:pPr>
        <w:spacing w:after="0"/>
        <w:ind w:left="0"/>
        <w:jc w:val="both"/>
      </w:pPr>
      <w:r>
        <w:rPr>
          <w:rFonts w:ascii="Times New Roman"/>
          <w:b w:val="false"/>
          <w:i w:val="false"/>
          <w:color w:val="000000"/>
          <w:sz w:val="28"/>
        </w:rPr>
        <w:t>
      контрольный образец (reference sample) - образец, отобранный из серии исходного сырья, упаковочного материала или готовой продукции, который хранится для проведения анализа в течение срока годности серии в случае возникновения такой необходимости. Следует сохранять образцы, отобранные на критических промежуточных стадиях (например, после которых предусматриваются проведение аналитических исследований и выдача разрешений на выпуск), и промежуточных продуктов, которые поставляются за пределы зоны контроля производителя, если стабильность образцов это допускает.</w:t>
      </w:r>
    </w:p>
    <w:bookmarkEnd w:id="5709"/>
    <w:bookmarkStart w:name="z5859" w:id="5710"/>
    <w:p>
      <w:pPr>
        <w:spacing w:after="0"/>
        <w:ind w:left="0"/>
        <w:jc w:val="both"/>
      </w:pPr>
      <w:r>
        <w:rPr>
          <w:rFonts w:ascii="Times New Roman"/>
          <w:b w:val="false"/>
          <w:i w:val="false"/>
          <w:color w:val="000000"/>
          <w:sz w:val="28"/>
        </w:rPr>
        <w:t>
      архивный образец (retention sample) - образец в окончательной упаковке, отобранный из серии готовой продукции. Его хранят в целях подтверждения идентичности. Например, в течение срока хранения серии может потребоваться осмотр образца или упаковки, маркировки, инструкции по применению, получение информации о номере серии и сроке годности. Могут быть исключительные обстоятельства, когда это требование может быть соблюдено без хранения дубликатов образцов, например, если небольшие серии упаковывают для разных рынков или при производстве очень дорогих лекарственных препаратов.</w:t>
      </w:r>
    </w:p>
    <w:bookmarkEnd w:id="5710"/>
    <w:bookmarkStart w:name="z5860" w:id="5711"/>
    <w:p>
      <w:pPr>
        <w:spacing w:after="0"/>
        <w:ind w:left="0"/>
        <w:jc w:val="both"/>
      </w:pPr>
      <w:r>
        <w:rPr>
          <w:rFonts w:ascii="Times New Roman"/>
          <w:b w:val="false"/>
          <w:i w:val="false"/>
          <w:color w:val="000000"/>
          <w:sz w:val="28"/>
        </w:rPr>
        <w:t>
      Во многих случаях контрольные и архивные образцы готовой продукции идентичны и являются единицами продукции в окончательной упаковке. В таких случаях контрольные и архивные образцы могут рассматриваться как взаимозаменяемые.</w:t>
      </w:r>
    </w:p>
    <w:bookmarkEnd w:id="5711"/>
    <w:bookmarkStart w:name="z5861" w:id="5712"/>
    <w:p>
      <w:pPr>
        <w:spacing w:after="0"/>
        <w:ind w:left="0"/>
        <w:jc w:val="both"/>
      </w:pPr>
      <w:r>
        <w:rPr>
          <w:rFonts w:ascii="Times New Roman"/>
          <w:b w:val="false"/>
          <w:i w:val="false"/>
          <w:color w:val="000000"/>
          <w:sz w:val="28"/>
        </w:rPr>
        <w:t>
      2.2. У производителя, импортера или на предприятии, где выдается разрешение на выпуск серии (как указано в пунктах 7 и 8 настоящего документа) хранятся контрольные и (или) архивные образцы каждой серии готовой продукции, а у производителя - контрольные образцы каждой серии исходных материалов (кроме исключений, в соответствии с пунктом 3.2 настоящего документа) и (или) промежуточной продукции. На каждом предприятии, осуществляющем упаковку, следует хранить контрольные образцы каждой серии первичных упаковочных материалов и печатных материалов. Допускается включать печатные материалы в состав контрольных и (или) архивных образцов готовой продукции.</w:t>
      </w:r>
    </w:p>
    <w:bookmarkEnd w:id="5712"/>
    <w:bookmarkStart w:name="z5862" w:id="5713"/>
    <w:p>
      <w:pPr>
        <w:spacing w:after="0"/>
        <w:ind w:left="0"/>
        <w:jc w:val="both"/>
      </w:pPr>
      <w:r>
        <w:rPr>
          <w:rFonts w:ascii="Times New Roman"/>
          <w:b w:val="false"/>
          <w:i w:val="false"/>
          <w:color w:val="000000"/>
          <w:sz w:val="28"/>
        </w:rPr>
        <w:t>
      2.3. Контрольные и (или) архивные образцы выступают в качестве свидетельства о серии готовой продукции или исходных материалов и могут быть оценены в том числе в случаях, предъявления претензий в отношении качества лекарственного препарата, запросов о соответствии регистрационному досье, запросов о маркировке (упаковке) или отчета о мониторинге безопасности лекарственного препарата.</w:t>
      </w:r>
    </w:p>
    <w:bookmarkEnd w:id="5713"/>
    <w:bookmarkStart w:name="z5863" w:id="5714"/>
    <w:p>
      <w:pPr>
        <w:spacing w:after="0"/>
        <w:ind w:left="0"/>
        <w:jc w:val="both"/>
      </w:pPr>
      <w:r>
        <w:rPr>
          <w:rFonts w:ascii="Times New Roman"/>
          <w:b w:val="false"/>
          <w:i w:val="false"/>
          <w:color w:val="000000"/>
          <w:sz w:val="28"/>
        </w:rPr>
        <w:t>
      2.4. Ведутся записи для обеспечения прослеживаемой образцов; записи доступны уполномоченным органам.</w:t>
      </w:r>
    </w:p>
    <w:bookmarkEnd w:id="5714"/>
    <w:bookmarkStart w:name="z5864" w:id="5715"/>
    <w:p>
      <w:pPr>
        <w:spacing w:after="0"/>
        <w:ind w:left="0"/>
        <w:jc w:val="both"/>
      </w:pPr>
      <w:r>
        <w:rPr>
          <w:rFonts w:ascii="Times New Roman"/>
          <w:b w:val="false"/>
          <w:i w:val="false"/>
          <w:color w:val="000000"/>
          <w:sz w:val="28"/>
        </w:rPr>
        <w:t>
      3. Длительность хранения</w:t>
      </w:r>
    </w:p>
    <w:bookmarkEnd w:id="5715"/>
    <w:bookmarkStart w:name="z5865" w:id="5716"/>
    <w:p>
      <w:pPr>
        <w:spacing w:after="0"/>
        <w:ind w:left="0"/>
        <w:jc w:val="both"/>
      </w:pPr>
      <w:r>
        <w:rPr>
          <w:rFonts w:ascii="Times New Roman"/>
          <w:b w:val="false"/>
          <w:i w:val="false"/>
          <w:color w:val="000000"/>
          <w:sz w:val="28"/>
        </w:rPr>
        <w:t>
      3.1. Контрольные и архивные образцы каждой серии готовой продукции следует хранить в течение срока годности серии и 1 года после истечения срока годности. Контрольный образец упакован в его первичную упаковку или в упаковку, состоящую из того же материала, что и первичная упаковка, в которой выпускается лекарственный препарат.</w:t>
      </w:r>
    </w:p>
    <w:bookmarkEnd w:id="5716"/>
    <w:bookmarkStart w:name="z5866" w:id="5717"/>
    <w:p>
      <w:pPr>
        <w:spacing w:after="0"/>
        <w:ind w:left="0"/>
        <w:jc w:val="both"/>
      </w:pPr>
      <w:r>
        <w:rPr>
          <w:rFonts w:ascii="Times New Roman"/>
          <w:b w:val="false"/>
          <w:i w:val="false"/>
          <w:color w:val="000000"/>
          <w:sz w:val="28"/>
        </w:rPr>
        <w:t>
      3.2. Образцы исходного сырья (кроме растворителей, газов или воды, предназначенных для технологических целей) хранятся в течение не менее 2 лет после выпуска лекарственного препарата, если более длительный период не предусмотрен соответствующими нормативными правовыми актами. Указанный период сокращается, если в спецификации указан более короткий период стабильности сырья. Упаковочные материалы хранятся в течение срока годности соответствующего готового продукта.</w:t>
      </w:r>
    </w:p>
    <w:bookmarkEnd w:id="5717"/>
    <w:bookmarkStart w:name="z5867" w:id="5718"/>
    <w:p>
      <w:pPr>
        <w:spacing w:after="0"/>
        <w:ind w:left="0"/>
        <w:jc w:val="both"/>
      </w:pPr>
      <w:r>
        <w:rPr>
          <w:rFonts w:ascii="Times New Roman"/>
          <w:b w:val="false"/>
          <w:i w:val="false"/>
          <w:color w:val="000000"/>
          <w:sz w:val="28"/>
        </w:rPr>
        <w:t>
      4. Количество контрольных и архивных образцов</w:t>
      </w:r>
    </w:p>
    <w:bookmarkEnd w:id="5718"/>
    <w:bookmarkStart w:name="z5868" w:id="5719"/>
    <w:p>
      <w:pPr>
        <w:spacing w:after="0"/>
        <w:ind w:left="0"/>
        <w:jc w:val="both"/>
      </w:pPr>
      <w:r>
        <w:rPr>
          <w:rFonts w:ascii="Times New Roman"/>
          <w:b w:val="false"/>
          <w:i w:val="false"/>
          <w:color w:val="000000"/>
          <w:sz w:val="28"/>
        </w:rPr>
        <w:t>
      4.1. Количество контрольных образцов достаточные для проведения не менее чем 2-кратного полного аналитического контроля серии продукции в соответствии с требованиями регистрационного досье, оцененного и утвержденного уполномоченным органом (организацией). В случае необходимости для каждого вида аналитического контроля использовать невскрытые упаковки. Любые исключения из этого требования обоснованы и согласованы с соответствующим уполномоченным органом (организацией).</w:t>
      </w:r>
    </w:p>
    <w:bookmarkEnd w:id="5719"/>
    <w:bookmarkStart w:name="z5869" w:id="5720"/>
    <w:p>
      <w:pPr>
        <w:spacing w:after="0"/>
        <w:ind w:left="0"/>
        <w:jc w:val="both"/>
      </w:pPr>
      <w:r>
        <w:rPr>
          <w:rFonts w:ascii="Times New Roman"/>
          <w:b w:val="false"/>
          <w:i w:val="false"/>
          <w:color w:val="000000"/>
          <w:sz w:val="28"/>
        </w:rPr>
        <w:t>
      4.2. Необходимо соблюдать требования в отношении количества контрольных образцов и, при необходимости, архивных образцов.</w:t>
      </w:r>
    </w:p>
    <w:bookmarkEnd w:id="5720"/>
    <w:bookmarkStart w:name="z5870" w:id="5721"/>
    <w:p>
      <w:pPr>
        <w:spacing w:after="0"/>
        <w:ind w:left="0"/>
        <w:jc w:val="both"/>
      </w:pPr>
      <w:r>
        <w:rPr>
          <w:rFonts w:ascii="Times New Roman"/>
          <w:b w:val="false"/>
          <w:i w:val="false"/>
          <w:color w:val="000000"/>
          <w:sz w:val="28"/>
        </w:rPr>
        <w:t>
      4.3. Контрольные образцы представительные для серии исходного сырья, промежуточной или готовой продукции, из которой они отобраны. Для контроля наиболее критических этапов процесса (например, начала или конца процесса) могут отбираться дополнительные образцы. Если процесс упаковки серии ведется в ходе двух и более отдельных операций по упаковке, то после каждой из этих операций следует отбирать не менее одного архивного образца. Любые исключения из этого требования обоснованы и согласованы с соответствующим уполномоченным органом.</w:t>
      </w:r>
    </w:p>
    <w:bookmarkEnd w:id="5721"/>
    <w:bookmarkStart w:name="z5871" w:id="5722"/>
    <w:p>
      <w:pPr>
        <w:spacing w:after="0"/>
        <w:ind w:left="0"/>
        <w:jc w:val="both"/>
      </w:pPr>
      <w:r>
        <w:rPr>
          <w:rFonts w:ascii="Times New Roman"/>
          <w:b w:val="false"/>
          <w:i w:val="false"/>
          <w:color w:val="000000"/>
          <w:sz w:val="28"/>
        </w:rPr>
        <w:t>
      4.4. Необходимо обеспечить, в течение 1 года после истечения срока годности последней произведенной серии были легко доступны необходимые аналитические материалы и оборудование с целью проведения всех указанных в спецификации испытаний.</w:t>
      </w:r>
    </w:p>
    <w:bookmarkEnd w:id="5722"/>
    <w:bookmarkStart w:name="z5872" w:id="5723"/>
    <w:p>
      <w:pPr>
        <w:spacing w:after="0"/>
        <w:ind w:left="0"/>
        <w:jc w:val="both"/>
      </w:pPr>
      <w:r>
        <w:rPr>
          <w:rFonts w:ascii="Times New Roman"/>
          <w:b w:val="false"/>
          <w:i w:val="false"/>
          <w:color w:val="000000"/>
          <w:sz w:val="28"/>
        </w:rPr>
        <w:t>
      5. Условия хранения</w:t>
      </w:r>
    </w:p>
    <w:bookmarkEnd w:id="5723"/>
    <w:bookmarkStart w:name="z5873" w:id="5724"/>
    <w:p>
      <w:pPr>
        <w:spacing w:after="0"/>
        <w:ind w:left="0"/>
        <w:jc w:val="both"/>
      </w:pPr>
      <w:r>
        <w:rPr>
          <w:rFonts w:ascii="Times New Roman"/>
          <w:b w:val="false"/>
          <w:i w:val="false"/>
          <w:color w:val="000000"/>
          <w:sz w:val="28"/>
        </w:rPr>
        <w:t>
      5.1. Хранить контрольные образцы готовой продукции и активных фармацевтических субстанций следует в соответствии с требованиями законодательства.</w:t>
      </w:r>
    </w:p>
    <w:bookmarkEnd w:id="5724"/>
    <w:bookmarkStart w:name="z5874" w:id="5725"/>
    <w:p>
      <w:pPr>
        <w:spacing w:after="0"/>
        <w:ind w:left="0"/>
        <w:jc w:val="both"/>
      </w:pPr>
      <w:r>
        <w:rPr>
          <w:rFonts w:ascii="Times New Roman"/>
          <w:b w:val="false"/>
          <w:i w:val="false"/>
          <w:color w:val="000000"/>
          <w:sz w:val="28"/>
        </w:rPr>
        <w:t>
      5.2. Условия хранения соответствуют требованиям, установленным при регистрации лекарственного средства (например, хранение при пониженной температуре (при необходимости).</w:t>
      </w:r>
    </w:p>
    <w:bookmarkEnd w:id="5725"/>
    <w:bookmarkStart w:name="z5875" w:id="5726"/>
    <w:p>
      <w:pPr>
        <w:spacing w:after="0"/>
        <w:ind w:left="0"/>
        <w:jc w:val="both"/>
      </w:pPr>
      <w:r>
        <w:rPr>
          <w:rFonts w:ascii="Times New Roman"/>
          <w:b w:val="false"/>
          <w:i w:val="false"/>
          <w:color w:val="000000"/>
          <w:sz w:val="28"/>
        </w:rPr>
        <w:t>
      6. Письменные соглашения</w:t>
      </w:r>
    </w:p>
    <w:bookmarkEnd w:id="5726"/>
    <w:bookmarkStart w:name="z5876" w:id="5727"/>
    <w:p>
      <w:pPr>
        <w:spacing w:after="0"/>
        <w:ind w:left="0"/>
        <w:jc w:val="both"/>
      </w:pPr>
      <w:r>
        <w:rPr>
          <w:rFonts w:ascii="Times New Roman"/>
          <w:b w:val="false"/>
          <w:i w:val="false"/>
          <w:color w:val="000000"/>
          <w:sz w:val="28"/>
        </w:rPr>
        <w:t>
      6.1. Если держатель регистрационного удостоверения не является одновременно юридическим лицом, ответственным за выпуск серии продукции, обязанность по отбору и хранению контрольных (архивных) образцов определена в письменном соглашении между 2 сторонами в соответствии с главой 7 части I Стандарта надлежащей производственной практики. Указанное положение применяется также в случаях, если какая-либо деятельность по производству или выпуску серии продукции проводится не на том предприятии, которое несет ответственность за серию продукции. Порядок отбора и хранения контрольных и архивных образцов для каждого предприятия, вовлеченного в производство, определен в письменном соглашении между ними.</w:t>
      </w:r>
    </w:p>
    <w:bookmarkEnd w:id="5727"/>
    <w:bookmarkStart w:name="z5877" w:id="5728"/>
    <w:p>
      <w:pPr>
        <w:spacing w:after="0"/>
        <w:ind w:left="0"/>
        <w:jc w:val="both"/>
      </w:pPr>
      <w:r>
        <w:rPr>
          <w:rFonts w:ascii="Times New Roman"/>
          <w:b w:val="false"/>
          <w:i w:val="false"/>
          <w:color w:val="000000"/>
          <w:sz w:val="28"/>
        </w:rPr>
        <w:t>
      6.2. Уполномоченное лицо, которое выдает разрешение на выпуск серии лекарственного препарата, гарантирует, что все контрольные и архивные образцы будут доступны в течение приемлемого времени. Все требования в отношении такого доступа устанавливаются в письменном соглашении (при необходимости).</w:t>
      </w:r>
    </w:p>
    <w:bookmarkEnd w:id="5728"/>
    <w:bookmarkStart w:name="z5878" w:id="5729"/>
    <w:p>
      <w:pPr>
        <w:spacing w:after="0"/>
        <w:ind w:left="0"/>
        <w:jc w:val="both"/>
      </w:pPr>
      <w:r>
        <w:rPr>
          <w:rFonts w:ascii="Times New Roman"/>
          <w:b w:val="false"/>
          <w:i w:val="false"/>
          <w:color w:val="000000"/>
          <w:sz w:val="28"/>
        </w:rPr>
        <w:t>
      6.3. Если в производстве готовой продукции принимает участие более 1 производственной площадки, наличие письменных соглашений является основным требованием к отбору и месту хранения контрольных и архивных образцов.</w:t>
      </w:r>
    </w:p>
    <w:bookmarkEnd w:id="5729"/>
    <w:bookmarkStart w:name="z5879" w:id="5730"/>
    <w:p>
      <w:pPr>
        <w:spacing w:after="0"/>
        <w:ind w:left="0"/>
        <w:jc w:val="both"/>
      </w:pPr>
      <w:r>
        <w:rPr>
          <w:rFonts w:ascii="Times New Roman"/>
          <w:b w:val="false"/>
          <w:i w:val="false"/>
          <w:color w:val="000000"/>
          <w:sz w:val="28"/>
        </w:rPr>
        <w:t>
      7. Контрольные образцы. Общие положения</w:t>
      </w:r>
    </w:p>
    <w:bookmarkEnd w:id="5730"/>
    <w:bookmarkStart w:name="z5880" w:id="5731"/>
    <w:p>
      <w:pPr>
        <w:spacing w:after="0"/>
        <w:ind w:left="0"/>
        <w:jc w:val="both"/>
      </w:pPr>
      <w:r>
        <w:rPr>
          <w:rFonts w:ascii="Times New Roman"/>
          <w:b w:val="false"/>
          <w:i w:val="false"/>
          <w:color w:val="000000"/>
          <w:sz w:val="28"/>
        </w:rPr>
        <w:t>
      7.1. Контрольные образцы предназначены для проведения анализа легко доступны для лаборатории, имеющей валидированные методики его проведения. Образцы исходного сырья, используемого в производстве лекарственных препаратов, и образцы готовой продукции хранятся на предприятии - производителе готовых лекарственных препаратов.</w:t>
      </w:r>
    </w:p>
    <w:bookmarkEnd w:id="5731"/>
    <w:bookmarkStart w:name="z5881" w:id="5732"/>
    <w:p>
      <w:pPr>
        <w:spacing w:after="0"/>
        <w:ind w:left="0"/>
        <w:jc w:val="both"/>
      </w:pPr>
      <w:r>
        <w:rPr>
          <w:rFonts w:ascii="Times New Roman"/>
          <w:b w:val="false"/>
          <w:i w:val="false"/>
          <w:color w:val="000000"/>
          <w:sz w:val="28"/>
        </w:rPr>
        <w:t>
      7.2. В отношении готовой продукции, произведенной в странах:</w:t>
      </w:r>
    </w:p>
    <w:bookmarkEnd w:id="5732"/>
    <w:bookmarkStart w:name="z5882" w:id="5733"/>
    <w:p>
      <w:pPr>
        <w:spacing w:after="0"/>
        <w:ind w:left="0"/>
        <w:jc w:val="both"/>
      </w:pPr>
      <w:r>
        <w:rPr>
          <w:rFonts w:ascii="Times New Roman"/>
          <w:b w:val="false"/>
          <w:i w:val="false"/>
          <w:color w:val="000000"/>
          <w:sz w:val="28"/>
        </w:rPr>
        <w:t>
      7.2.1. Если страна имеет соглашение о взаимном признании с государствами, контрольные образцы могут отбираться и храниться на предприятии-производителе. Это оформлено письменным соглашением (как указано выше в разделе 6 настоящего документа) между импортером и производителем.</w:t>
      </w:r>
    </w:p>
    <w:bookmarkEnd w:id="5733"/>
    <w:bookmarkStart w:name="z5883" w:id="5734"/>
    <w:p>
      <w:pPr>
        <w:spacing w:after="0"/>
        <w:ind w:left="0"/>
        <w:jc w:val="both"/>
      </w:pPr>
      <w:r>
        <w:rPr>
          <w:rFonts w:ascii="Times New Roman"/>
          <w:b w:val="false"/>
          <w:i w:val="false"/>
          <w:color w:val="000000"/>
          <w:sz w:val="28"/>
        </w:rPr>
        <w:t>
      7.2.2. Если страна не имеет соглашения о взаимном признании с государствами, то контрольные образцы готовой продукции отбирать и хранить на уполномоченном предприятии, расположенном в государстве. Отбор образцов выполняется в соответствии с письменным соглашением между всеми заинтересованными сторонами. Рекомендуется хранить образцы там, где проводился контроль продукции при ее ввозе.</w:t>
      </w:r>
    </w:p>
    <w:bookmarkEnd w:id="5734"/>
    <w:bookmarkStart w:name="z5884" w:id="5735"/>
    <w:p>
      <w:pPr>
        <w:spacing w:after="0"/>
        <w:ind w:left="0"/>
        <w:jc w:val="both"/>
      </w:pPr>
      <w:r>
        <w:rPr>
          <w:rFonts w:ascii="Times New Roman"/>
          <w:b w:val="false"/>
          <w:i w:val="false"/>
          <w:color w:val="000000"/>
          <w:sz w:val="28"/>
        </w:rPr>
        <w:t>
      7.2.3. Контрольные образцы исходного сырья и упаковочных материалов хранятся там, где они использовались для производства готовых лекарственных препаратов.</w:t>
      </w:r>
    </w:p>
    <w:bookmarkEnd w:id="5735"/>
    <w:bookmarkStart w:name="z5885" w:id="5736"/>
    <w:p>
      <w:pPr>
        <w:spacing w:after="0"/>
        <w:ind w:left="0"/>
        <w:jc w:val="both"/>
      </w:pPr>
      <w:r>
        <w:rPr>
          <w:rFonts w:ascii="Times New Roman"/>
          <w:b w:val="false"/>
          <w:i w:val="false"/>
          <w:color w:val="000000"/>
          <w:sz w:val="28"/>
        </w:rPr>
        <w:t>
      8. Архивные образцы. Общие положения</w:t>
      </w:r>
    </w:p>
    <w:bookmarkEnd w:id="5736"/>
    <w:bookmarkStart w:name="z5886" w:id="5737"/>
    <w:p>
      <w:pPr>
        <w:spacing w:after="0"/>
        <w:ind w:left="0"/>
        <w:jc w:val="both"/>
      </w:pPr>
      <w:r>
        <w:rPr>
          <w:rFonts w:ascii="Times New Roman"/>
          <w:b w:val="false"/>
          <w:i w:val="false"/>
          <w:color w:val="000000"/>
          <w:sz w:val="28"/>
        </w:rPr>
        <w:t>
      8.1. Архивные образцы представляют серию готовых лекарственных препаратов в том виде, в котором она реализуется и может понадобиться для контроля с целью подтверждения соответствия требованиям, установленным при государственной регистрации, или требованиям законодательства (за исключением технических характеристик продукции). В связи с этим архивные образцы хранятся на территории государства. Рекомендуется хранить их в месте нахождения уполномоченного лица, выдавшего разрешение на выпуск продукции.</w:t>
      </w:r>
    </w:p>
    <w:bookmarkEnd w:id="5737"/>
    <w:bookmarkStart w:name="z5887" w:id="5738"/>
    <w:p>
      <w:pPr>
        <w:spacing w:after="0"/>
        <w:ind w:left="0"/>
        <w:jc w:val="both"/>
      </w:pPr>
      <w:r>
        <w:rPr>
          <w:rFonts w:ascii="Times New Roman"/>
          <w:b w:val="false"/>
          <w:i w:val="false"/>
          <w:color w:val="000000"/>
          <w:sz w:val="28"/>
        </w:rPr>
        <w:t>
      8.2. С учетом пункта 8.1 настоящего документа, при наличии действующего соглашения о взаимном признании и в случае, если контрольные образцы хранятся у производителя, (см. пункт 7.2.2 настоящего документа).</w:t>
      </w:r>
    </w:p>
    <w:bookmarkEnd w:id="5738"/>
    <w:bookmarkStart w:name="z5888" w:id="5739"/>
    <w:p>
      <w:pPr>
        <w:spacing w:after="0"/>
        <w:ind w:left="0"/>
        <w:jc w:val="both"/>
      </w:pPr>
      <w:r>
        <w:rPr>
          <w:rFonts w:ascii="Times New Roman"/>
          <w:b w:val="false"/>
          <w:i w:val="false"/>
          <w:color w:val="000000"/>
          <w:sz w:val="28"/>
        </w:rPr>
        <w:t>
      8.3. Архивные образцы находятся на предприятии, имеющем лицензию на производство лекарственных средств, и доступны для представителей уполномоченных органов.</w:t>
      </w:r>
    </w:p>
    <w:bookmarkEnd w:id="5739"/>
    <w:bookmarkStart w:name="z5889" w:id="5740"/>
    <w:p>
      <w:pPr>
        <w:spacing w:after="0"/>
        <w:ind w:left="0"/>
        <w:jc w:val="both"/>
      </w:pPr>
      <w:r>
        <w:rPr>
          <w:rFonts w:ascii="Times New Roman"/>
          <w:b w:val="false"/>
          <w:i w:val="false"/>
          <w:color w:val="000000"/>
          <w:sz w:val="28"/>
        </w:rPr>
        <w:t>
      9. Контрольные и архивные образцы продукции, параллельно импортируемой (параллельно поставляемой) дистрибьютором</w:t>
      </w:r>
    </w:p>
    <w:bookmarkEnd w:id="5740"/>
    <w:bookmarkStart w:name="z5890" w:id="5741"/>
    <w:p>
      <w:pPr>
        <w:spacing w:after="0"/>
        <w:ind w:left="0"/>
        <w:jc w:val="both"/>
      </w:pPr>
      <w:r>
        <w:rPr>
          <w:rFonts w:ascii="Times New Roman"/>
          <w:b w:val="false"/>
          <w:i w:val="false"/>
          <w:color w:val="000000"/>
          <w:sz w:val="28"/>
        </w:rPr>
        <w:t>
      9.1. Если вторичная упаковка лекарственного препарата не вскрывается, хранится только используемый упаковочный материал, поскольку риск перепутывания продукции незначителен или отсутствует.</w:t>
      </w:r>
    </w:p>
    <w:bookmarkEnd w:id="5741"/>
    <w:bookmarkStart w:name="z5891" w:id="5742"/>
    <w:p>
      <w:pPr>
        <w:spacing w:after="0"/>
        <w:ind w:left="0"/>
        <w:jc w:val="both"/>
      </w:pPr>
      <w:r>
        <w:rPr>
          <w:rFonts w:ascii="Times New Roman"/>
          <w:b w:val="false"/>
          <w:i w:val="false"/>
          <w:color w:val="000000"/>
          <w:sz w:val="28"/>
        </w:rPr>
        <w:t>
      9.2. Если вторичная упаковка вскрывается (например, для замены картонной пачки или инструкции по применению), следует отбирать 1 архивный образец для каждой операции процесса упаковки, так как существует риск перепутывания продукции в процессе упаковки. Следует предусмотреть порядок, позволяющий быстро определить виновного в перепутывании (производитель или дистрибьютор), так как от этого зависит объем отзываемой продукции.</w:t>
      </w:r>
    </w:p>
    <w:bookmarkEnd w:id="5742"/>
    <w:bookmarkStart w:name="z5892" w:id="5743"/>
    <w:p>
      <w:pPr>
        <w:spacing w:after="0"/>
        <w:ind w:left="0"/>
        <w:jc w:val="both"/>
      </w:pPr>
      <w:r>
        <w:rPr>
          <w:rFonts w:ascii="Times New Roman"/>
          <w:b w:val="false"/>
          <w:i w:val="false"/>
          <w:color w:val="000000"/>
          <w:sz w:val="28"/>
        </w:rPr>
        <w:t>
      10. Контрольные и архивные образцы в случае ликвидации предприятия-производителя</w:t>
      </w:r>
    </w:p>
    <w:bookmarkEnd w:id="5743"/>
    <w:bookmarkStart w:name="z5893" w:id="5744"/>
    <w:p>
      <w:pPr>
        <w:spacing w:after="0"/>
        <w:ind w:left="0"/>
        <w:jc w:val="both"/>
      </w:pPr>
      <w:r>
        <w:rPr>
          <w:rFonts w:ascii="Times New Roman"/>
          <w:b w:val="false"/>
          <w:i w:val="false"/>
          <w:color w:val="000000"/>
          <w:sz w:val="28"/>
        </w:rPr>
        <w:t>
      10.1. В случае ликвидации предприятия-производителя и отзыва (аннулирования, истечения срока действия) лицензии на производство в продаже может остаться большое количество серий произведенных этим производителем лекарственных препаратов с неистекшим сроком годности. Для остающихся на рынке серий производитель составяет детальные соглашения по передаче контрольных и архивных образцов (а также соответствующей документации, касающейся настоящего Стандарта) на уполномоченный участок по хранению. Производитель согласовывает с уполномоченным органом достаточность принятых мер по хранению и возможность передачи образцов для проведения оценки и анализа (при необходимости).</w:t>
      </w:r>
    </w:p>
    <w:bookmarkEnd w:id="5744"/>
    <w:bookmarkStart w:name="z5894" w:id="5745"/>
    <w:p>
      <w:pPr>
        <w:spacing w:after="0"/>
        <w:ind w:left="0"/>
        <w:jc w:val="both"/>
      </w:pPr>
      <w:r>
        <w:rPr>
          <w:rFonts w:ascii="Times New Roman"/>
          <w:b w:val="false"/>
          <w:i w:val="false"/>
          <w:color w:val="000000"/>
          <w:sz w:val="28"/>
        </w:rPr>
        <w:t>
      10.2. Если производитель не может предпринять указанные меры, то выполнение необходимых действий может быть передано другому производителю. Держатель регистрационного удостоверения несет ответственность за указанную передачу функций и представление необходимой информации уполномоченному органу (организации). Кроме того, держатель регистрационного удостоверения согласовывает с уполномоченным органом, на территории которого хранится серия с не истекшим сроком годности, достаточность мер по хранению контрольных и архивных образцов.</w:t>
      </w:r>
    </w:p>
    <w:bookmarkEnd w:id="5745"/>
    <w:bookmarkStart w:name="z5895" w:id="5746"/>
    <w:p>
      <w:pPr>
        <w:spacing w:after="0"/>
        <w:ind w:left="0"/>
        <w:jc w:val="both"/>
      </w:pPr>
      <w:r>
        <w:rPr>
          <w:rFonts w:ascii="Times New Roman"/>
          <w:b w:val="false"/>
          <w:i w:val="false"/>
          <w:color w:val="000000"/>
          <w:sz w:val="28"/>
        </w:rPr>
        <w:t>
      10.3. Эти требования распространяются также на случай ликвидации производства. В этом случае импортер несет особую ответственность за обеспечение того, что указанные соглашения имеют место и что проведено согласование с соответствующим(и) уполномоченным(и) органом(ами) (организациями).</w:t>
      </w:r>
    </w:p>
    <w:bookmarkEnd w:id="5746"/>
    <w:bookmarkStart w:name="z5896" w:id="5747"/>
    <w:p>
      <w:pPr>
        <w:spacing w:after="0"/>
        <w:ind w:left="0"/>
        <w:jc w:val="both"/>
      </w:pPr>
      <w:r>
        <w:rPr>
          <w:rFonts w:ascii="Times New Roman"/>
          <w:b w:val="false"/>
          <w:i w:val="false"/>
          <w:color w:val="000000"/>
          <w:sz w:val="28"/>
        </w:rPr>
        <w:t>
      11. Определения</w:t>
      </w:r>
    </w:p>
    <w:bookmarkEnd w:id="5747"/>
    <w:bookmarkStart w:name="z5897" w:id="5748"/>
    <w:p>
      <w:pPr>
        <w:spacing w:after="0"/>
        <w:ind w:left="0"/>
        <w:jc w:val="both"/>
      </w:pPr>
      <w:r>
        <w:rPr>
          <w:rFonts w:ascii="Times New Roman"/>
          <w:b w:val="false"/>
          <w:i w:val="false"/>
          <w:color w:val="000000"/>
          <w:sz w:val="28"/>
        </w:rPr>
        <w:t>
      Понятия, используемые в настоящем документе, означают следующее:</w:t>
      </w:r>
    </w:p>
    <w:bookmarkEnd w:id="5748"/>
    <w:bookmarkStart w:name="z5898" w:id="5749"/>
    <w:p>
      <w:pPr>
        <w:spacing w:after="0"/>
        <w:ind w:left="0"/>
        <w:jc w:val="both"/>
      </w:pPr>
      <w:r>
        <w:rPr>
          <w:rFonts w:ascii="Times New Roman"/>
          <w:b w:val="false"/>
          <w:i w:val="false"/>
          <w:color w:val="000000"/>
          <w:sz w:val="28"/>
        </w:rPr>
        <w:t>
      "баланс" (reconciliation) - соотношение между количеством продукции или материалов, произведенных или использованных теоретически и фактически, принимая во внимание обычную вариабельность;</w:t>
      </w:r>
    </w:p>
    <w:bookmarkEnd w:id="5749"/>
    <w:bookmarkStart w:name="z5899" w:id="5750"/>
    <w:p>
      <w:pPr>
        <w:spacing w:after="0"/>
        <w:ind w:left="0"/>
        <w:jc w:val="both"/>
      </w:pPr>
      <w:r>
        <w:rPr>
          <w:rFonts w:ascii="Times New Roman"/>
          <w:b w:val="false"/>
          <w:i w:val="false"/>
          <w:color w:val="000000"/>
          <w:sz w:val="28"/>
        </w:rPr>
        <w:t>
      "баллон" (cylinder) - контейнер, предназначенный для хранения газа под высоким давлением;</w:t>
      </w:r>
    </w:p>
    <w:bookmarkEnd w:id="5750"/>
    <w:bookmarkStart w:name="z5900" w:id="5751"/>
    <w:p>
      <w:pPr>
        <w:spacing w:after="0"/>
        <w:ind w:left="0"/>
        <w:jc w:val="both"/>
      </w:pPr>
      <w:r>
        <w:rPr>
          <w:rFonts w:ascii="Times New Roman"/>
          <w:b w:val="false"/>
          <w:i w:val="false"/>
          <w:color w:val="000000"/>
          <w:sz w:val="28"/>
        </w:rPr>
        <w:t>
      "банк клеток" (cell bank) - система, посредством которой производят последовательные серии продукции с использованием клеточных культур, принадлежащих одному и тому же главному банку клеток. Для приготовления рабочего банка клеток используется некоторое число контейнеров из главного банка клеток. Систему банка клеток валидируют в отношении количества пересевов или количества удвоений популяции, до достижения которых они могут использоваться в текущем производстве;</w:t>
      </w:r>
    </w:p>
    <w:bookmarkEnd w:id="5751"/>
    <w:bookmarkStart w:name="z5901" w:id="5752"/>
    <w:p>
      <w:pPr>
        <w:spacing w:after="0"/>
        <w:ind w:left="0"/>
        <w:jc w:val="both"/>
      </w:pPr>
      <w:r>
        <w:rPr>
          <w:rFonts w:ascii="Times New Roman"/>
          <w:b w:val="false"/>
          <w:i w:val="false"/>
          <w:color w:val="000000"/>
          <w:sz w:val="28"/>
        </w:rPr>
        <w:t>
      "главный банк клеток" (master cell bank) - полностью охарактеризованная культура клеток, распределенная в контейнеры за одну операцию, обрабатываемая вместе таким образом, чтобы обеспечить ее однородность, и сохраняемая таким способом, чтобы обеспечить стабильность. Обычно главный банк клеток хранят при температуре минус 70 0С или ниже;</w:t>
      </w:r>
    </w:p>
    <w:bookmarkEnd w:id="5752"/>
    <w:bookmarkStart w:name="z5902" w:id="5753"/>
    <w:p>
      <w:pPr>
        <w:spacing w:after="0"/>
        <w:ind w:left="0"/>
        <w:jc w:val="both"/>
      </w:pPr>
      <w:r>
        <w:rPr>
          <w:rFonts w:ascii="Times New Roman"/>
          <w:b w:val="false"/>
          <w:i w:val="false"/>
          <w:color w:val="000000"/>
          <w:sz w:val="28"/>
        </w:rPr>
        <w:t>
      "рабочий банк клеток" (working cell bank) - культура клеток, отобранная из главного банка клеток и предназначенная для подготовки клеточных культур, используемых в технологическом процессе. Обычно рабочий банк клеток хранится при температуре минус 70 0С или ниже;</w:t>
      </w:r>
    </w:p>
    <w:bookmarkEnd w:id="5753"/>
    <w:bookmarkStart w:name="z5903" w:id="5754"/>
    <w:p>
      <w:pPr>
        <w:spacing w:after="0"/>
        <w:ind w:left="0"/>
        <w:jc w:val="both"/>
      </w:pPr>
      <w:r>
        <w:rPr>
          <w:rFonts w:ascii="Times New Roman"/>
          <w:b w:val="false"/>
          <w:i w:val="false"/>
          <w:color w:val="000000"/>
          <w:sz w:val="28"/>
        </w:rPr>
        <w:t>
      "биологические агенты" (biological agents) - микроорганизмы (включая микроорганизмы, полученные методами генной инженерии), клеточные культуры и эндопаразиты, патогенные и непатогенные;</w:t>
      </w:r>
    </w:p>
    <w:bookmarkEnd w:id="5754"/>
    <w:bookmarkStart w:name="z5904" w:id="5755"/>
    <w:p>
      <w:pPr>
        <w:spacing w:after="0"/>
        <w:ind w:left="0"/>
        <w:jc w:val="both"/>
      </w:pPr>
      <w:r>
        <w:rPr>
          <w:rFonts w:ascii="Times New Roman"/>
          <w:b w:val="false"/>
          <w:i w:val="false"/>
          <w:color w:val="000000"/>
          <w:sz w:val="28"/>
        </w:rPr>
        <w:t>
      "биореактор" (biogenerator) - закрытая система, такая как ферментатор, в которую вводят биологические агенты наряду с другим сырьем таким образом, что это приводит к их размножению или к продуцированию ими других веществ путем взаимодействия с другим сырьем. Биореакторы обычно снабжены регулирующими и контролирующими приборами, а также приспособлениями для соединения, добавления и удаления веществ;</w:t>
      </w:r>
    </w:p>
    <w:bookmarkEnd w:id="5755"/>
    <w:bookmarkStart w:name="z5905" w:id="5756"/>
    <w:p>
      <w:pPr>
        <w:spacing w:after="0"/>
        <w:ind w:left="0"/>
        <w:jc w:val="both"/>
      </w:pPr>
      <w:r>
        <w:rPr>
          <w:rFonts w:ascii="Times New Roman"/>
          <w:b w:val="false"/>
          <w:i w:val="false"/>
          <w:color w:val="000000"/>
          <w:sz w:val="28"/>
        </w:rPr>
        <w:t>
      "валидация" (validation) - действия, которые в соответствии с настоящим Стандартом доказывают, что определенная методика, процесс, оборудование, сырье, деятельность или система действительно приводят к ожидаемым результатам (см. также термин "квалификация");</w:t>
      </w:r>
    </w:p>
    <w:bookmarkEnd w:id="5756"/>
    <w:bookmarkStart w:name="z5906" w:id="5757"/>
    <w:p>
      <w:pPr>
        <w:spacing w:after="0"/>
        <w:ind w:left="0"/>
        <w:jc w:val="both"/>
      </w:pPr>
      <w:r>
        <w:rPr>
          <w:rFonts w:ascii="Times New Roman"/>
          <w:b w:val="false"/>
          <w:i w:val="false"/>
          <w:color w:val="000000"/>
          <w:sz w:val="28"/>
        </w:rPr>
        <w:t>
      "возврат" (return) - отправка назад производителю или дистрибьютору лекарственного препарата независимо от наличия дефекта;</w:t>
      </w:r>
    </w:p>
    <w:bookmarkEnd w:id="5757"/>
    <w:bookmarkStart w:name="z5907" w:id="5758"/>
    <w:p>
      <w:pPr>
        <w:spacing w:after="0"/>
        <w:ind w:left="0"/>
        <w:jc w:val="both"/>
      </w:pPr>
      <w:r>
        <w:rPr>
          <w:rFonts w:ascii="Times New Roman"/>
          <w:b w:val="false"/>
          <w:i w:val="false"/>
          <w:color w:val="000000"/>
          <w:sz w:val="28"/>
        </w:rPr>
        <w:t>
      "воздушный шлюз" (air-lock) - ограниченное пространство с двумя или несколькими дверями, расположенное между двумя или несколькими помещениями, например, разных классов чистоты, служащее для контроля потока воздуха между этими помещениями, когда в них необходимо войти. Воздушные шлюзы предназначаются и используются как для перехода персонала, так и для перемещения материалов;</w:t>
      </w:r>
    </w:p>
    <w:bookmarkEnd w:id="5758"/>
    <w:bookmarkStart w:name="z5908" w:id="5759"/>
    <w:p>
      <w:pPr>
        <w:spacing w:after="0"/>
        <w:ind w:left="0"/>
        <w:jc w:val="both"/>
      </w:pPr>
      <w:r>
        <w:rPr>
          <w:rFonts w:ascii="Times New Roman"/>
          <w:b w:val="false"/>
          <w:i w:val="false"/>
          <w:color w:val="000000"/>
          <w:sz w:val="28"/>
        </w:rPr>
        <w:t>
      "вспомогательное вещество" - вещество, за исключением активных фармацевтических субстанций, входящее в состав лекарственного препарата для придания ему необходимых свойств;</w:t>
      </w:r>
    </w:p>
    <w:bookmarkEnd w:id="5759"/>
    <w:bookmarkStart w:name="z5909" w:id="5760"/>
    <w:p>
      <w:pPr>
        <w:spacing w:after="0"/>
        <w:ind w:left="0"/>
        <w:jc w:val="both"/>
      </w:pPr>
      <w:r>
        <w:rPr>
          <w:rFonts w:ascii="Times New Roman"/>
          <w:b w:val="false"/>
          <w:i w:val="false"/>
          <w:color w:val="000000"/>
          <w:sz w:val="28"/>
        </w:rPr>
        <w:t>
      "готовая продукция" (готовый продукт) (finished product) - лекарственный препарат, который прошел все стадии технологического процесса, включая укладку в окончательную упаковку;</w:t>
      </w:r>
    </w:p>
    <w:bookmarkEnd w:id="5760"/>
    <w:bookmarkStart w:name="z5910" w:id="5761"/>
    <w:p>
      <w:pPr>
        <w:spacing w:after="0"/>
        <w:ind w:left="0"/>
        <w:jc w:val="both"/>
      </w:pPr>
      <w:r>
        <w:rPr>
          <w:rFonts w:ascii="Times New Roman"/>
          <w:b w:val="false"/>
          <w:i w:val="false"/>
          <w:color w:val="000000"/>
          <w:sz w:val="28"/>
        </w:rPr>
        <w:t>
      "запись" (record) используется в том же значении, что и в части I настоящего Стандарта;</w:t>
      </w:r>
    </w:p>
    <w:bookmarkEnd w:id="5761"/>
    <w:bookmarkStart w:name="z5911" w:id="5762"/>
    <w:p>
      <w:pPr>
        <w:spacing w:after="0"/>
        <w:ind w:left="0"/>
        <w:jc w:val="both"/>
      </w:pPr>
      <w:r>
        <w:rPr>
          <w:rFonts w:ascii="Times New Roman"/>
          <w:b w:val="false"/>
          <w:i w:val="false"/>
          <w:color w:val="000000"/>
          <w:sz w:val="28"/>
        </w:rPr>
        <w:t>
      "изолированная зона" (contained area) - зона, построенная и эксплуатируемая таким образом (и оборудованная соответствующими системами обработки и фильтрации воздуха), чтобы предотвратить контаминацию производственной среды биологическими агентами изнутри зоны;</w:t>
      </w:r>
    </w:p>
    <w:bookmarkEnd w:id="5762"/>
    <w:bookmarkStart w:name="z5912" w:id="5763"/>
    <w:p>
      <w:pPr>
        <w:spacing w:after="0"/>
        <w:ind w:left="0"/>
        <w:jc w:val="both"/>
      </w:pPr>
      <w:r>
        <w:rPr>
          <w:rFonts w:ascii="Times New Roman"/>
          <w:b w:val="false"/>
          <w:i w:val="false"/>
          <w:color w:val="000000"/>
          <w:sz w:val="28"/>
        </w:rPr>
        <w:t>
      "изоляция" (containment) - действия по ограничению распространения биологических агентов или других контаминантов за пределы определенного пространства;</w:t>
      </w:r>
    </w:p>
    <w:bookmarkEnd w:id="5763"/>
    <w:bookmarkStart w:name="z5913" w:id="5764"/>
    <w:p>
      <w:pPr>
        <w:spacing w:after="0"/>
        <w:ind w:left="0"/>
        <w:jc w:val="both"/>
      </w:pPr>
      <w:r>
        <w:rPr>
          <w:rFonts w:ascii="Times New Roman"/>
          <w:b w:val="false"/>
          <w:i w:val="false"/>
          <w:color w:val="000000"/>
          <w:sz w:val="28"/>
        </w:rPr>
        <w:t>
      "первичная изоляция" (primary containment) - система изоляции, которая предотвращает проникновение биологического агента в близлежащую производственную зону. Это достигается использованием закрытых контейнеров или боксов для безопасного ведения биологических работ наряду с процедурами безопасного ведения процесса;</w:t>
      </w:r>
    </w:p>
    <w:bookmarkEnd w:id="5764"/>
    <w:bookmarkStart w:name="z5914" w:id="5765"/>
    <w:p>
      <w:pPr>
        <w:spacing w:after="0"/>
        <w:ind w:left="0"/>
        <w:jc w:val="both"/>
      </w:pPr>
      <w:r>
        <w:rPr>
          <w:rFonts w:ascii="Times New Roman"/>
          <w:b w:val="false"/>
          <w:i w:val="false"/>
          <w:color w:val="000000"/>
          <w:sz w:val="28"/>
        </w:rPr>
        <w:t>
      "вторичная изоляция" (secondary containment) - система изоляции, предотвращающая проникновение биологического агента во внешнюю окружающую среду или в другие рабочие зоны. Это достигается использованием помещений со специальными системами подготовки воздуха, наличием воздушных шлюзов и (или) стерилизаторов для передачи материалов наружу наряду с процедурами безопасного ведения процесса. Во многих случаях используется для повышения эффективности первичной изоляции;</w:t>
      </w:r>
    </w:p>
    <w:bookmarkEnd w:id="5765"/>
    <w:bookmarkStart w:name="z5915" w:id="5766"/>
    <w:p>
      <w:pPr>
        <w:spacing w:after="0"/>
        <w:ind w:left="0"/>
        <w:jc w:val="both"/>
      </w:pPr>
      <w:r>
        <w:rPr>
          <w:rFonts w:ascii="Times New Roman"/>
          <w:b w:val="false"/>
          <w:i w:val="false"/>
          <w:color w:val="000000"/>
          <w:sz w:val="28"/>
        </w:rPr>
        <w:t>
      "инфицированный" (infected) - зараженный посторонними биологическими агентами и, следовательно, способный к распространению инфекции;</w:t>
      </w:r>
    </w:p>
    <w:bookmarkEnd w:id="5766"/>
    <w:bookmarkStart w:name="z5916" w:id="5767"/>
    <w:p>
      <w:pPr>
        <w:spacing w:after="0"/>
        <w:ind w:left="0"/>
        <w:jc w:val="both"/>
      </w:pPr>
      <w:r>
        <w:rPr>
          <w:rFonts w:ascii="Times New Roman"/>
          <w:b w:val="false"/>
          <w:i w:val="false"/>
          <w:color w:val="000000"/>
          <w:sz w:val="28"/>
        </w:rPr>
        <w:t>
      "исходные материалы" (starting material) - любое вещество, используемое при производстве лекарственного препарата, за исключением упаковочных материалов;</w:t>
      </w:r>
    </w:p>
    <w:bookmarkEnd w:id="5767"/>
    <w:bookmarkStart w:name="z5917" w:id="5768"/>
    <w:p>
      <w:pPr>
        <w:spacing w:after="0"/>
        <w:ind w:left="0"/>
        <w:jc w:val="both"/>
      </w:pPr>
      <w:r>
        <w:rPr>
          <w:rFonts w:ascii="Times New Roman"/>
          <w:b w:val="false"/>
          <w:i w:val="false"/>
          <w:color w:val="000000"/>
          <w:sz w:val="28"/>
        </w:rPr>
        <w:t>
      "калибровка" (calibration) - совокупность операций, проводимых при заданных условиях, посредством которых устанавливается соотношение между значениями величин, полученными с помощью средства измерений (или измерительной системой), или значениями величин, представленными материальной мерой, и соответствующими известными значениями опорного эталона (стандартного образца);</w:t>
      </w:r>
    </w:p>
    <w:bookmarkEnd w:id="5768"/>
    <w:bookmarkStart w:name="z5918" w:id="5769"/>
    <w:p>
      <w:pPr>
        <w:spacing w:after="0"/>
        <w:ind w:left="0"/>
        <w:jc w:val="both"/>
      </w:pPr>
      <w:r>
        <w:rPr>
          <w:rFonts w:ascii="Times New Roman"/>
          <w:b w:val="false"/>
          <w:i w:val="false"/>
          <w:color w:val="000000"/>
          <w:sz w:val="28"/>
        </w:rPr>
        <w:t>
      "карантин" (quarantine) - статус исходного сырья, упаковочных материалов, промежуточной, нерасфасованной или готовой продукции, изолированных физически или другими эффективными способами, до вынесения решения об их выпуске или отклонении;</w:t>
      </w:r>
    </w:p>
    <w:bookmarkEnd w:id="5769"/>
    <w:bookmarkStart w:name="z5919" w:id="5770"/>
    <w:p>
      <w:pPr>
        <w:spacing w:after="0"/>
        <w:ind w:left="0"/>
        <w:jc w:val="both"/>
      </w:pPr>
      <w:r>
        <w:rPr>
          <w:rFonts w:ascii="Times New Roman"/>
          <w:b w:val="false"/>
          <w:i w:val="false"/>
          <w:color w:val="000000"/>
          <w:sz w:val="28"/>
        </w:rPr>
        <w:t>
      "квалификация" (qualification) - действия, удостоверяющие, что конкретное оборудование работает правильно и действительно ведет к ожидаемым результатам. Понятие "валидация" является более широким и иногда включает в себя понятие "квалификация";</w:t>
      </w:r>
    </w:p>
    <w:bookmarkEnd w:id="5770"/>
    <w:bookmarkStart w:name="z5920" w:id="5771"/>
    <w:p>
      <w:pPr>
        <w:spacing w:after="0"/>
        <w:ind w:left="0"/>
        <w:jc w:val="both"/>
      </w:pPr>
      <w:r>
        <w:rPr>
          <w:rFonts w:ascii="Times New Roman"/>
          <w:b w:val="false"/>
          <w:i w:val="false"/>
          <w:color w:val="000000"/>
          <w:sz w:val="28"/>
        </w:rPr>
        <w:t>
      "клеточная культура" (cell culture) - клеточная масса, полученная результате выращивания in vitro клеток, изолированных от многоклеточных организмов;</w:t>
      </w:r>
    </w:p>
    <w:bookmarkEnd w:id="5771"/>
    <w:bookmarkStart w:name="z5921" w:id="5772"/>
    <w:p>
      <w:pPr>
        <w:spacing w:after="0"/>
        <w:ind w:left="0"/>
        <w:jc w:val="both"/>
      </w:pPr>
      <w:r>
        <w:rPr>
          <w:rFonts w:ascii="Times New Roman"/>
          <w:b w:val="false"/>
          <w:i w:val="false"/>
          <w:color w:val="000000"/>
          <w:sz w:val="28"/>
        </w:rPr>
        <w:t>
      "коллектор" (manifold) - устройство или оборудование, позволяющее одновременно наполнять газом несколько баллонов (контейнеров) из одного источника;</w:t>
      </w:r>
    </w:p>
    <w:bookmarkEnd w:id="5772"/>
    <w:bookmarkStart w:name="z5922" w:id="5773"/>
    <w:p>
      <w:pPr>
        <w:spacing w:after="0"/>
        <w:ind w:left="0"/>
        <w:jc w:val="both"/>
      </w:pPr>
      <w:r>
        <w:rPr>
          <w:rFonts w:ascii="Times New Roman"/>
          <w:b w:val="false"/>
          <w:i w:val="false"/>
          <w:color w:val="000000"/>
          <w:sz w:val="28"/>
        </w:rPr>
        <w:t>
      "компьютеризированная система" (computerized system) - система, включающая ввод данных, их электронную обработку и выдачу информации, используемая либо для документального оформления, либо для автоматического управления;</w:t>
      </w:r>
    </w:p>
    <w:bookmarkEnd w:id="5773"/>
    <w:bookmarkStart w:name="z5923" w:id="5774"/>
    <w:p>
      <w:pPr>
        <w:spacing w:after="0"/>
        <w:ind w:left="0"/>
        <w:jc w:val="both"/>
      </w:pPr>
      <w:r>
        <w:rPr>
          <w:rFonts w:ascii="Times New Roman"/>
          <w:b w:val="false"/>
          <w:i w:val="false"/>
          <w:color w:val="000000"/>
          <w:sz w:val="28"/>
        </w:rPr>
        <w:t>
      "контролируемая зона" (controlled area) - зона, построенная и эксплуатируемая таким образом, чтобы контролировать возможную контаминацию и случайное распространение живых организмов (может использоваться система воздухоподготовки, приблизительно соответствующая классу D). Степень осуществляемого контроля зависет от природы организма, используемого в процессе. Как минимум, контролируемая зона эксплуатируется при отрицательном давлении по отношению к смежным помещениям и позволять эффективно устранять незначительные количества находящихся в воздухе источников контаминации;</w:t>
      </w:r>
    </w:p>
    <w:bookmarkEnd w:id="5774"/>
    <w:bookmarkStart w:name="z5924" w:id="5775"/>
    <w:p>
      <w:pPr>
        <w:spacing w:after="0"/>
        <w:ind w:left="0"/>
        <w:jc w:val="both"/>
      </w:pPr>
      <w:r>
        <w:rPr>
          <w:rFonts w:ascii="Times New Roman"/>
          <w:b w:val="false"/>
          <w:i w:val="false"/>
          <w:color w:val="000000"/>
          <w:sz w:val="28"/>
        </w:rPr>
        <w:t>
      "контроль в процессе производства" (in-process control) - проверки, осуществляемые во время технологического процесса в целях его контроля и при необходимости регулирования для обеспечения соответствия продукции спецификациям. Контроль производственной среды или оборудования также может рассматриваться как часть контроля в процессе производства;</w:t>
      </w:r>
    </w:p>
    <w:bookmarkEnd w:id="5775"/>
    <w:bookmarkStart w:name="z5925" w:id="5776"/>
    <w:p>
      <w:pPr>
        <w:spacing w:after="0"/>
        <w:ind w:left="0"/>
        <w:jc w:val="both"/>
      </w:pPr>
      <w:r>
        <w:rPr>
          <w:rFonts w:ascii="Times New Roman"/>
          <w:b w:val="false"/>
          <w:i w:val="false"/>
          <w:color w:val="000000"/>
          <w:sz w:val="28"/>
        </w:rPr>
        <w:t>
      "контроль качества" (quality control) используется в том же значении, что и в пункте 1.4 главы 1 части I настоящего Стандарта;</w:t>
      </w:r>
    </w:p>
    <w:bookmarkEnd w:id="5776"/>
    <w:bookmarkStart w:name="z5926" w:id="5777"/>
    <w:p>
      <w:pPr>
        <w:spacing w:after="0"/>
        <w:ind w:left="0"/>
        <w:jc w:val="both"/>
      </w:pPr>
      <w:r>
        <w:rPr>
          <w:rFonts w:ascii="Times New Roman"/>
          <w:b w:val="false"/>
          <w:i w:val="false"/>
          <w:color w:val="000000"/>
          <w:sz w:val="28"/>
        </w:rPr>
        <w:t>
      "криогенный сосуд" (cryogenic vessel) - контейнер, предназначенный для хранения сжиженного газа при сверхнизких температурах;</w:t>
      </w:r>
    </w:p>
    <w:bookmarkEnd w:id="5777"/>
    <w:bookmarkStart w:name="z5927" w:id="5778"/>
    <w:p>
      <w:pPr>
        <w:spacing w:after="0"/>
        <w:ind w:left="0"/>
        <w:jc w:val="both"/>
      </w:pPr>
      <w:r>
        <w:rPr>
          <w:rFonts w:ascii="Times New Roman"/>
          <w:b w:val="false"/>
          <w:i w:val="false"/>
          <w:color w:val="000000"/>
          <w:sz w:val="28"/>
        </w:rPr>
        <w:t>
      "лекарственное растительное сырье" (medicinal plant)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5778"/>
    <w:bookmarkStart w:name="z5928" w:id="5779"/>
    <w:p>
      <w:pPr>
        <w:spacing w:after="0"/>
        <w:ind w:left="0"/>
        <w:jc w:val="both"/>
      </w:pPr>
      <w:r>
        <w:rPr>
          <w:rFonts w:ascii="Times New Roman"/>
          <w:b w:val="false"/>
          <w:i w:val="false"/>
          <w:color w:val="000000"/>
          <w:sz w:val="28"/>
        </w:rPr>
        <w:t>
      "лекарственное средство" (medicinal product) - средство, представляющее собой или содержащее вещество или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состояний человека;</w:t>
      </w:r>
    </w:p>
    <w:bookmarkEnd w:id="5779"/>
    <w:bookmarkStart w:name="z5929" w:id="5780"/>
    <w:p>
      <w:pPr>
        <w:spacing w:after="0"/>
        <w:ind w:left="0"/>
        <w:jc w:val="both"/>
      </w:pPr>
      <w:r>
        <w:rPr>
          <w:rFonts w:ascii="Times New Roman"/>
          <w:b w:val="false"/>
          <w:i w:val="false"/>
          <w:color w:val="000000"/>
          <w:sz w:val="28"/>
        </w:rPr>
        <w:t>
      "лекарственный растительный препарат" (herbal medicinal product)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5780"/>
    <w:bookmarkStart w:name="z5930" w:id="5781"/>
    <w:p>
      <w:pPr>
        <w:spacing w:after="0"/>
        <w:ind w:left="0"/>
        <w:jc w:val="both"/>
      </w:pPr>
      <w:r>
        <w:rPr>
          <w:rFonts w:ascii="Times New Roman"/>
          <w:b w:val="false"/>
          <w:i w:val="false"/>
          <w:color w:val="000000"/>
          <w:sz w:val="28"/>
        </w:rPr>
        <w:t>
      "мониторинг производственной среды" - наблюдение за состоянием объектов производственной среды (помещения, оборудование, воздух рабочей зоны, технологические среды, персонал) для определения и (или) предсказания момента перехода в предельное состояние на основе сравнения измеренных параметров с заданными значениями;</w:t>
      </w:r>
    </w:p>
    <w:bookmarkEnd w:id="5781"/>
    <w:bookmarkStart w:name="z5931" w:id="5782"/>
    <w:p>
      <w:pPr>
        <w:spacing w:after="0"/>
        <w:ind w:left="0"/>
        <w:jc w:val="both"/>
      </w:pPr>
      <w:r>
        <w:rPr>
          <w:rFonts w:ascii="Times New Roman"/>
          <w:b w:val="false"/>
          <w:i w:val="false"/>
          <w:color w:val="000000"/>
          <w:sz w:val="28"/>
        </w:rPr>
        <w:t>
      "нерасфасованная продукция" (bulk product) - любая продукция, прошедшая все стадии технологического процесса за исключением окончательной упаковки;</w:t>
      </w:r>
    </w:p>
    <w:bookmarkEnd w:id="5782"/>
    <w:bookmarkStart w:name="z5932" w:id="5783"/>
    <w:p>
      <w:pPr>
        <w:spacing w:after="0"/>
        <w:ind w:left="0"/>
        <w:jc w:val="both"/>
      </w:pPr>
      <w:r>
        <w:rPr>
          <w:rFonts w:ascii="Times New Roman"/>
          <w:b w:val="false"/>
          <w:i w:val="false"/>
          <w:color w:val="000000"/>
          <w:sz w:val="28"/>
        </w:rPr>
        <w:t>
      "номер серии", "номер партии" (batch number or lot number) - отличительная комбинация цифр, букв и (или) символов, которая идентифицирует серию (партию) и на основании которых можно проследить историю ее производства и реализации;</w:t>
      </w:r>
    </w:p>
    <w:bookmarkEnd w:id="5783"/>
    <w:bookmarkStart w:name="z5933" w:id="5784"/>
    <w:p>
      <w:pPr>
        <w:spacing w:after="0"/>
        <w:ind w:left="0"/>
        <w:jc w:val="both"/>
      </w:pPr>
      <w:r>
        <w:rPr>
          <w:rFonts w:ascii="Times New Roman"/>
          <w:b w:val="false"/>
          <w:i w:val="false"/>
          <w:color w:val="000000"/>
          <w:sz w:val="28"/>
        </w:rPr>
        <w:t>
      "перекрестная контаминация" (cross contamination) - загрязнение исходного сырья или продукции другим исходным сырьем или другой продукцией;</w:t>
      </w:r>
    </w:p>
    <w:bookmarkEnd w:id="5784"/>
    <w:bookmarkStart w:name="z5934" w:id="5785"/>
    <w:p>
      <w:pPr>
        <w:spacing w:after="0"/>
        <w:ind w:left="0"/>
        <w:jc w:val="both"/>
      </w:pPr>
      <w:r>
        <w:rPr>
          <w:rFonts w:ascii="Times New Roman"/>
          <w:b w:val="false"/>
          <w:i w:val="false"/>
          <w:color w:val="000000"/>
          <w:sz w:val="28"/>
        </w:rPr>
        <w:t>
      "переработка" (reprocessing) - переработка всей или части серии продукции неприемлемого качества на определенной стадии технологического процесса так, чтобы ее качество могло стать приемлемым, посредством одной или нескольких дополнительных операций;</w:t>
      </w:r>
    </w:p>
    <w:bookmarkEnd w:id="5785"/>
    <w:bookmarkStart w:name="z5935" w:id="5786"/>
    <w:p>
      <w:pPr>
        <w:spacing w:after="0"/>
        <w:ind w:left="0"/>
        <w:jc w:val="both"/>
      </w:pPr>
      <w:r>
        <w:rPr>
          <w:rFonts w:ascii="Times New Roman"/>
          <w:b w:val="false"/>
          <w:i w:val="false"/>
          <w:color w:val="000000"/>
          <w:sz w:val="28"/>
        </w:rPr>
        <w:t>
      "повторное использование" (recovery) - введение произведенной ранее серии продукции требуемого качества (или ее части) в другую серию продукции на определенной стадии производства;</w:t>
      </w:r>
    </w:p>
    <w:bookmarkEnd w:id="5786"/>
    <w:bookmarkStart w:name="z5936" w:id="5787"/>
    <w:p>
      <w:pPr>
        <w:spacing w:after="0"/>
        <w:ind w:left="0"/>
        <w:jc w:val="both"/>
      </w:pPr>
      <w:r>
        <w:rPr>
          <w:rFonts w:ascii="Times New Roman"/>
          <w:b w:val="false"/>
          <w:i w:val="false"/>
          <w:color w:val="000000"/>
          <w:sz w:val="28"/>
        </w:rPr>
        <w:t>
      "посевная культура" (seed lot) - система посевной культуры (seed lot system): Система, в соответствии с которой последовательные серии продукции производят из одной и той же главной посевной культуры при определенном количестве пересевов (пассажей). Для обычного производства рабочую посевную культуру готовят из главной посевной культуры. Исходя из требований безопасности и эффективности, при производстве готовой продукции, которую получают из рабочей посевной культуры, не используется большее количество пассажей из главной посевной культуры, чем для вакцины, прошедшей клинические исследования. Происхождение и количество пассажей главной посевной культуры и рабочей посевной культуры оформлены документально;</w:t>
      </w:r>
    </w:p>
    <w:bookmarkEnd w:id="5787"/>
    <w:bookmarkStart w:name="z5937" w:id="5788"/>
    <w:p>
      <w:pPr>
        <w:spacing w:after="0"/>
        <w:ind w:left="0"/>
        <w:jc w:val="both"/>
      </w:pPr>
      <w:r>
        <w:rPr>
          <w:rFonts w:ascii="Times New Roman"/>
          <w:b w:val="false"/>
          <w:i w:val="false"/>
          <w:color w:val="000000"/>
          <w:sz w:val="28"/>
        </w:rPr>
        <w:t>
      "главная посевная культура" (master seed lot) - культура микроорганизмов, распределенная из одного объема посевной культуры в емкости в процессе одной операции таким образом, чтобы обеспечить однородность, предотвратить контаминацию и гарантировать стабильность. Главную посевную культуру в жидком виде обычно хранят при температуре минус 70°C или ниже, в лиофилизированном виде - при известной температуре, обеспечивающей стабильность;</w:t>
      </w:r>
    </w:p>
    <w:bookmarkEnd w:id="5788"/>
    <w:bookmarkStart w:name="z5938" w:id="5789"/>
    <w:p>
      <w:pPr>
        <w:spacing w:after="0"/>
        <w:ind w:left="0"/>
        <w:jc w:val="both"/>
      </w:pPr>
      <w:r>
        <w:rPr>
          <w:rFonts w:ascii="Times New Roman"/>
          <w:b w:val="false"/>
          <w:i w:val="false"/>
          <w:color w:val="000000"/>
          <w:sz w:val="28"/>
        </w:rPr>
        <w:t>
      "рабочая посевная культура" (working seed lot) - культура микроорганизмов, полученная из главной посевной культуры и предназначенная для использования в производстве. Рабочую посевную культуру распределяют в емкости и хранят, как описано выше для главных посевных культур;</w:t>
      </w:r>
    </w:p>
    <w:bookmarkEnd w:id="5789"/>
    <w:bookmarkStart w:name="z5939" w:id="5790"/>
    <w:p>
      <w:pPr>
        <w:spacing w:after="0"/>
        <w:ind w:left="0"/>
        <w:jc w:val="both"/>
      </w:pPr>
      <w:r>
        <w:rPr>
          <w:rFonts w:ascii="Times New Roman"/>
          <w:b w:val="false"/>
          <w:i w:val="false"/>
          <w:color w:val="000000"/>
          <w:sz w:val="28"/>
        </w:rPr>
        <w:t>
      "производитель" (manufacturer) - организация, осуществляющая деятельность по производству лекарственных средств;</w:t>
      </w:r>
    </w:p>
    <w:bookmarkEnd w:id="5790"/>
    <w:bookmarkStart w:name="z5940" w:id="5791"/>
    <w:p>
      <w:pPr>
        <w:spacing w:after="0"/>
        <w:ind w:left="0"/>
        <w:jc w:val="both"/>
      </w:pPr>
      <w:r>
        <w:rPr>
          <w:rFonts w:ascii="Times New Roman"/>
          <w:b w:val="false"/>
          <w:i w:val="false"/>
          <w:color w:val="000000"/>
          <w:sz w:val="28"/>
        </w:rPr>
        <w:t>
      "производство" (manufacture) - все операции по закупке исходного сырья, материалов и продукции, технологическому процессу, контролю качества, выдаче разрешения на выпуск, хранению, реализации лекарственных средств и по соответствующему контролю;</w:t>
      </w:r>
    </w:p>
    <w:bookmarkEnd w:id="5791"/>
    <w:bookmarkStart w:name="z5941" w:id="5792"/>
    <w:p>
      <w:pPr>
        <w:spacing w:after="0"/>
        <w:ind w:left="0"/>
        <w:jc w:val="both"/>
      </w:pPr>
      <w:r>
        <w:rPr>
          <w:rFonts w:ascii="Times New Roman"/>
          <w:b w:val="false"/>
          <w:i w:val="false"/>
          <w:color w:val="000000"/>
          <w:sz w:val="28"/>
        </w:rPr>
        <w:t>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bookmarkEnd w:id="5792"/>
    <w:bookmarkStart w:name="z5942" w:id="5793"/>
    <w:p>
      <w:pPr>
        <w:spacing w:after="0"/>
        <w:ind w:left="0"/>
        <w:jc w:val="both"/>
      </w:pPr>
      <w:r>
        <w:rPr>
          <w:rFonts w:ascii="Times New Roman"/>
          <w:b w:val="false"/>
          <w:i w:val="false"/>
          <w:color w:val="000000"/>
          <w:sz w:val="28"/>
        </w:rPr>
        <w:t>
      "промежуточная продукция" (intermediate product) - частично обработанное исходное сырье, которое проходит последующие стадии производства прежде, чем оно станет нерасфасованной продукцией;</w:t>
      </w:r>
    </w:p>
    <w:bookmarkEnd w:id="5793"/>
    <w:bookmarkStart w:name="z5943" w:id="5794"/>
    <w:p>
      <w:pPr>
        <w:spacing w:after="0"/>
        <w:ind w:left="0"/>
        <w:jc w:val="both"/>
      </w:pPr>
      <w:r>
        <w:rPr>
          <w:rFonts w:ascii="Times New Roman"/>
          <w:b w:val="false"/>
          <w:i w:val="false"/>
          <w:color w:val="000000"/>
          <w:sz w:val="28"/>
        </w:rPr>
        <w:t>
      "процедура" (procedures) - описание обязательных для выполнения операций и мер предосторожности, а также всех необходимых мероприятий, осуществление которых прямо или косвенно связано с производством лекарственного средства;</w:t>
      </w:r>
    </w:p>
    <w:bookmarkEnd w:id="5794"/>
    <w:bookmarkStart w:name="z5944" w:id="5795"/>
    <w:p>
      <w:pPr>
        <w:spacing w:after="0"/>
        <w:ind w:left="0"/>
        <w:jc w:val="both"/>
      </w:pPr>
      <w:r>
        <w:rPr>
          <w:rFonts w:ascii="Times New Roman"/>
          <w:b w:val="false"/>
          <w:i w:val="false"/>
          <w:color w:val="000000"/>
          <w:sz w:val="28"/>
        </w:rPr>
        <w:t>
      "радиофармацевтическое лекарственное средство" (radio pharmaceutical) - любое лекарственное средство, которое в готовом для применения виде содержит один или несколько радионуклидов (радиоактивных изотопов), введенных в него в медицинских целях;</w:t>
      </w:r>
    </w:p>
    <w:bookmarkEnd w:id="5795"/>
    <w:bookmarkStart w:name="z5945" w:id="5796"/>
    <w:p>
      <w:pPr>
        <w:spacing w:after="0"/>
        <w:ind w:left="0"/>
        <w:jc w:val="both"/>
      </w:pPr>
      <w:r>
        <w:rPr>
          <w:rFonts w:ascii="Times New Roman"/>
          <w:b w:val="false"/>
          <w:i w:val="false"/>
          <w:color w:val="000000"/>
          <w:sz w:val="28"/>
        </w:rPr>
        <w:t>
      "серия", "партия" (batch, lot) - определенное количество исходного сырья, упаковочных материалов или продукции, подвергаемое обработке в одном или в ряде последовательных технологических процессов таким образом, чтобы рассчитывать на однородность продукции. Для завершения некоторых этапов производства иногда необходимо разделить серию на определенное количество подсерий, которые позже объединяют для получения окончательной однородной серии. При непрерывном производстве понятие серии относиться к определенной части продукции, характеризуемой однородностью.</w:t>
      </w:r>
    </w:p>
    <w:bookmarkEnd w:id="5796"/>
    <w:bookmarkStart w:name="z5946" w:id="5797"/>
    <w:p>
      <w:pPr>
        <w:spacing w:after="0"/>
        <w:ind w:left="0"/>
        <w:jc w:val="both"/>
      </w:pPr>
      <w:r>
        <w:rPr>
          <w:rFonts w:ascii="Times New Roman"/>
          <w:b w:val="false"/>
          <w:i w:val="false"/>
          <w:color w:val="000000"/>
          <w:sz w:val="28"/>
        </w:rPr>
        <w:t>
      Применимо также следующее определение серии в отношении контроля готовой продукции: "При контроле готовой продукции считается, что к серии лекарственного препарата относятся все единицы данной лекарственной формы, которые произведены из одного исходного количества материала и прошли одну и ту же серию производственных операций или операцию по стерилизации, или при непрерывном технологическом процессе все единицы, произведенные в данный период времени";</w:t>
      </w:r>
    </w:p>
    <w:bookmarkEnd w:id="5797"/>
    <w:bookmarkStart w:name="z5947" w:id="5798"/>
    <w:p>
      <w:pPr>
        <w:spacing w:after="0"/>
        <w:ind w:left="0"/>
        <w:jc w:val="both"/>
      </w:pPr>
      <w:r>
        <w:rPr>
          <w:rFonts w:ascii="Times New Roman"/>
          <w:b w:val="false"/>
          <w:i w:val="false"/>
          <w:color w:val="000000"/>
          <w:sz w:val="28"/>
        </w:rPr>
        <w:t>
      "сжиженные газы" (liquefiable gases) - газы, которые при стандартных температуре и давлении наполнения находятся в баллоне в сжиженном виде;</w:t>
      </w:r>
    </w:p>
    <w:bookmarkEnd w:id="5798"/>
    <w:bookmarkStart w:name="z5948" w:id="5799"/>
    <w:p>
      <w:pPr>
        <w:spacing w:after="0"/>
        <w:ind w:left="0"/>
        <w:jc w:val="both"/>
      </w:pPr>
      <w:r>
        <w:rPr>
          <w:rFonts w:ascii="Times New Roman"/>
          <w:b w:val="false"/>
          <w:i w:val="false"/>
          <w:color w:val="000000"/>
          <w:sz w:val="28"/>
        </w:rPr>
        <w:t>
      "система" (system) - регулируемая модель взаимосвязанных действий и технических средств, объединенных для создания организованного целого;</w:t>
      </w:r>
    </w:p>
    <w:bookmarkEnd w:id="5799"/>
    <w:bookmarkStart w:name="z5949" w:id="5800"/>
    <w:p>
      <w:pPr>
        <w:spacing w:after="0"/>
        <w:ind w:left="0"/>
        <w:jc w:val="both"/>
      </w:pPr>
      <w:r>
        <w:rPr>
          <w:rFonts w:ascii="Times New Roman"/>
          <w:b w:val="false"/>
          <w:i w:val="false"/>
          <w:color w:val="000000"/>
          <w:sz w:val="28"/>
        </w:rPr>
        <w:t>
      "спецификация" (specification) используется в том же значении, что и в части I Стандарта надлежащей производственной практики;</w:t>
      </w:r>
    </w:p>
    <w:bookmarkEnd w:id="5800"/>
    <w:bookmarkStart w:name="z5950" w:id="5801"/>
    <w:p>
      <w:pPr>
        <w:spacing w:after="0"/>
        <w:ind w:left="0"/>
        <w:jc w:val="both"/>
      </w:pPr>
      <w:r>
        <w:rPr>
          <w:rFonts w:ascii="Times New Roman"/>
          <w:b w:val="false"/>
          <w:i w:val="false"/>
          <w:color w:val="000000"/>
          <w:sz w:val="28"/>
        </w:rPr>
        <w:t>
      "стерильность" (sterility) - отсутствие живых организмов. Требования к проведению контроля стерильности приведены в соответствующей фармакопее;</w:t>
      </w:r>
    </w:p>
    <w:bookmarkEnd w:id="5801"/>
    <w:bookmarkStart w:name="z5951" w:id="5802"/>
    <w:p>
      <w:pPr>
        <w:spacing w:after="0"/>
        <w:ind w:left="0"/>
        <w:jc w:val="both"/>
      </w:pPr>
      <w:r>
        <w:rPr>
          <w:rFonts w:ascii="Times New Roman"/>
          <w:b w:val="false"/>
          <w:i w:val="false"/>
          <w:color w:val="000000"/>
          <w:sz w:val="28"/>
        </w:rPr>
        <w:t>
      "тара" (container) - изделие - элемент упаковки, предназначенное для размещения продукции;</w:t>
      </w:r>
    </w:p>
    <w:bookmarkEnd w:id="5802"/>
    <w:bookmarkStart w:name="z5952" w:id="5803"/>
    <w:p>
      <w:pPr>
        <w:spacing w:after="0"/>
        <w:ind w:left="0"/>
        <w:jc w:val="both"/>
      </w:pPr>
      <w:r>
        <w:rPr>
          <w:rFonts w:ascii="Times New Roman"/>
          <w:b w:val="false"/>
          <w:i w:val="false"/>
          <w:color w:val="000000"/>
          <w:sz w:val="28"/>
        </w:rPr>
        <w:t>
      "технологический процесс" (production) - все операции, связанные</w:t>
      </w:r>
    </w:p>
    <w:bookmarkEnd w:id="5803"/>
    <w:bookmarkStart w:name="z5953" w:id="5804"/>
    <w:p>
      <w:pPr>
        <w:spacing w:after="0"/>
        <w:ind w:left="0"/>
        <w:jc w:val="both"/>
      </w:pPr>
      <w:r>
        <w:rPr>
          <w:rFonts w:ascii="Times New Roman"/>
          <w:b w:val="false"/>
          <w:i w:val="false"/>
          <w:color w:val="000000"/>
          <w:sz w:val="28"/>
        </w:rPr>
        <w:t>
      с производством лекарственного средства, начинающиеся с приемки исходного сырья, продолжающиеся обработкой и упаковкой и завершающиеся получением готовой продукции;</w:t>
      </w:r>
    </w:p>
    <w:bookmarkEnd w:id="5804"/>
    <w:bookmarkStart w:name="z5954" w:id="5805"/>
    <w:p>
      <w:pPr>
        <w:spacing w:after="0"/>
        <w:ind w:left="0"/>
        <w:jc w:val="both"/>
      </w:pPr>
      <w:r>
        <w:rPr>
          <w:rFonts w:ascii="Times New Roman"/>
          <w:b w:val="false"/>
          <w:i w:val="false"/>
          <w:color w:val="000000"/>
          <w:sz w:val="28"/>
        </w:rPr>
        <w:t>
      "упаковка" (packaging) - все операции, включая фасовку и маркировку, которые необходимо пройти нерасфасованной продукции, чтобы стать готовой продукцией. Наполнение стерильной продукции, как правило, не следует рассматривать как часть процесса упаковки, поскольку в первичные упаковки продукция дозируется, но окончательно не упаковывается;</w:t>
      </w:r>
    </w:p>
    <w:bookmarkEnd w:id="5805"/>
    <w:bookmarkStart w:name="z5955" w:id="5806"/>
    <w:p>
      <w:pPr>
        <w:spacing w:after="0"/>
        <w:ind w:left="0"/>
        <w:jc w:val="both"/>
      </w:pPr>
      <w:r>
        <w:rPr>
          <w:rFonts w:ascii="Times New Roman"/>
          <w:b w:val="false"/>
          <w:i w:val="false"/>
          <w:color w:val="000000"/>
          <w:sz w:val="28"/>
        </w:rPr>
        <w:t>
      "упаковочный материал" (packaging material) - любой материал, используемый при упаковке лекарственного средства, кроме любой транспортной тары для транспортирования или отгрузки. 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bookmarkEnd w:id="5806"/>
    <w:bookmarkStart w:name="z5956" w:id="5807"/>
    <w:p>
      <w:pPr>
        <w:spacing w:after="0"/>
        <w:ind w:left="0"/>
        <w:jc w:val="both"/>
      </w:pPr>
      <w:r>
        <w:rPr>
          <w:rFonts w:ascii="Times New Roman"/>
          <w:b w:val="false"/>
          <w:i w:val="false"/>
          <w:color w:val="000000"/>
          <w:sz w:val="28"/>
        </w:rPr>
        <w:t>
      "чистая зона" (clean area) - зона, в которой контролируется производственная среда на наличие контаминирующих частиц и микроорганизмов, построенная и эксплуатируемая таким образом, чтобы уменьшить проникновение, образование и сохранение контаминантов внутри зоны. Различные уровни контроля производственной среды установлены в соответствии с приложением № 1 Стандарта надлежащей производственной практики;</w:t>
      </w:r>
    </w:p>
    <w:bookmarkEnd w:id="5807"/>
    <w:bookmarkStart w:name="z5957" w:id="5808"/>
    <w:p>
      <w:pPr>
        <w:spacing w:after="0"/>
        <w:ind w:left="0"/>
        <w:jc w:val="both"/>
      </w:pPr>
      <w:r>
        <w:rPr>
          <w:rFonts w:ascii="Times New Roman"/>
          <w:b w:val="false"/>
          <w:i w:val="false"/>
          <w:color w:val="000000"/>
          <w:sz w:val="28"/>
        </w:rPr>
        <w:t>
      "чистая (изолированная) зона" (clean contained area) - зона, построенная и эксплуатируемая таким образом, что она одновременно является чистой и изолированной зоной;</w:t>
      </w:r>
    </w:p>
    <w:bookmarkEnd w:id="5808"/>
    <w:bookmarkStart w:name="z5958" w:id="5809"/>
    <w:p>
      <w:pPr>
        <w:spacing w:after="0"/>
        <w:ind w:left="0"/>
        <w:jc w:val="both"/>
      </w:pPr>
      <w:r>
        <w:rPr>
          <w:rFonts w:ascii="Times New Roman"/>
          <w:b w:val="false"/>
          <w:i w:val="false"/>
          <w:color w:val="000000"/>
          <w:sz w:val="28"/>
        </w:rPr>
        <w:t>
      "экзотический организм" (exotic organism) - биологический агент, вызывающий заболевание, отсутствующее в данной стране или географической зоне, либо являющийся объектом профилактических мер или программы по его устранению в данном государстве или в этой географической зоне.</w:t>
      </w:r>
    </w:p>
    <w:bookmarkEnd w:id="5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2021 года</w:t>
            </w:r>
            <w:r>
              <w:br/>
            </w:r>
            <w:r>
              <w:rPr>
                <w:rFonts w:ascii="Times New Roman"/>
                <w:b w:val="false"/>
                <w:i w:val="false"/>
                <w:color w:val="000000"/>
                <w:sz w:val="20"/>
              </w:rPr>
              <w:t>№ ҚР ДСМ-15</w:t>
            </w:r>
          </w:p>
        </w:tc>
      </w:tr>
    </w:tbl>
    <w:bookmarkStart w:name="z5960" w:id="5810"/>
    <w:p>
      <w:pPr>
        <w:spacing w:after="0"/>
        <w:ind w:left="0"/>
        <w:jc w:val="left"/>
      </w:pPr>
      <w:r>
        <w:rPr>
          <w:rFonts w:ascii="Times New Roman"/>
          <w:b/>
          <w:i w:val="false"/>
          <w:color w:val="000000"/>
        </w:rPr>
        <w:t xml:space="preserve"> Стандарт надлежащей дистрибьюторской практики (GDP)</w:t>
      </w:r>
    </w:p>
    <w:bookmarkEnd w:id="5810"/>
    <w:bookmarkStart w:name="z5961" w:id="5811"/>
    <w:p>
      <w:pPr>
        <w:spacing w:after="0"/>
        <w:ind w:left="0"/>
        <w:jc w:val="left"/>
      </w:pPr>
      <w:r>
        <w:rPr>
          <w:rFonts w:ascii="Times New Roman"/>
          <w:b/>
          <w:i w:val="false"/>
          <w:color w:val="000000"/>
        </w:rPr>
        <w:t xml:space="preserve"> Глава 1. Общие положения</w:t>
      </w:r>
    </w:p>
    <w:bookmarkEnd w:id="5811"/>
    <w:bookmarkStart w:name="z5962" w:id="5812"/>
    <w:p>
      <w:pPr>
        <w:spacing w:after="0"/>
        <w:ind w:left="0"/>
        <w:jc w:val="both"/>
      </w:pPr>
      <w:r>
        <w:rPr>
          <w:rFonts w:ascii="Times New Roman"/>
          <w:b w:val="false"/>
          <w:i w:val="false"/>
          <w:color w:val="000000"/>
          <w:sz w:val="28"/>
        </w:rPr>
        <w:t>
      1. Настоящий Стандарт надлежащей дистрибьюторской практики (GDP) (далее - Стандарт) является частью системы обеспечения качества и устанавливает правила в отношении дистрибьюции лекарственных средств.</w:t>
      </w:r>
    </w:p>
    <w:bookmarkEnd w:id="5812"/>
    <w:bookmarkStart w:name="z5963" w:id="5813"/>
    <w:p>
      <w:pPr>
        <w:spacing w:after="0"/>
        <w:ind w:left="0"/>
        <w:jc w:val="both"/>
      </w:pPr>
      <w:r>
        <w:rPr>
          <w:rFonts w:ascii="Times New Roman"/>
          <w:b w:val="false"/>
          <w:i w:val="false"/>
          <w:color w:val="000000"/>
          <w:sz w:val="28"/>
        </w:rPr>
        <w:t>
      2. Требования настоящего Стандарта применяются в отношении всех лиц, участвующих в дистрибьюции лекарственных средств в соответствии с выполняемыми ими функциями, включая дистрибьюторов и производителей лекарственных средств, осуществляющих дистрибьюцию, независимо от ведомственной принадлежности и формы собственности.</w:t>
      </w:r>
    </w:p>
    <w:bookmarkEnd w:id="5813"/>
    <w:bookmarkStart w:name="z5964" w:id="5814"/>
    <w:p>
      <w:pPr>
        <w:spacing w:after="0"/>
        <w:ind w:left="0"/>
        <w:jc w:val="both"/>
      </w:pPr>
      <w:r>
        <w:rPr>
          <w:rFonts w:ascii="Times New Roman"/>
          <w:b w:val="false"/>
          <w:i w:val="false"/>
          <w:color w:val="000000"/>
          <w:sz w:val="28"/>
        </w:rPr>
        <w:t>
      Целью надлежащей дистрибьюторской практики является соблюдение надлежащих условий хранения, транспортировки и распространения, необходимых для обеспечения качества, безопасности и эффективности лекарственных средств по всей цепи поставки, а также предотвращения риска проникновения фальсифицированных лекарственных средств в цепь поставки.</w:t>
      </w:r>
    </w:p>
    <w:bookmarkEnd w:id="5814"/>
    <w:bookmarkStart w:name="z5965" w:id="5815"/>
    <w:p>
      <w:pPr>
        <w:spacing w:after="0"/>
        <w:ind w:left="0"/>
        <w:jc w:val="both"/>
      </w:pPr>
      <w:r>
        <w:rPr>
          <w:rFonts w:ascii="Times New Roman"/>
          <w:b w:val="false"/>
          <w:i w:val="false"/>
          <w:color w:val="000000"/>
          <w:sz w:val="28"/>
        </w:rPr>
        <w:t>
      3. Соблюдение требований настоящего Стандарта обеспечит контроль цепи поставки и позволит сохранить качество и целостность лекарственных средств.</w:t>
      </w:r>
    </w:p>
    <w:bookmarkEnd w:id="5815"/>
    <w:bookmarkStart w:name="z5966" w:id="5816"/>
    <w:p>
      <w:pPr>
        <w:spacing w:after="0"/>
        <w:ind w:left="0"/>
        <w:jc w:val="left"/>
      </w:pPr>
      <w:r>
        <w:rPr>
          <w:rFonts w:ascii="Times New Roman"/>
          <w:b/>
          <w:i w:val="false"/>
          <w:color w:val="000000"/>
        </w:rPr>
        <w:t xml:space="preserve"> Глава 2. Определения</w:t>
      </w:r>
    </w:p>
    <w:bookmarkEnd w:id="5816"/>
    <w:bookmarkStart w:name="z5967" w:id="5817"/>
    <w:p>
      <w:pPr>
        <w:spacing w:after="0"/>
        <w:ind w:left="0"/>
        <w:jc w:val="both"/>
      </w:pPr>
      <w:r>
        <w:rPr>
          <w:rFonts w:ascii="Times New Roman"/>
          <w:b w:val="false"/>
          <w:i w:val="false"/>
          <w:color w:val="000000"/>
          <w:sz w:val="28"/>
        </w:rPr>
        <w:t>
      4. Для целей настоящего Стандарта используются понятия, которые означают следующее:</w:t>
      </w:r>
    </w:p>
    <w:bookmarkEnd w:id="5817"/>
    <w:bookmarkStart w:name="z5968" w:id="5818"/>
    <w:p>
      <w:pPr>
        <w:spacing w:after="0"/>
        <w:ind w:left="0"/>
        <w:jc w:val="both"/>
      </w:pPr>
      <w:r>
        <w:rPr>
          <w:rFonts w:ascii="Times New Roman"/>
          <w:b w:val="false"/>
          <w:i w:val="false"/>
          <w:color w:val="000000"/>
          <w:sz w:val="28"/>
        </w:rPr>
        <w:t>
      1) валидация - документально оформленные действия, доказывающие, что процедура, процесс, оборудование, материал, операция или система соответствуют заданным требованиям и их использование будет постоянно приводить к результатам, соответствующим заранее установленным критериям приемлемости;</w:t>
      </w:r>
    </w:p>
    <w:bookmarkEnd w:id="5818"/>
    <w:bookmarkStart w:name="z5969" w:id="5819"/>
    <w:p>
      <w:pPr>
        <w:spacing w:after="0"/>
        <w:ind w:left="0"/>
        <w:jc w:val="both"/>
      </w:pPr>
      <w:r>
        <w:rPr>
          <w:rFonts w:ascii="Times New Roman"/>
          <w:b w:val="false"/>
          <w:i w:val="false"/>
          <w:color w:val="000000"/>
          <w:sz w:val="28"/>
        </w:rPr>
        <w:t>
      2) возврат - отправка лекарственных средств в адрес производителя или дистрибьютора независимо от того, имеет ли эта продукция дефект качества;</w:t>
      </w:r>
    </w:p>
    <w:bookmarkEnd w:id="5819"/>
    <w:bookmarkStart w:name="z5970" w:id="5820"/>
    <w:p>
      <w:pPr>
        <w:spacing w:after="0"/>
        <w:ind w:left="0"/>
        <w:jc w:val="both"/>
      </w:pPr>
      <w:r>
        <w:rPr>
          <w:rFonts w:ascii="Times New Roman"/>
          <w:b w:val="false"/>
          <w:i w:val="false"/>
          <w:color w:val="000000"/>
          <w:sz w:val="28"/>
        </w:rPr>
        <w:t>
      3) дистрибьюция - деятельность, связанная с закупкой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w:t>
      </w:r>
    </w:p>
    <w:bookmarkEnd w:id="5820"/>
    <w:bookmarkStart w:name="z5971" w:id="5821"/>
    <w:p>
      <w:pPr>
        <w:spacing w:after="0"/>
        <w:ind w:left="0"/>
        <w:jc w:val="both"/>
      </w:pPr>
      <w:r>
        <w:rPr>
          <w:rFonts w:ascii="Times New Roman"/>
          <w:b w:val="false"/>
          <w:i w:val="false"/>
          <w:color w:val="000000"/>
          <w:sz w:val="28"/>
        </w:rPr>
        <w:t>
      4) дистрибьютор - организация оптовой реализации, имеющая соответствующую лицензию, выданную уполномоченным органом на осуществление дистрибьюции, в том числе на хранение и транспортировку лекарственных средств, и осуществляющая деятельность по их дистрибьюции;</w:t>
      </w:r>
    </w:p>
    <w:bookmarkEnd w:id="5821"/>
    <w:bookmarkStart w:name="z5972" w:id="5822"/>
    <w:p>
      <w:pPr>
        <w:spacing w:after="0"/>
        <w:ind w:left="0"/>
        <w:jc w:val="both"/>
      </w:pPr>
      <w:r>
        <w:rPr>
          <w:rFonts w:ascii="Times New Roman"/>
          <w:b w:val="false"/>
          <w:i w:val="false"/>
          <w:color w:val="000000"/>
          <w:sz w:val="28"/>
        </w:rPr>
        <w:t>
      5) зона - помещение или часть помещений, специально предназначенных для выполнения различных функций;</w:t>
      </w:r>
    </w:p>
    <w:bookmarkEnd w:id="5822"/>
    <w:bookmarkStart w:name="z5973" w:id="5823"/>
    <w:p>
      <w:pPr>
        <w:spacing w:after="0"/>
        <w:ind w:left="0"/>
        <w:jc w:val="both"/>
      </w:pPr>
      <w:r>
        <w:rPr>
          <w:rFonts w:ascii="Times New Roman"/>
          <w:b w:val="false"/>
          <w:i w:val="false"/>
          <w:color w:val="000000"/>
          <w:sz w:val="28"/>
        </w:rPr>
        <w:t>
      6)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5823"/>
    <w:bookmarkStart w:name="z5974" w:id="5824"/>
    <w:p>
      <w:pPr>
        <w:spacing w:after="0"/>
        <w:ind w:left="0"/>
        <w:jc w:val="both"/>
      </w:pPr>
      <w:r>
        <w:rPr>
          <w:rFonts w:ascii="Times New Roman"/>
          <w:b w:val="false"/>
          <w:i w:val="false"/>
          <w:color w:val="000000"/>
          <w:sz w:val="28"/>
        </w:rPr>
        <w:t>
      7) квалификация - документально оформленные действия, удостоверяющие и подтверждающие, что оборудование или вспомогательные системы смонтированы должным образом, правильно функционируют и действительно приводят к ожидаемым результатам;</w:t>
      </w:r>
    </w:p>
    <w:bookmarkEnd w:id="5824"/>
    <w:bookmarkStart w:name="z5975" w:id="5825"/>
    <w:p>
      <w:pPr>
        <w:spacing w:after="0"/>
        <w:ind w:left="0"/>
        <w:jc w:val="both"/>
      </w:pPr>
      <w:r>
        <w:rPr>
          <w:rFonts w:ascii="Times New Roman"/>
          <w:b w:val="false"/>
          <w:i w:val="false"/>
          <w:color w:val="000000"/>
          <w:sz w:val="28"/>
        </w:rPr>
        <w:t>
      8) надлежащая дистрибьюторская практика (GDP) - часть системы обеспечения качества, гарантирующая качество лекарственных средств на протяжении всех этапов цепи поставки, включая хранение и транспортировку от производителя до субъектов, осуществляющих оптовую реализацию, розничную реализацию и организаций, осуществляющих медицинскую деятельность;</w:t>
      </w:r>
    </w:p>
    <w:bookmarkEnd w:id="5825"/>
    <w:bookmarkStart w:name="z5976" w:id="5826"/>
    <w:p>
      <w:pPr>
        <w:spacing w:after="0"/>
        <w:ind w:left="0"/>
        <w:jc w:val="both"/>
      </w:pPr>
      <w:r>
        <w:rPr>
          <w:rFonts w:ascii="Times New Roman"/>
          <w:b w:val="false"/>
          <w:i w:val="false"/>
          <w:color w:val="000000"/>
          <w:sz w:val="28"/>
        </w:rPr>
        <w:t>
      9) обеспечение качества лекарственных средств - совокупность всех организационных мероприятий, проведенных в целях удовлетворения требованиям качества лекарственных средств в соответствии с их назначением;</w:t>
      </w:r>
    </w:p>
    <w:bookmarkEnd w:id="5826"/>
    <w:bookmarkStart w:name="z5977" w:id="5827"/>
    <w:p>
      <w:pPr>
        <w:spacing w:after="0"/>
        <w:ind w:left="0"/>
        <w:jc w:val="both"/>
      </w:pPr>
      <w:r>
        <w:rPr>
          <w:rFonts w:ascii="Times New Roman"/>
          <w:b w:val="false"/>
          <w:i w:val="false"/>
          <w:color w:val="000000"/>
          <w:sz w:val="28"/>
        </w:rPr>
        <w:t>
      10) обзор риска - обзор или мониторинг результатов процесса управления риском с учетом (при необходимости) новых знаний и опыта относительно риска;</w:t>
      </w:r>
    </w:p>
    <w:bookmarkEnd w:id="5827"/>
    <w:bookmarkStart w:name="z5978" w:id="5828"/>
    <w:p>
      <w:pPr>
        <w:spacing w:after="0"/>
        <w:ind w:left="0"/>
        <w:jc w:val="both"/>
      </w:pPr>
      <w:r>
        <w:rPr>
          <w:rFonts w:ascii="Times New Roman"/>
          <w:b w:val="false"/>
          <w:i w:val="false"/>
          <w:color w:val="000000"/>
          <w:sz w:val="28"/>
        </w:rPr>
        <w:t>
      11) отзыв - действие, направленное на изъятие из цепи поставки лекарственных средств в случае выявления их ненадлежащего качества или выявления серьезных нежелательных реакций и которое инициируется производителем, импортером, дистрибьютором, поставщиком или уполномоченным органом;</w:t>
      </w:r>
    </w:p>
    <w:bookmarkEnd w:id="5828"/>
    <w:bookmarkStart w:name="z5979" w:id="5829"/>
    <w:p>
      <w:pPr>
        <w:spacing w:after="0"/>
        <w:ind w:left="0"/>
        <w:jc w:val="both"/>
      </w:pPr>
      <w:r>
        <w:rPr>
          <w:rFonts w:ascii="Times New Roman"/>
          <w:b w:val="false"/>
          <w:i w:val="false"/>
          <w:color w:val="000000"/>
          <w:sz w:val="28"/>
        </w:rPr>
        <w:t>
      12) оценка риска - сравнение предполагаемого риска с данными критериями риска с использованием количественной и качественной определенности значимости риска;</w:t>
      </w:r>
    </w:p>
    <w:bookmarkEnd w:id="5829"/>
    <w:bookmarkStart w:name="z5980" w:id="5830"/>
    <w:p>
      <w:pPr>
        <w:spacing w:after="0"/>
        <w:ind w:left="0"/>
        <w:jc w:val="both"/>
      </w:pPr>
      <w:r>
        <w:rPr>
          <w:rFonts w:ascii="Times New Roman"/>
          <w:b w:val="false"/>
          <w:i w:val="false"/>
          <w:color w:val="000000"/>
          <w:sz w:val="28"/>
        </w:rPr>
        <w:t>
      13) перепутывание - смешение нескольких видов, разных серий и (или) партий лекарственных средств или подмена одного вида продукции другими при хранении, транспортировании и реализации;</w:t>
      </w:r>
    </w:p>
    <w:bookmarkEnd w:id="5830"/>
    <w:bookmarkStart w:name="z5981" w:id="5831"/>
    <w:p>
      <w:pPr>
        <w:spacing w:after="0"/>
        <w:ind w:left="0"/>
        <w:jc w:val="both"/>
      </w:pPr>
      <w:r>
        <w:rPr>
          <w:rFonts w:ascii="Times New Roman"/>
          <w:b w:val="false"/>
          <w:i w:val="false"/>
          <w:color w:val="000000"/>
          <w:sz w:val="28"/>
        </w:rPr>
        <w:t>
      14) руководство по качеству - документ, описывающий систему качества организации и охватывающий всю деятельность организации;</w:t>
      </w:r>
    </w:p>
    <w:bookmarkEnd w:id="5831"/>
    <w:bookmarkStart w:name="z5982" w:id="5832"/>
    <w:p>
      <w:pPr>
        <w:spacing w:after="0"/>
        <w:ind w:left="0"/>
        <w:jc w:val="both"/>
      </w:pPr>
      <w:r>
        <w:rPr>
          <w:rFonts w:ascii="Times New Roman"/>
          <w:b w:val="false"/>
          <w:i w:val="false"/>
          <w:color w:val="000000"/>
          <w:sz w:val="28"/>
        </w:rPr>
        <w:t>
      15) система качества - совокупность всех элементов системы, направленной на внедрение политики в области качества и обеспечения достижения целей в области качества;</w:t>
      </w:r>
    </w:p>
    <w:bookmarkEnd w:id="5832"/>
    <w:bookmarkStart w:name="z5983" w:id="5833"/>
    <w:p>
      <w:pPr>
        <w:spacing w:after="0"/>
        <w:ind w:left="0"/>
        <w:jc w:val="both"/>
      </w:pPr>
      <w:r>
        <w:rPr>
          <w:rFonts w:ascii="Times New Roman"/>
          <w:b w:val="false"/>
          <w:i w:val="false"/>
          <w:color w:val="000000"/>
          <w:sz w:val="28"/>
        </w:rPr>
        <w:t>
      16) склад - комплекс специализированных помещений, оборудования, технических средств, предназначенных для приемки, хранения и реализации лекарственных средств;</w:t>
      </w:r>
    </w:p>
    <w:bookmarkEnd w:id="5833"/>
    <w:bookmarkStart w:name="z5984" w:id="5834"/>
    <w:p>
      <w:pPr>
        <w:spacing w:after="0"/>
        <w:ind w:left="0"/>
        <w:jc w:val="both"/>
      </w:pPr>
      <w:r>
        <w:rPr>
          <w:rFonts w:ascii="Times New Roman"/>
          <w:b w:val="false"/>
          <w:i w:val="false"/>
          <w:color w:val="000000"/>
          <w:sz w:val="28"/>
        </w:rPr>
        <w:t>
      17) управление качеством - методы и виды деятельности, используемые для выполнения требований по качеству и направленные на управление процессом, устранение причин неудовлетворительного функционирования на всех этапах жизненного цикла продукции;</w:t>
      </w:r>
    </w:p>
    <w:bookmarkEnd w:id="5834"/>
    <w:bookmarkStart w:name="z5985" w:id="5835"/>
    <w:p>
      <w:pPr>
        <w:spacing w:after="0"/>
        <w:ind w:left="0"/>
        <w:jc w:val="both"/>
      </w:pPr>
      <w:r>
        <w:rPr>
          <w:rFonts w:ascii="Times New Roman"/>
          <w:b w:val="false"/>
          <w:i w:val="false"/>
          <w:color w:val="000000"/>
          <w:sz w:val="28"/>
        </w:rPr>
        <w:t>
      18) управление рисками для качества - систематический процесс оценки, контроля, обмена информацией и обзора рисков для качества лекарственных средств на протяжении их жизненного цикла;</w:t>
      </w:r>
    </w:p>
    <w:bookmarkEnd w:id="5835"/>
    <w:bookmarkStart w:name="z5986" w:id="5836"/>
    <w:p>
      <w:pPr>
        <w:spacing w:after="0"/>
        <w:ind w:left="0"/>
        <w:jc w:val="both"/>
      </w:pPr>
      <w:r>
        <w:rPr>
          <w:rFonts w:ascii="Times New Roman"/>
          <w:b w:val="false"/>
          <w:i w:val="false"/>
          <w:color w:val="000000"/>
          <w:sz w:val="28"/>
        </w:rPr>
        <w:t>
      19) 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5836"/>
    <w:bookmarkStart w:name="z5987" w:id="5837"/>
    <w:p>
      <w:pPr>
        <w:spacing w:after="0"/>
        <w:ind w:left="0"/>
        <w:jc w:val="both"/>
      </w:pPr>
      <w:r>
        <w:rPr>
          <w:rFonts w:ascii="Times New Roman"/>
          <w:b w:val="false"/>
          <w:i w:val="false"/>
          <w:color w:val="000000"/>
          <w:sz w:val="28"/>
        </w:rPr>
        <w:t>
      Для целей настоящего Стандарта:</w:t>
      </w:r>
    </w:p>
    <w:bookmarkEnd w:id="5837"/>
    <w:bookmarkStart w:name="z5988" w:id="5838"/>
    <w:p>
      <w:pPr>
        <w:spacing w:after="0"/>
        <w:ind w:left="0"/>
        <w:jc w:val="both"/>
      </w:pPr>
      <w:r>
        <w:rPr>
          <w:rFonts w:ascii="Times New Roman"/>
          <w:b w:val="false"/>
          <w:i w:val="false"/>
          <w:color w:val="000000"/>
          <w:sz w:val="28"/>
        </w:rPr>
        <w:t>
      понятия "ключевой этап" и "значимое изменение" применяются в отношении любого процесса, который способен повлиять на показатели качества лекарственного средства либо изменить стабильность их сохранения с учетом вида номенклатурных позиций (лекарственной дефектуры), с которыми работает конкретный дистрибьютор;</w:t>
      </w:r>
    </w:p>
    <w:bookmarkEnd w:id="5838"/>
    <w:bookmarkStart w:name="z5989" w:id="5839"/>
    <w:p>
      <w:pPr>
        <w:spacing w:after="0"/>
        <w:ind w:left="0"/>
        <w:jc w:val="both"/>
      </w:pPr>
      <w:r>
        <w:rPr>
          <w:rFonts w:ascii="Times New Roman"/>
          <w:b w:val="false"/>
          <w:i w:val="false"/>
          <w:color w:val="000000"/>
          <w:sz w:val="28"/>
        </w:rPr>
        <w:t>
      понятия "значимый", "надлежащий" и "достаточный" применительно к любому процессу или элементу системы дистрибьюции лекарственных средств означают, что данный процесс или элемент способен обеспечить выполнение требований настоящего Стандарта и гарантировать работу системы обеспечения качества таким образом, чтобы своевременно установить любое отклонение от показателей качества лекарственного средства либо изменения стабильности их сохранения с учетом вида номенклатурных позиций (лекарственной дефектуры), с которыми работает конкретный дистрибьютор;</w:t>
      </w:r>
    </w:p>
    <w:bookmarkEnd w:id="5839"/>
    <w:bookmarkStart w:name="z5990" w:id="5840"/>
    <w:p>
      <w:pPr>
        <w:spacing w:after="0"/>
        <w:ind w:left="0"/>
        <w:jc w:val="both"/>
      </w:pPr>
      <w:r>
        <w:rPr>
          <w:rFonts w:ascii="Times New Roman"/>
          <w:b w:val="false"/>
          <w:i w:val="false"/>
          <w:color w:val="000000"/>
          <w:sz w:val="28"/>
        </w:rPr>
        <w:t>
      под клиентами понимаются поставщики, аутсорсинговые организации, получатели (покупатели) лекарственных средств, а также все субъекты сферы обращения лекарственных средств, с которыми дистрибьютор находится в договорных отношениях;</w:t>
      </w:r>
    </w:p>
    <w:bookmarkEnd w:id="5840"/>
    <w:bookmarkStart w:name="z5991" w:id="5841"/>
    <w:p>
      <w:pPr>
        <w:spacing w:after="0"/>
        <w:ind w:left="0"/>
        <w:jc w:val="both"/>
      </w:pPr>
      <w:r>
        <w:rPr>
          <w:rFonts w:ascii="Times New Roman"/>
          <w:b w:val="false"/>
          <w:i w:val="false"/>
          <w:color w:val="000000"/>
          <w:sz w:val="28"/>
        </w:rPr>
        <w:t>
      понятие "расследование" означает установление причинно-следственной связи между возникшим отклонением в дистрибьюторской цепи и возможными факторами, лежащими в его основе, выполненное дистрибьютором или аутсорсинговой организацией.</w:t>
      </w:r>
    </w:p>
    <w:bookmarkEnd w:id="5841"/>
    <w:bookmarkStart w:name="z5992" w:id="5842"/>
    <w:p>
      <w:pPr>
        <w:spacing w:after="0"/>
        <w:ind w:left="0"/>
        <w:jc w:val="left"/>
      </w:pPr>
      <w:r>
        <w:rPr>
          <w:rFonts w:ascii="Times New Roman"/>
          <w:b/>
          <w:i w:val="false"/>
          <w:color w:val="000000"/>
        </w:rPr>
        <w:t xml:space="preserve"> Глава 3. Основная часть</w:t>
      </w:r>
    </w:p>
    <w:bookmarkEnd w:id="5842"/>
    <w:bookmarkStart w:name="z5993" w:id="5843"/>
    <w:p>
      <w:pPr>
        <w:spacing w:after="0"/>
        <w:ind w:left="0"/>
        <w:jc w:val="left"/>
      </w:pPr>
      <w:r>
        <w:rPr>
          <w:rFonts w:ascii="Times New Roman"/>
          <w:b/>
          <w:i w:val="false"/>
          <w:color w:val="000000"/>
        </w:rPr>
        <w:t xml:space="preserve"> Параграф 1. Управление качеством</w:t>
      </w:r>
    </w:p>
    <w:bookmarkEnd w:id="5843"/>
    <w:bookmarkStart w:name="z5994" w:id="5844"/>
    <w:p>
      <w:pPr>
        <w:spacing w:after="0"/>
        <w:ind w:left="0"/>
        <w:jc w:val="left"/>
      </w:pPr>
      <w:r>
        <w:rPr>
          <w:rFonts w:ascii="Times New Roman"/>
          <w:b/>
          <w:i w:val="false"/>
          <w:color w:val="000000"/>
        </w:rPr>
        <w:t xml:space="preserve"> Раздел 1. Принцип</w:t>
      </w:r>
    </w:p>
    <w:bookmarkEnd w:id="5844"/>
    <w:bookmarkStart w:name="z5995" w:id="5845"/>
    <w:p>
      <w:pPr>
        <w:spacing w:after="0"/>
        <w:ind w:left="0"/>
        <w:jc w:val="both"/>
      </w:pPr>
      <w:r>
        <w:rPr>
          <w:rFonts w:ascii="Times New Roman"/>
          <w:b w:val="false"/>
          <w:i w:val="false"/>
          <w:color w:val="000000"/>
          <w:sz w:val="28"/>
        </w:rPr>
        <w:t>
      5. Дистрибьюторы создают и поддерживают систему качества, определяющую обязанности, процессы и принципы управления рисками в отношении осуществляемой ими деятельности. Все действия, связанные с дистрибьюцией, однозначно определяются и анализируются. Ключевые этапы процесса оптовой реализации (включая наиболее значимые изменения) обосновываются и валидируются.</w:t>
      </w:r>
    </w:p>
    <w:bookmarkEnd w:id="5845"/>
    <w:bookmarkStart w:name="z5996" w:id="5846"/>
    <w:p>
      <w:pPr>
        <w:spacing w:after="0"/>
        <w:ind w:left="0"/>
        <w:jc w:val="both"/>
      </w:pPr>
      <w:r>
        <w:rPr>
          <w:rFonts w:ascii="Times New Roman"/>
          <w:b w:val="false"/>
          <w:i w:val="false"/>
          <w:color w:val="000000"/>
          <w:sz w:val="28"/>
        </w:rPr>
        <w:t>
      Надлежащее функционирование системы качества обеспечивает руководитель организации. Персонал организации надлежащим образом исполняет обязанности, связанные с функционированием системы качества.</w:t>
      </w:r>
    </w:p>
    <w:bookmarkEnd w:id="5846"/>
    <w:bookmarkStart w:name="z5997" w:id="5847"/>
    <w:p>
      <w:pPr>
        <w:spacing w:after="0"/>
        <w:ind w:left="0"/>
        <w:jc w:val="left"/>
      </w:pPr>
      <w:r>
        <w:rPr>
          <w:rFonts w:ascii="Times New Roman"/>
          <w:b/>
          <w:i w:val="false"/>
          <w:color w:val="000000"/>
        </w:rPr>
        <w:t xml:space="preserve"> Раздел 2. Система качества</w:t>
      </w:r>
    </w:p>
    <w:bookmarkEnd w:id="5847"/>
    <w:bookmarkStart w:name="z5998" w:id="5848"/>
    <w:p>
      <w:pPr>
        <w:spacing w:after="0"/>
        <w:ind w:left="0"/>
        <w:jc w:val="both"/>
      </w:pPr>
      <w:r>
        <w:rPr>
          <w:rFonts w:ascii="Times New Roman"/>
          <w:b w:val="false"/>
          <w:i w:val="false"/>
          <w:color w:val="000000"/>
          <w:sz w:val="28"/>
        </w:rPr>
        <w:t>
      6. Система управления качеством включает в себя организационную структуру, процедуры, процессы и ресурсы, а также действия, необходимые для обеспечения сохранения качества и целостности поставляемых лекарственных средств и невозможности их фальсификации в процессе хранения и (или) транспортировки.</w:t>
      </w:r>
    </w:p>
    <w:bookmarkEnd w:id="5848"/>
    <w:bookmarkStart w:name="z5999" w:id="5849"/>
    <w:p>
      <w:pPr>
        <w:spacing w:after="0"/>
        <w:ind w:left="0"/>
        <w:jc w:val="both"/>
      </w:pPr>
      <w:r>
        <w:rPr>
          <w:rFonts w:ascii="Times New Roman"/>
          <w:b w:val="false"/>
          <w:i w:val="false"/>
          <w:color w:val="000000"/>
          <w:sz w:val="28"/>
        </w:rPr>
        <w:t>
      7. Система качества полностью документируется, ее эффективность подвергается мониторингу и анализу. Действия персонала, относящиеся к системе качества, описываются в соответствующих письменных процедурах. Внедряется и поддерживается в актуальном состоянии руководство по качеству.</w:t>
      </w:r>
    </w:p>
    <w:bookmarkEnd w:id="5849"/>
    <w:bookmarkStart w:name="z6000" w:id="5850"/>
    <w:p>
      <w:pPr>
        <w:spacing w:after="0"/>
        <w:ind w:left="0"/>
        <w:jc w:val="both"/>
      </w:pPr>
      <w:r>
        <w:rPr>
          <w:rFonts w:ascii="Times New Roman"/>
          <w:b w:val="false"/>
          <w:i w:val="false"/>
          <w:color w:val="000000"/>
          <w:sz w:val="28"/>
        </w:rPr>
        <w:t>
      8. Руководством организации назначается ответственное лицо, наделенное полномочиями и обязанностями для обеспечения внедрения и поддержания в актуальном состоянии системы качества.</w:t>
      </w:r>
    </w:p>
    <w:bookmarkEnd w:id="5850"/>
    <w:bookmarkStart w:name="z6001" w:id="5851"/>
    <w:p>
      <w:pPr>
        <w:spacing w:after="0"/>
        <w:ind w:left="0"/>
        <w:jc w:val="both"/>
      </w:pPr>
      <w:r>
        <w:rPr>
          <w:rFonts w:ascii="Times New Roman"/>
          <w:b w:val="false"/>
          <w:i w:val="false"/>
          <w:color w:val="000000"/>
          <w:sz w:val="28"/>
        </w:rPr>
        <w:t>
      Все части системы качества надлежащим образом обеспечиваются компетентным персоналом, достаточным количеством помещений, оборудования и технических средств.</w:t>
      </w:r>
    </w:p>
    <w:bookmarkEnd w:id="5851"/>
    <w:bookmarkStart w:name="z6002" w:id="5852"/>
    <w:p>
      <w:pPr>
        <w:spacing w:after="0"/>
        <w:ind w:left="0"/>
        <w:jc w:val="both"/>
      </w:pPr>
      <w:r>
        <w:rPr>
          <w:rFonts w:ascii="Times New Roman"/>
          <w:b w:val="false"/>
          <w:i w:val="false"/>
          <w:color w:val="000000"/>
          <w:sz w:val="28"/>
        </w:rPr>
        <w:t>
      9. При создании, поддержании или изменении системы качества учитывается организационная структура, объем выполняемых работ и услуг и многоплановость деятельности дистрибьютора.</w:t>
      </w:r>
    </w:p>
    <w:bookmarkEnd w:id="5852"/>
    <w:bookmarkStart w:name="z6003" w:id="5853"/>
    <w:p>
      <w:pPr>
        <w:spacing w:after="0"/>
        <w:ind w:left="0"/>
        <w:jc w:val="both"/>
      </w:pPr>
      <w:r>
        <w:rPr>
          <w:rFonts w:ascii="Times New Roman"/>
          <w:b w:val="false"/>
          <w:i w:val="false"/>
          <w:color w:val="000000"/>
          <w:sz w:val="28"/>
        </w:rPr>
        <w:t>
      10. У дистрибьютора внедряется система управления изменениями, которая является пропорциональной и эффективной, а также основанной на принципах управления рисками для качества.</w:t>
      </w:r>
    </w:p>
    <w:bookmarkEnd w:id="5853"/>
    <w:bookmarkStart w:name="z6004" w:id="5854"/>
    <w:p>
      <w:pPr>
        <w:spacing w:after="0"/>
        <w:ind w:left="0"/>
        <w:jc w:val="both"/>
      </w:pPr>
      <w:r>
        <w:rPr>
          <w:rFonts w:ascii="Times New Roman"/>
          <w:b w:val="false"/>
          <w:i w:val="false"/>
          <w:color w:val="000000"/>
          <w:sz w:val="28"/>
        </w:rPr>
        <w:t>
      11. Система качества гарантирует следующее:</w:t>
      </w:r>
    </w:p>
    <w:bookmarkEnd w:id="5854"/>
    <w:bookmarkStart w:name="z6005" w:id="5855"/>
    <w:p>
      <w:pPr>
        <w:spacing w:after="0"/>
        <w:ind w:left="0"/>
        <w:jc w:val="both"/>
      </w:pPr>
      <w:r>
        <w:rPr>
          <w:rFonts w:ascii="Times New Roman"/>
          <w:b w:val="false"/>
          <w:i w:val="false"/>
          <w:color w:val="000000"/>
          <w:sz w:val="28"/>
        </w:rPr>
        <w:t>
      1) лекарственные средства приобретаются, хранятся, транспортируются, поставляются или экспортируются с соблюдением требований настоящего Стандарта;</w:t>
      </w:r>
    </w:p>
    <w:bookmarkEnd w:id="5855"/>
    <w:bookmarkStart w:name="z6006" w:id="5856"/>
    <w:p>
      <w:pPr>
        <w:spacing w:after="0"/>
        <w:ind w:left="0"/>
        <w:jc w:val="both"/>
      </w:pPr>
      <w:r>
        <w:rPr>
          <w:rFonts w:ascii="Times New Roman"/>
          <w:b w:val="false"/>
          <w:i w:val="false"/>
          <w:color w:val="000000"/>
          <w:sz w:val="28"/>
        </w:rPr>
        <w:t>
      2) обязанности руководства организации четко определены;</w:t>
      </w:r>
    </w:p>
    <w:bookmarkEnd w:id="5856"/>
    <w:bookmarkStart w:name="z6007" w:id="5857"/>
    <w:p>
      <w:pPr>
        <w:spacing w:after="0"/>
        <w:ind w:left="0"/>
        <w:jc w:val="both"/>
      </w:pPr>
      <w:r>
        <w:rPr>
          <w:rFonts w:ascii="Times New Roman"/>
          <w:b w:val="false"/>
          <w:i w:val="false"/>
          <w:color w:val="000000"/>
          <w:sz w:val="28"/>
        </w:rPr>
        <w:t>
      3) лекарственные средства доставляются надлежащим получателям в согласованный период времени;</w:t>
      </w:r>
    </w:p>
    <w:bookmarkEnd w:id="5857"/>
    <w:bookmarkStart w:name="z6008" w:id="5858"/>
    <w:p>
      <w:pPr>
        <w:spacing w:after="0"/>
        <w:ind w:left="0"/>
        <w:jc w:val="both"/>
      </w:pPr>
      <w:r>
        <w:rPr>
          <w:rFonts w:ascii="Times New Roman"/>
          <w:b w:val="false"/>
          <w:i w:val="false"/>
          <w:color w:val="000000"/>
          <w:sz w:val="28"/>
        </w:rPr>
        <w:t>
      4) документальное оформление действий осуществляется в ходе выполнения или непосредственно после завершения соответствующих действий;</w:t>
      </w:r>
    </w:p>
    <w:bookmarkEnd w:id="5858"/>
    <w:bookmarkStart w:name="z6009" w:id="5859"/>
    <w:p>
      <w:pPr>
        <w:spacing w:after="0"/>
        <w:ind w:left="0"/>
        <w:jc w:val="both"/>
      </w:pPr>
      <w:r>
        <w:rPr>
          <w:rFonts w:ascii="Times New Roman"/>
          <w:b w:val="false"/>
          <w:i w:val="false"/>
          <w:color w:val="000000"/>
          <w:sz w:val="28"/>
        </w:rPr>
        <w:t>
      5) отклонения от установленных процедур документально оформляются и в их отношении проводятся расследования;</w:t>
      </w:r>
    </w:p>
    <w:bookmarkEnd w:id="5859"/>
    <w:bookmarkStart w:name="z6010" w:id="5860"/>
    <w:p>
      <w:pPr>
        <w:spacing w:after="0"/>
        <w:ind w:left="0"/>
        <w:jc w:val="both"/>
      </w:pPr>
      <w:r>
        <w:rPr>
          <w:rFonts w:ascii="Times New Roman"/>
          <w:b w:val="false"/>
          <w:i w:val="false"/>
          <w:color w:val="000000"/>
          <w:sz w:val="28"/>
        </w:rPr>
        <w:t>
      6) необходимые корректирующие и предупреждающие действия предпринимаются для устранения отклонений и предупреждения их появления в соответствии с принципами управления рисками для качества.</w:t>
      </w:r>
    </w:p>
    <w:bookmarkEnd w:id="5860"/>
    <w:bookmarkStart w:name="z6011" w:id="5861"/>
    <w:p>
      <w:pPr>
        <w:spacing w:after="0"/>
        <w:ind w:left="0"/>
        <w:jc w:val="left"/>
      </w:pPr>
      <w:r>
        <w:rPr>
          <w:rFonts w:ascii="Times New Roman"/>
          <w:b/>
          <w:i w:val="false"/>
          <w:color w:val="000000"/>
        </w:rPr>
        <w:t xml:space="preserve"> Раздел 3. Управление деятельностью, передаваемой для выполнения другому лицу (аутсорсинг)</w:t>
      </w:r>
    </w:p>
    <w:bookmarkEnd w:id="5861"/>
    <w:bookmarkStart w:name="z6012" w:id="5862"/>
    <w:p>
      <w:pPr>
        <w:spacing w:after="0"/>
        <w:ind w:left="0"/>
        <w:jc w:val="both"/>
      </w:pPr>
      <w:r>
        <w:rPr>
          <w:rFonts w:ascii="Times New Roman"/>
          <w:b w:val="false"/>
          <w:i w:val="false"/>
          <w:color w:val="000000"/>
          <w:sz w:val="28"/>
        </w:rPr>
        <w:t>
      12. Система качества включает в себя контроль и анализ деятельности, переданной на аутсорсинг, хранению, транспортировке, поставке или экспорту. Деятельность по аутсорсингу учитывает возможные риски для качества и содержит:</w:t>
      </w:r>
    </w:p>
    <w:bookmarkEnd w:id="5862"/>
    <w:bookmarkStart w:name="z6013" w:id="5863"/>
    <w:p>
      <w:pPr>
        <w:spacing w:after="0"/>
        <w:ind w:left="0"/>
        <w:jc w:val="both"/>
      </w:pPr>
      <w:r>
        <w:rPr>
          <w:rFonts w:ascii="Times New Roman"/>
          <w:b w:val="false"/>
          <w:i w:val="false"/>
          <w:color w:val="000000"/>
          <w:sz w:val="28"/>
        </w:rPr>
        <w:t>
      1) оценку пригодности и компетентности исполнителя выполнить обязательства по договору должным образом, а также проверку наличия у исполнителя необходимых разрешительных документов в соответствии с законодательством Республики Казахстан;</w:t>
      </w:r>
    </w:p>
    <w:bookmarkEnd w:id="5863"/>
    <w:bookmarkStart w:name="z6014" w:id="5864"/>
    <w:p>
      <w:pPr>
        <w:spacing w:after="0"/>
        <w:ind w:left="0"/>
        <w:jc w:val="both"/>
      </w:pPr>
      <w:r>
        <w:rPr>
          <w:rFonts w:ascii="Times New Roman"/>
          <w:b w:val="false"/>
          <w:i w:val="false"/>
          <w:color w:val="000000"/>
          <w:sz w:val="28"/>
        </w:rPr>
        <w:t>
      2) определение ответственности, порядка взаимодействия сторон и обмена информацией о действиях в рамках мероприятий, относящихся к качеству;</w:t>
      </w:r>
    </w:p>
    <w:bookmarkEnd w:id="5864"/>
    <w:bookmarkStart w:name="z6015" w:id="5865"/>
    <w:p>
      <w:pPr>
        <w:spacing w:after="0"/>
        <w:ind w:left="0"/>
        <w:jc w:val="both"/>
      </w:pPr>
      <w:r>
        <w:rPr>
          <w:rFonts w:ascii="Times New Roman"/>
          <w:b w:val="false"/>
          <w:i w:val="false"/>
          <w:color w:val="000000"/>
          <w:sz w:val="28"/>
        </w:rPr>
        <w:t>
      3) мониторинг и анализ деятельности исполнителя, а также определение и внедрение на регулярной основе мер, необходимых для улучшения.</w:t>
      </w:r>
    </w:p>
    <w:bookmarkEnd w:id="5865"/>
    <w:bookmarkStart w:name="z6016" w:id="5866"/>
    <w:p>
      <w:pPr>
        <w:spacing w:after="0"/>
        <w:ind w:left="0"/>
        <w:jc w:val="left"/>
      </w:pPr>
      <w:r>
        <w:rPr>
          <w:rFonts w:ascii="Times New Roman"/>
          <w:b/>
          <w:i w:val="false"/>
          <w:color w:val="000000"/>
        </w:rPr>
        <w:t xml:space="preserve"> Раздел 4. Мониторинг и анализ со стороны руководства</w:t>
      </w:r>
    </w:p>
    <w:bookmarkEnd w:id="5866"/>
    <w:bookmarkStart w:name="z6017" w:id="5867"/>
    <w:p>
      <w:pPr>
        <w:spacing w:after="0"/>
        <w:ind w:left="0"/>
        <w:jc w:val="both"/>
      </w:pPr>
      <w:r>
        <w:rPr>
          <w:rFonts w:ascii="Times New Roman"/>
          <w:b w:val="false"/>
          <w:i w:val="false"/>
          <w:color w:val="000000"/>
          <w:sz w:val="28"/>
        </w:rPr>
        <w:t>
      13. Руководство организации устанавливает формализованный процесс периодического обзора системы качества. Обзор включает в себя:</w:t>
      </w:r>
    </w:p>
    <w:bookmarkEnd w:id="5867"/>
    <w:bookmarkStart w:name="z6018" w:id="5868"/>
    <w:p>
      <w:pPr>
        <w:spacing w:after="0"/>
        <w:ind w:left="0"/>
        <w:jc w:val="both"/>
      </w:pPr>
      <w:r>
        <w:rPr>
          <w:rFonts w:ascii="Times New Roman"/>
          <w:b w:val="false"/>
          <w:i w:val="false"/>
          <w:color w:val="000000"/>
          <w:sz w:val="28"/>
        </w:rPr>
        <w:t>
      1) оценку степени достижения целей системы качества;</w:t>
      </w:r>
    </w:p>
    <w:bookmarkEnd w:id="5868"/>
    <w:bookmarkStart w:name="z6019" w:id="5869"/>
    <w:p>
      <w:pPr>
        <w:spacing w:after="0"/>
        <w:ind w:left="0"/>
        <w:jc w:val="both"/>
      </w:pPr>
      <w:r>
        <w:rPr>
          <w:rFonts w:ascii="Times New Roman"/>
          <w:b w:val="false"/>
          <w:i w:val="false"/>
          <w:color w:val="000000"/>
          <w:sz w:val="28"/>
        </w:rPr>
        <w:t>
      2) оценку показателей эффективности, которые использованы для мониторинга эффективности таких процессов системы качества, как количество претензий, отклонений от установленных норм, эффективность корректирующих и предупреждающих действий, изменения в процессах, отзывы о деятельности по аутсорсингу, процессы самопроверки (включая анализ рисков и аудиты), результаты внешнего контроля (включая инспекции и аудиты), выявленные несоответствия, аудиты клиентов;</w:t>
      </w:r>
    </w:p>
    <w:bookmarkEnd w:id="5869"/>
    <w:bookmarkStart w:name="z6020" w:id="5870"/>
    <w:p>
      <w:pPr>
        <w:spacing w:after="0"/>
        <w:ind w:left="0"/>
        <w:jc w:val="both"/>
      </w:pPr>
      <w:r>
        <w:rPr>
          <w:rFonts w:ascii="Times New Roman"/>
          <w:b w:val="false"/>
          <w:i w:val="false"/>
          <w:color w:val="000000"/>
          <w:sz w:val="28"/>
        </w:rPr>
        <w:t>
      3) изменения, внесенные в нормативные правовые акты, руководства, а также возникновение новых обстоятельств, связанных с качеством, которые оказывают влияние на систему управления качеством;</w:t>
      </w:r>
    </w:p>
    <w:bookmarkEnd w:id="5870"/>
    <w:bookmarkStart w:name="z6021" w:id="5871"/>
    <w:p>
      <w:pPr>
        <w:spacing w:after="0"/>
        <w:ind w:left="0"/>
        <w:jc w:val="both"/>
      </w:pPr>
      <w:r>
        <w:rPr>
          <w:rFonts w:ascii="Times New Roman"/>
          <w:b w:val="false"/>
          <w:i w:val="false"/>
          <w:color w:val="000000"/>
          <w:sz w:val="28"/>
        </w:rPr>
        <w:t>
      4) инновации, которые повышают эффективность системы качества;</w:t>
      </w:r>
    </w:p>
    <w:bookmarkEnd w:id="5871"/>
    <w:bookmarkStart w:name="z6022" w:id="5872"/>
    <w:p>
      <w:pPr>
        <w:spacing w:after="0"/>
        <w:ind w:left="0"/>
        <w:jc w:val="both"/>
      </w:pPr>
      <w:r>
        <w:rPr>
          <w:rFonts w:ascii="Times New Roman"/>
          <w:b w:val="false"/>
          <w:i w:val="false"/>
          <w:color w:val="000000"/>
          <w:sz w:val="28"/>
        </w:rPr>
        <w:t>
      5) изменения в деловой среде и поставленных целях.</w:t>
      </w:r>
    </w:p>
    <w:bookmarkEnd w:id="5872"/>
    <w:bookmarkStart w:name="z6023" w:id="5873"/>
    <w:p>
      <w:pPr>
        <w:spacing w:after="0"/>
        <w:ind w:left="0"/>
        <w:jc w:val="both"/>
      </w:pPr>
      <w:r>
        <w:rPr>
          <w:rFonts w:ascii="Times New Roman"/>
          <w:b w:val="false"/>
          <w:i w:val="false"/>
          <w:color w:val="000000"/>
          <w:sz w:val="28"/>
        </w:rPr>
        <w:t>
      14. Результаты обзора системы качества со стороны руководства своевременно документально оформляются и доводятся до сведения персонала.</w:t>
      </w:r>
    </w:p>
    <w:bookmarkEnd w:id="5873"/>
    <w:bookmarkStart w:name="z6024" w:id="5874"/>
    <w:p>
      <w:pPr>
        <w:spacing w:after="0"/>
        <w:ind w:left="0"/>
        <w:jc w:val="left"/>
      </w:pPr>
      <w:r>
        <w:rPr>
          <w:rFonts w:ascii="Times New Roman"/>
          <w:b/>
          <w:i w:val="false"/>
          <w:color w:val="000000"/>
        </w:rPr>
        <w:t xml:space="preserve"> Раздел 5. Управление рисками для качества</w:t>
      </w:r>
    </w:p>
    <w:bookmarkEnd w:id="5874"/>
    <w:bookmarkStart w:name="z6025" w:id="5875"/>
    <w:p>
      <w:pPr>
        <w:spacing w:after="0"/>
        <w:ind w:left="0"/>
        <w:jc w:val="both"/>
      </w:pPr>
      <w:r>
        <w:rPr>
          <w:rFonts w:ascii="Times New Roman"/>
          <w:b w:val="false"/>
          <w:i w:val="false"/>
          <w:color w:val="000000"/>
          <w:sz w:val="28"/>
        </w:rPr>
        <w:t>
      15. Управление рисками для качества является систематическим процессом оценки, контроля, обмена информацией и обзора рисков для качества лекарственных средств. Этот процесс проводится как перспективно, так и ретроспективно.</w:t>
      </w:r>
    </w:p>
    <w:bookmarkEnd w:id="5875"/>
    <w:bookmarkStart w:name="z6026" w:id="5876"/>
    <w:p>
      <w:pPr>
        <w:spacing w:after="0"/>
        <w:ind w:left="0"/>
        <w:jc w:val="both"/>
      </w:pPr>
      <w:r>
        <w:rPr>
          <w:rFonts w:ascii="Times New Roman"/>
          <w:b w:val="false"/>
          <w:i w:val="false"/>
          <w:color w:val="000000"/>
          <w:sz w:val="28"/>
        </w:rPr>
        <w:t>
      Управление рисками для качества предполагает, что оценка рисков для качества основывается на научных знаниях, практическом опыте работы и направлена на защиту здоровья пациента. Объем работ по управлению рисками для качества и документальное оформление результатов оценки рисков являются соизмеримыми с уровнем риска.</w:t>
      </w:r>
    </w:p>
    <w:bookmarkEnd w:id="5876"/>
    <w:bookmarkStart w:name="z6027" w:id="5877"/>
    <w:p>
      <w:pPr>
        <w:spacing w:after="0"/>
        <w:ind w:left="0"/>
        <w:jc w:val="left"/>
      </w:pPr>
      <w:r>
        <w:rPr>
          <w:rFonts w:ascii="Times New Roman"/>
          <w:b/>
          <w:i w:val="false"/>
          <w:color w:val="000000"/>
        </w:rPr>
        <w:t xml:space="preserve"> Глава 2. Персонал</w:t>
      </w:r>
    </w:p>
    <w:bookmarkEnd w:id="5877"/>
    <w:bookmarkStart w:name="z6028" w:id="5878"/>
    <w:p>
      <w:pPr>
        <w:spacing w:after="0"/>
        <w:ind w:left="0"/>
        <w:jc w:val="left"/>
      </w:pPr>
      <w:r>
        <w:rPr>
          <w:rFonts w:ascii="Times New Roman"/>
          <w:b/>
          <w:i w:val="false"/>
          <w:color w:val="000000"/>
        </w:rPr>
        <w:t xml:space="preserve"> Раздел 1. Принцип</w:t>
      </w:r>
    </w:p>
    <w:bookmarkEnd w:id="5878"/>
    <w:bookmarkStart w:name="z6029" w:id="5879"/>
    <w:p>
      <w:pPr>
        <w:spacing w:after="0"/>
        <w:ind w:left="0"/>
        <w:jc w:val="both"/>
      </w:pPr>
      <w:r>
        <w:rPr>
          <w:rFonts w:ascii="Times New Roman"/>
          <w:b w:val="false"/>
          <w:i w:val="false"/>
          <w:color w:val="000000"/>
          <w:sz w:val="28"/>
        </w:rPr>
        <w:t>
      16. Выполнение требований надлежащей дистрибьюторской практики зависит от человеческого фактора. Дистрибьютор имеет достаточное количество квалифицированного персонала для решения всех задач, за которые отвечает организация. Каждый работник знает и понимает требования надлежащей дистрибьюторской практики в части, касающейся его деятельности. Каждый работник понимает индивидуальную ответственность, которая документируется.</w:t>
      </w:r>
    </w:p>
    <w:bookmarkEnd w:id="5879"/>
    <w:bookmarkStart w:name="z6030" w:id="5880"/>
    <w:p>
      <w:pPr>
        <w:spacing w:after="0"/>
        <w:ind w:left="0"/>
        <w:jc w:val="left"/>
      </w:pPr>
      <w:r>
        <w:rPr>
          <w:rFonts w:ascii="Times New Roman"/>
          <w:b/>
          <w:i w:val="false"/>
          <w:color w:val="000000"/>
        </w:rPr>
        <w:t xml:space="preserve"> Раздел 2. Ответственное лицо</w:t>
      </w:r>
    </w:p>
    <w:bookmarkEnd w:id="5880"/>
    <w:bookmarkStart w:name="z6031" w:id="5881"/>
    <w:p>
      <w:pPr>
        <w:spacing w:after="0"/>
        <w:ind w:left="0"/>
        <w:jc w:val="both"/>
      </w:pPr>
      <w:r>
        <w:rPr>
          <w:rFonts w:ascii="Times New Roman"/>
          <w:b w:val="false"/>
          <w:i w:val="false"/>
          <w:color w:val="000000"/>
          <w:sz w:val="28"/>
        </w:rPr>
        <w:t>
      17. Руководством дистрибьютора назначается ответственное лицо. Ответственное лицо соответствует квалификационным требованиям, установленным законодательством Республики Казахстан, и обладает необходимой квалификацией (фармацевтическим образованием), опытом и знаниями в области надлежащей дистрибьюции. В отдельных случаях ответственное лицо имеет нефармацевтическое образование, в том числе при дистрибьюции радиофармацевтических препаратов - образование в области радиобиологии, ядерной физики или радиофизики, при дистрибьюции медицинских газов - образование физико-технического профиля. Профиль образования ответственного лица устанавливается руководством по качеству дистрибьютора, исходя из его номенклатуры товарных позиций лекарственных средств.</w:t>
      </w:r>
    </w:p>
    <w:bookmarkEnd w:id="5881"/>
    <w:bookmarkStart w:name="z6032" w:id="5882"/>
    <w:p>
      <w:pPr>
        <w:spacing w:after="0"/>
        <w:ind w:left="0"/>
        <w:jc w:val="both"/>
      </w:pPr>
      <w:r>
        <w:rPr>
          <w:rFonts w:ascii="Times New Roman"/>
          <w:b w:val="false"/>
          <w:i w:val="false"/>
          <w:color w:val="000000"/>
          <w:sz w:val="28"/>
        </w:rPr>
        <w:t>
      18. Ответственное лицо выполняет свои обязанности лично. Доступ к контактам с ответственным лицом обеспечивается в постоянном режиме. Ответственное лицо делегирует часть своих обязанностей, но не ответственность.</w:t>
      </w:r>
    </w:p>
    <w:bookmarkEnd w:id="5882"/>
    <w:bookmarkStart w:name="z6033" w:id="5883"/>
    <w:p>
      <w:pPr>
        <w:spacing w:after="0"/>
        <w:ind w:left="0"/>
        <w:jc w:val="both"/>
      </w:pPr>
      <w:r>
        <w:rPr>
          <w:rFonts w:ascii="Times New Roman"/>
          <w:b w:val="false"/>
          <w:i w:val="false"/>
          <w:color w:val="000000"/>
          <w:sz w:val="28"/>
        </w:rPr>
        <w:t>
      19. Полномочия ответственного лица по принятию решений в рамках своих должностных обязанностей, а также необходимые ресурсы для их выполнения определены должностной инструкцией. Ответственное лицо наделено четко определенными полномочиями, ресурсами и зонами ответственности, необходимыми для выполнения возложенных на него обязанностей.</w:t>
      </w:r>
    </w:p>
    <w:bookmarkEnd w:id="5883"/>
    <w:bookmarkStart w:name="z6034" w:id="5884"/>
    <w:p>
      <w:pPr>
        <w:spacing w:after="0"/>
        <w:ind w:left="0"/>
        <w:jc w:val="both"/>
      </w:pPr>
      <w:r>
        <w:rPr>
          <w:rFonts w:ascii="Times New Roman"/>
          <w:b w:val="false"/>
          <w:i w:val="false"/>
          <w:color w:val="000000"/>
          <w:sz w:val="28"/>
        </w:rPr>
        <w:t>
      20. Ответственное лицо выполняет свои обязанности таким образом, чтобы дистрибьютор подтвердил соблюдение надлежащей дистрибьюторской практики.</w:t>
      </w:r>
    </w:p>
    <w:bookmarkEnd w:id="5884"/>
    <w:bookmarkStart w:name="z6035" w:id="5885"/>
    <w:p>
      <w:pPr>
        <w:spacing w:after="0"/>
        <w:ind w:left="0"/>
        <w:jc w:val="both"/>
      </w:pPr>
      <w:r>
        <w:rPr>
          <w:rFonts w:ascii="Times New Roman"/>
          <w:b w:val="false"/>
          <w:i w:val="false"/>
          <w:color w:val="000000"/>
          <w:sz w:val="28"/>
        </w:rPr>
        <w:t>
      21. Ответственное лицо осуществляет:</w:t>
      </w:r>
    </w:p>
    <w:bookmarkEnd w:id="5885"/>
    <w:bookmarkStart w:name="z6036" w:id="5886"/>
    <w:p>
      <w:pPr>
        <w:spacing w:after="0"/>
        <w:ind w:left="0"/>
        <w:jc w:val="both"/>
      </w:pPr>
      <w:r>
        <w:rPr>
          <w:rFonts w:ascii="Times New Roman"/>
          <w:b w:val="false"/>
          <w:i w:val="false"/>
          <w:color w:val="000000"/>
          <w:sz w:val="28"/>
        </w:rPr>
        <w:t>
      1) обеспечение внедрения и поддержания системы управления качеством;</w:t>
      </w:r>
    </w:p>
    <w:bookmarkEnd w:id="5886"/>
    <w:bookmarkStart w:name="z6037" w:id="5887"/>
    <w:p>
      <w:pPr>
        <w:spacing w:after="0"/>
        <w:ind w:left="0"/>
        <w:jc w:val="both"/>
      </w:pPr>
      <w:r>
        <w:rPr>
          <w:rFonts w:ascii="Times New Roman"/>
          <w:b w:val="false"/>
          <w:i w:val="false"/>
          <w:color w:val="000000"/>
          <w:sz w:val="28"/>
        </w:rPr>
        <w:t>
      2) концентрацию на управлении установленной деятельностью и на обеспечении точности и качества записей;</w:t>
      </w:r>
    </w:p>
    <w:bookmarkEnd w:id="5887"/>
    <w:bookmarkStart w:name="z6038" w:id="5888"/>
    <w:p>
      <w:pPr>
        <w:spacing w:after="0"/>
        <w:ind w:left="0"/>
        <w:jc w:val="both"/>
      </w:pPr>
      <w:r>
        <w:rPr>
          <w:rFonts w:ascii="Times New Roman"/>
          <w:b w:val="false"/>
          <w:i w:val="false"/>
          <w:color w:val="000000"/>
          <w:sz w:val="28"/>
        </w:rPr>
        <w:t>
      3) обеспечение внедрения и поддержания программ первичного и последующего обучения для всего персонала, вовлеченного в процесс дистрибьюции;</w:t>
      </w:r>
    </w:p>
    <w:bookmarkEnd w:id="5888"/>
    <w:bookmarkStart w:name="z6039" w:id="5889"/>
    <w:p>
      <w:pPr>
        <w:spacing w:after="0"/>
        <w:ind w:left="0"/>
        <w:jc w:val="both"/>
      </w:pPr>
      <w:r>
        <w:rPr>
          <w:rFonts w:ascii="Times New Roman"/>
          <w:b w:val="false"/>
          <w:i w:val="false"/>
          <w:color w:val="000000"/>
          <w:sz w:val="28"/>
        </w:rPr>
        <w:t>
      4) координирование и своевременная организация отзыва лекарственных средств из обращения;</w:t>
      </w:r>
    </w:p>
    <w:bookmarkEnd w:id="5889"/>
    <w:bookmarkStart w:name="z6040" w:id="5890"/>
    <w:p>
      <w:pPr>
        <w:spacing w:after="0"/>
        <w:ind w:left="0"/>
        <w:jc w:val="both"/>
      </w:pPr>
      <w:r>
        <w:rPr>
          <w:rFonts w:ascii="Times New Roman"/>
          <w:b w:val="false"/>
          <w:i w:val="false"/>
          <w:color w:val="000000"/>
          <w:sz w:val="28"/>
        </w:rPr>
        <w:t>
      5) обеспечение эффективной работы с претензиями покупателей (получателей);</w:t>
      </w:r>
    </w:p>
    <w:bookmarkEnd w:id="5890"/>
    <w:bookmarkStart w:name="z6041" w:id="5891"/>
    <w:p>
      <w:pPr>
        <w:spacing w:after="0"/>
        <w:ind w:left="0"/>
        <w:jc w:val="both"/>
      </w:pPr>
      <w:r>
        <w:rPr>
          <w:rFonts w:ascii="Times New Roman"/>
          <w:b w:val="false"/>
          <w:i w:val="false"/>
          <w:color w:val="000000"/>
          <w:sz w:val="28"/>
        </w:rPr>
        <w:t>
      6) утверждение поставщиков и получателей;</w:t>
      </w:r>
    </w:p>
    <w:bookmarkEnd w:id="5891"/>
    <w:bookmarkStart w:name="z6042" w:id="5892"/>
    <w:p>
      <w:pPr>
        <w:spacing w:after="0"/>
        <w:ind w:left="0"/>
        <w:jc w:val="both"/>
      </w:pPr>
      <w:r>
        <w:rPr>
          <w:rFonts w:ascii="Times New Roman"/>
          <w:b w:val="false"/>
          <w:i w:val="false"/>
          <w:color w:val="000000"/>
          <w:sz w:val="28"/>
        </w:rPr>
        <w:t>
      7) утверждение передачи на аутсорсинг деятельности, потенциально влияющей на соблюдение надлежащей дистрибьюторской практики;</w:t>
      </w:r>
    </w:p>
    <w:bookmarkEnd w:id="5892"/>
    <w:bookmarkStart w:name="z6043" w:id="5893"/>
    <w:p>
      <w:pPr>
        <w:spacing w:after="0"/>
        <w:ind w:left="0"/>
        <w:jc w:val="both"/>
      </w:pPr>
      <w:r>
        <w:rPr>
          <w:rFonts w:ascii="Times New Roman"/>
          <w:b w:val="false"/>
          <w:i w:val="false"/>
          <w:color w:val="000000"/>
          <w:sz w:val="28"/>
        </w:rPr>
        <w:t>
      8) обеспечение проведения самоинспекций в соответствии с установленной периодичностью и подготовленной программой, а также принятия необходимых корректирующих мер;</w:t>
      </w:r>
    </w:p>
    <w:bookmarkEnd w:id="5893"/>
    <w:bookmarkStart w:name="z6044" w:id="5894"/>
    <w:p>
      <w:pPr>
        <w:spacing w:after="0"/>
        <w:ind w:left="0"/>
        <w:jc w:val="both"/>
      </w:pPr>
      <w:r>
        <w:rPr>
          <w:rFonts w:ascii="Times New Roman"/>
          <w:b w:val="false"/>
          <w:i w:val="false"/>
          <w:color w:val="000000"/>
          <w:sz w:val="28"/>
        </w:rPr>
        <w:t>
      9) хранение необходимых записей, относящихся к делегированным обязанностям;</w:t>
      </w:r>
    </w:p>
    <w:bookmarkEnd w:id="5894"/>
    <w:bookmarkStart w:name="z6045" w:id="5895"/>
    <w:p>
      <w:pPr>
        <w:spacing w:after="0"/>
        <w:ind w:left="0"/>
        <w:jc w:val="both"/>
      </w:pPr>
      <w:r>
        <w:rPr>
          <w:rFonts w:ascii="Times New Roman"/>
          <w:b w:val="false"/>
          <w:i w:val="false"/>
          <w:color w:val="000000"/>
          <w:sz w:val="28"/>
        </w:rPr>
        <w:t>
      10) принятие решений относительно возвращенных, отозванных, отклоненных, признанных недоброкачественными, фальсифицированных лекарственных средств;</w:t>
      </w:r>
    </w:p>
    <w:bookmarkEnd w:id="5895"/>
    <w:bookmarkStart w:name="z6046" w:id="5896"/>
    <w:p>
      <w:pPr>
        <w:spacing w:after="0"/>
        <w:ind w:left="0"/>
        <w:jc w:val="both"/>
      </w:pPr>
      <w:r>
        <w:rPr>
          <w:rFonts w:ascii="Times New Roman"/>
          <w:b w:val="false"/>
          <w:i w:val="false"/>
          <w:color w:val="000000"/>
          <w:sz w:val="28"/>
        </w:rPr>
        <w:t>
      11) одобрение возвращения лекарственных средств в категорию пригодных для реализации.</w:t>
      </w:r>
    </w:p>
    <w:bookmarkEnd w:id="5896"/>
    <w:bookmarkStart w:name="z6047" w:id="5897"/>
    <w:p>
      <w:pPr>
        <w:spacing w:after="0"/>
        <w:ind w:left="0"/>
        <w:jc w:val="left"/>
      </w:pPr>
      <w:r>
        <w:rPr>
          <w:rFonts w:ascii="Times New Roman"/>
          <w:b/>
          <w:i w:val="false"/>
          <w:color w:val="000000"/>
        </w:rPr>
        <w:t xml:space="preserve"> Раздел 3. Прочий персонал</w:t>
      </w:r>
    </w:p>
    <w:bookmarkEnd w:id="5897"/>
    <w:bookmarkStart w:name="z6048" w:id="5898"/>
    <w:p>
      <w:pPr>
        <w:spacing w:after="0"/>
        <w:ind w:left="0"/>
        <w:jc w:val="both"/>
      </w:pPr>
      <w:r>
        <w:rPr>
          <w:rFonts w:ascii="Times New Roman"/>
          <w:b w:val="false"/>
          <w:i w:val="false"/>
          <w:color w:val="000000"/>
          <w:sz w:val="28"/>
        </w:rPr>
        <w:t>
      22. Дистрибьютор имеет достаточное количество квалифицированных работников, вовлеченных в деятельность по дистрибьюции лекарственных средств на всех ее этапах. Количество работников определяется объемами выполняемых работ и требованиями законодательства Республики Казахстан.</w:t>
      </w:r>
    </w:p>
    <w:bookmarkEnd w:id="5898"/>
    <w:bookmarkStart w:name="z6049" w:id="5899"/>
    <w:p>
      <w:pPr>
        <w:spacing w:after="0"/>
        <w:ind w:left="0"/>
        <w:jc w:val="both"/>
      </w:pPr>
      <w:r>
        <w:rPr>
          <w:rFonts w:ascii="Times New Roman"/>
          <w:b w:val="false"/>
          <w:i w:val="false"/>
          <w:color w:val="000000"/>
          <w:sz w:val="28"/>
        </w:rPr>
        <w:t>
      23. Организационная структура дистрибьютора оформляется в виде схемы и утверждается руководителем. Функции, обязанности и взаимодействие работников четко обозначены.</w:t>
      </w:r>
    </w:p>
    <w:bookmarkEnd w:id="5899"/>
    <w:bookmarkStart w:name="z6050" w:id="5900"/>
    <w:p>
      <w:pPr>
        <w:spacing w:after="0"/>
        <w:ind w:left="0"/>
        <w:jc w:val="both"/>
      </w:pPr>
      <w:r>
        <w:rPr>
          <w:rFonts w:ascii="Times New Roman"/>
          <w:b w:val="false"/>
          <w:i w:val="false"/>
          <w:color w:val="000000"/>
          <w:sz w:val="28"/>
        </w:rPr>
        <w:t>
      24. На работников составляются должностные инструкции, в которых определяются их должностные обязанности, а также порядок их замещения другими работниками.</w:t>
      </w:r>
    </w:p>
    <w:bookmarkEnd w:id="5900"/>
    <w:bookmarkStart w:name="z6051" w:id="5901"/>
    <w:p>
      <w:pPr>
        <w:spacing w:after="0"/>
        <w:ind w:left="0"/>
        <w:jc w:val="left"/>
      </w:pPr>
      <w:r>
        <w:rPr>
          <w:rFonts w:ascii="Times New Roman"/>
          <w:b/>
          <w:i w:val="false"/>
          <w:color w:val="000000"/>
        </w:rPr>
        <w:t xml:space="preserve"> Раздел 4. Обучение</w:t>
      </w:r>
    </w:p>
    <w:bookmarkEnd w:id="5901"/>
    <w:bookmarkStart w:name="z6052" w:id="5902"/>
    <w:p>
      <w:pPr>
        <w:spacing w:after="0"/>
        <w:ind w:left="0"/>
        <w:jc w:val="both"/>
      </w:pPr>
      <w:r>
        <w:rPr>
          <w:rFonts w:ascii="Times New Roman"/>
          <w:b w:val="false"/>
          <w:i w:val="false"/>
          <w:color w:val="000000"/>
          <w:sz w:val="28"/>
        </w:rPr>
        <w:t>
      25. Все работники, вовлеченные в деятельность по дистрибьюции лекарственных средств, проходят обучение по вопросам, касающимся надлежащей дистрибьюторской практики, имеют необходимую квалификацию до начала выполнения своих должностных обязанностей.</w:t>
      </w:r>
    </w:p>
    <w:bookmarkEnd w:id="5902"/>
    <w:bookmarkStart w:name="z6053" w:id="5903"/>
    <w:p>
      <w:pPr>
        <w:spacing w:after="0"/>
        <w:ind w:left="0"/>
        <w:jc w:val="both"/>
      </w:pPr>
      <w:r>
        <w:rPr>
          <w:rFonts w:ascii="Times New Roman"/>
          <w:b w:val="false"/>
          <w:i w:val="false"/>
          <w:color w:val="000000"/>
          <w:sz w:val="28"/>
        </w:rPr>
        <w:t>
      Работники проходят первичное и последующее обучение в соответствии с выполняемыми ими обязанностями на основании письменно оформленных процедур и программы обучения. Ответственное лицо поддерживает компетентность персонала в области надлежащей дистрибьюторской практики посредством регулярного обучения.</w:t>
      </w:r>
    </w:p>
    <w:bookmarkEnd w:id="5903"/>
    <w:bookmarkStart w:name="z6054" w:id="5904"/>
    <w:p>
      <w:pPr>
        <w:spacing w:after="0"/>
        <w:ind w:left="0"/>
        <w:jc w:val="both"/>
      </w:pPr>
      <w:r>
        <w:rPr>
          <w:rFonts w:ascii="Times New Roman"/>
          <w:b w:val="false"/>
          <w:i w:val="false"/>
          <w:color w:val="000000"/>
          <w:sz w:val="28"/>
        </w:rPr>
        <w:t>
      Дополнительно обучение включает аспекты идентификации продукции и предотвращения попадания в цепь поставки фальсифицированных лекарственных средств.</w:t>
      </w:r>
    </w:p>
    <w:bookmarkEnd w:id="5904"/>
    <w:bookmarkStart w:name="z6055" w:id="5905"/>
    <w:p>
      <w:pPr>
        <w:spacing w:after="0"/>
        <w:ind w:left="0"/>
        <w:jc w:val="both"/>
      </w:pPr>
      <w:r>
        <w:rPr>
          <w:rFonts w:ascii="Times New Roman"/>
          <w:b w:val="false"/>
          <w:i w:val="false"/>
          <w:color w:val="000000"/>
          <w:sz w:val="28"/>
        </w:rPr>
        <w:t>
      26. Персонал, работающий с продукцией, в отношении которой установлены более жесткие условия обращения, проходит специальную подготовку. Примерами такой продукции являются огнеопасные, взрывоопасные, легковоспламеняющиеся, легкогорючие, радиоактивные материалы, лекарственные средства, подлежащие особому контролю в соответствии с законодательством Республики Казахстан, термолабильные лекарственные средства.</w:t>
      </w:r>
    </w:p>
    <w:bookmarkEnd w:id="5905"/>
    <w:bookmarkStart w:name="z6056" w:id="5906"/>
    <w:p>
      <w:pPr>
        <w:spacing w:after="0"/>
        <w:ind w:left="0"/>
        <w:jc w:val="both"/>
      </w:pPr>
      <w:r>
        <w:rPr>
          <w:rFonts w:ascii="Times New Roman"/>
          <w:b w:val="false"/>
          <w:i w:val="false"/>
          <w:color w:val="000000"/>
          <w:sz w:val="28"/>
        </w:rPr>
        <w:t>
      27. Записи о проведении обучения подлежат хранению, а эффективность обучения периодически оценивается и документируется.</w:t>
      </w:r>
    </w:p>
    <w:bookmarkEnd w:id="5906"/>
    <w:bookmarkStart w:name="z6057" w:id="5907"/>
    <w:p>
      <w:pPr>
        <w:spacing w:after="0"/>
        <w:ind w:left="0"/>
        <w:jc w:val="left"/>
      </w:pPr>
      <w:r>
        <w:rPr>
          <w:rFonts w:ascii="Times New Roman"/>
          <w:b/>
          <w:i w:val="false"/>
          <w:color w:val="000000"/>
        </w:rPr>
        <w:t xml:space="preserve"> Раздел 5. Гигиена</w:t>
      </w:r>
    </w:p>
    <w:bookmarkEnd w:id="5907"/>
    <w:bookmarkStart w:name="z6058" w:id="5908"/>
    <w:p>
      <w:pPr>
        <w:spacing w:after="0"/>
        <w:ind w:left="0"/>
        <w:jc w:val="both"/>
      </w:pPr>
      <w:r>
        <w:rPr>
          <w:rFonts w:ascii="Times New Roman"/>
          <w:b w:val="false"/>
          <w:i w:val="false"/>
          <w:color w:val="000000"/>
          <w:sz w:val="28"/>
        </w:rPr>
        <w:t>
      28. Устанавливаются и соблюдаются соответствующие процедуры по гигиене труда и личной гигиене работников, применимые к осуществляемой деятельности. Эти процедуры включают требования, относящиеся к здоровью, гигиене и одежде.</w:t>
      </w:r>
    </w:p>
    <w:bookmarkEnd w:id="5908"/>
    <w:bookmarkStart w:name="z6059" w:id="5909"/>
    <w:p>
      <w:pPr>
        <w:spacing w:after="0"/>
        <w:ind w:left="0"/>
        <w:jc w:val="left"/>
      </w:pPr>
      <w:r>
        <w:rPr>
          <w:rFonts w:ascii="Times New Roman"/>
          <w:b/>
          <w:i w:val="false"/>
          <w:color w:val="000000"/>
        </w:rPr>
        <w:t xml:space="preserve"> Глава 3. Помещения и оборудование</w:t>
      </w:r>
    </w:p>
    <w:bookmarkEnd w:id="5909"/>
    <w:bookmarkStart w:name="z6060" w:id="5910"/>
    <w:p>
      <w:pPr>
        <w:spacing w:after="0"/>
        <w:ind w:left="0"/>
        <w:jc w:val="left"/>
      </w:pPr>
      <w:r>
        <w:rPr>
          <w:rFonts w:ascii="Times New Roman"/>
          <w:b/>
          <w:i w:val="false"/>
          <w:color w:val="000000"/>
        </w:rPr>
        <w:t xml:space="preserve"> Раздел 1. Принцип</w:t>
      </w:r>
    </w:p>
    <w:bookmarkEnd w:id="5910"/>
    <w:bookmarkStart w:name="z6061" w:id="5911"/>
    <w:p>
      <w:pPr>
        <w:spacing w:after="0"/>
        <w:ind w:left="0"/>
        <w:jc w:val="both"/>
      </w:pPr>
      <w:r>
        <w:rPr>
          <w:rFonts w:ascii="Times New Roman"/>
          <w:b w:val="false"/>
          <w:i w:val="false"/>
          <w:color w:val="000000"/>
          <w:sz w:val="28"/>
        </w:rPr>
        <w:t>
      29. Дистрибьютор имеет пригодные изолированные помещения, оборудование для обеспечения надлежащего хранения и распространения лекарственных средств. Помещения содержатся чистыми, сухими, в них поддерживаются требуемые температурный режим и влажность.</w:t>
      </w:r>
    </w:p>
    <w:bookmarkEnd w:id="5911"/>
    <w:bookmarkStart w:name="z6062" w:id="5912"/>
    <w:p>
      <w:pPr>
        <w:spacing w:after="0"/>
        <w:ind w:left="0"/>
        <w:jc w:val="left"/>
      </w:pPr>
      <w:r>
        <w:rPr>
          <w:rFonts w:ascii="Times New Roman"/>
          <w:b/>
          <w:i w:val="false"/>
          <w:color w:val="000000"/>
        </w:rPr>
        <w:t xml:space="preserve"> Раздел 2. Помещения</w:t>
      </w:r>
    </w:p>
    <w:bookmarkEnd w:id="5912"/>
    <w:bookmarkStart w:name="z6063" w:id="5913"/>
    <w:p>
      <w:pPr>
        <w:spacing w:after="0"/>
        <w:ind w:left="0"/>
        <w:jc w:val="both"/>
      </w:pPr>
      <w:r>
        <w:rPr>
          <w:rFonts w:ascii="Times New Roman"/>
          <w:b w:val="false"/>
          <w:i w:val="false"/>
          <w:color w:val="000000"/>
          <w:sz w:val="28"/>
        </w:rPr>
        <w:t>
      30. Помещения спроектированы или приспособлены таким образом, чтобы обеспечить соблюдение требуемых условий хранения. Они являются изолированными, защищенными, прочными и обладают достаточной вместимостью для безопасного хранения лекарственных средств и обращения с ними. Для обеспечения точности и безопасности всех проводимых операций зоны хранения имеют надлежащую освещенность.</w:t>
      </w:r>
    </w:p>
    <w:bookmarkEnd w:id="5913"/>
    <w:bookmarkStart w:name="z6064" w:id="5914"/>
    <w:p>
      <w:pPr>
        <w:spacing w:after="0"/>
        <w:ind w:left="0"/>
        <w:jc w:val="both"/>
      </w:pPr>
      <w:r>
        <w:rPr>
          <w:rFonts w:ascii="Times New Roman"/>
          <w:b w:val="false"/>
          <w:i w:val="false"/>
          <w:color w:val="000000"/>
          <w:sz w:val="28"/>
        </w:rPr>
        <w:t>
      31. В случае если помещение не принадлежит непосредственно дистрибьютору, данное помещение используется дистрибьютором по договору аренды (субаренды) либо на основании иного вещного (имущественного) или обязательственного права.</w:t>
      </w:r>
    </w:p>
    <w:bookmarkEnd w:id="5914"/>
    <w:bookmarkStart w:name="z6065" w:id="5915"/>
    <w:p>
      <w:pPr>
        <w:spacing w:after="0"/>
        <w:ind w:left="0"/>
        <w:jc w:val="both"/>
      </w:pPr>
      <w:r>
        <w:rPr>
          <w:rFonts w:ascii="Times New Roman"/>
          <w:b w:val="false"/>
          <w:i w:val="false"/>
          <w:color w:val="000000"/>
          <w:sz w:val="28"/>
        </w:rPr>
        <w:t>
      32. Лекарственные средства хранятся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обеспечивает эквивалентный уровень безопасности и валидируется.</w:t>
      </w:r>
    </w:p>
    <w:bookmarkEnd w:id="5915"/>
    <w:bookmarkStart w:name="z6066" w:id="5916"/>
    <w:p>
      <w:pPr>
        <w:spacing w:after="0"/>
        <w:ind w:left="0"/>
        <w:jc w:val="both"/>
      </w:pPr>
      <w:r>
        <w:rPr>
          <w:rFonts w:ascii="Times New Roman"/>
          <w:b w:val="false"/>
          <w:i w:val="false"/>
          <w:color w:val="000000"/>
          <w:sz w:val="28"/>
        </w:rPr>
        <w:t>
      Лекарственные средства, в отношении которых не принято окончательное решение об обращении или обращение которых приостановлено, изолируются либо физически, либо с применением электронной системы, обеспечивающей эквивалентное разделение.</w:t>
      </w:r>
    </w:p>
    <w:bookmarkEnd w:id="5916"/>
    <w:bookmarkStart w:name="z6067" w:id="5917"/>
    <w:p>
      <w:pPr>
        <w:spacing w:after="0"/>
        <w:ind w:left="0"/>
        <w:jc w:val="both"/>
      </w:pPr>
      <w:r>
        <w:rPr>
          <w:rFonts w:ascii="Times New Roman"/>
          <w:b w:val="false"/>
          <w:i w:val="false"/>
          <w:color w:val="000000"/>
          <w:sz w:val="28"/>
        </w:rPr>
        <w:t>
      Данное требование относится к любой продукции с подозрением на фальсификацию и к возвращенной продукции.</w:t>
      </w:r>
    </w:p>
    <w:bookmarkEnd w:id="5917"/>
    <w:bookmarkStart w:name="z6068" w:id="5918"/>
    <w:p>
      <w:pPr>
        <w:spacing w:after="0"/>
        <w:ind w:left="0"/>
        <w:jc w:val="both"/>
      </w:pPr>
      <w:r>
        <w:rPr>
          <w:rFonts w:ascii="Times New Roman"/>
          <w:b w:val="false"/>
          <w:i w:val="false"/>
          <w:color w:val="000000"/>
          <w:sz w:val="28"/>
        </w:rPr>
        <w:t>
      Любая фальсифицированная продукция, продукция с истекшим сроком годности, отозванная продукция, а также забракованная (отклоненная в цепи поставки) продукция немедленно физически изолируется и размещается в специально выделенной зоне, отделенной от других лекарственных средств, пригодных для дистрибьюции.</w:t>
      </w:r>
    </w:p>
    <w:bookmarkEnd w:id="5918"/>
    <w:bookmarkStart w:name="z6069" w:id="5919"/>
    <w:p>
      <w:pPr>
        <w:spacing w:after="0"/>
        <w:ind w:left="0"/>
        <w:jc w:val="both"/>
      </w:pPr>
      <w:r>
        <w:rPr>
          <w:rFonts w:ascii="Times New Roman"/>
          <w:b w:val="false"/>
          <w:i w:val="false"/>
          <w:color w:val="000000"/>
          <w:sz w:val="28"/>
        </w:rPr>
        <w:t>
      Лекарственные средства, не предназначенные для обращения на рынке, также физически изолируются.</w:t>
      </w:r>
    </w:p>
    <w:bookmarkEnd w:id="5919"/>
    <w:bookmarkStart w:name="z6070" w:id="5920"/>
    <w:p>
      <w:pPr>
        <w:spacing w:after="0"/>
        <w:ind w:left="0"/>
        <w:jc w:val="both"/>
      </w:pPr>
      <w:r>
        <w:rPr>
          <w:rFonts w:ascii="Times New Roman"/>
          <w:b w:val="false"/>
          <w:i w:val="false"/>
          <w:color w:val="000000"/>
          <w:sz w:val="28"/>
        </w:rPr>
        <w:t>
      Предпринятые меры безопасности гарантируют, что данные зоны обеспечивают хранение продукции отдельно от лекарственных средств, пригодных для дистрибьюции, и в условиях, исключающих их поступление в свободное обращение. Данные зоны идентифицированы (обозначены) надлежащим образом и защищены от неправомерного доступа.</w:t>
      </w:r>
    </w:p>
    <w:bookmarkEnd w:id="5920"/>
    <w:bookmarkStart w:name="z6071" w:id="5921"/>
    <w:p>
      <w:pPr>
        <w:spacing w:after="0"/>
        <w:ind w:left="0"/>
        <w:jc w:val="both"/>
      </w:pPr>
      <w:r>
        <w:rPr>
          <w:rFonts w:ascii="Times New Roman"/>
          <w:b w:val="false"/>
          <w:i w:val="false"/>
          <w:color w:val="000000"/>
          <w:sz w:val="28"/>
        </w:rPr>
        <w:t>
      Лекарственные средства, требующие особого обращения (наркотические средства, психотропные вещества и прекурсоры, яды (ядовитые вещества), другие опасные вещества, хранятся в условиях, соответствующих требованиям законодательства Республики Казахстан.</w:t>
      </w:r>
    </w:p>
    <w:bookmarkEnd w:id="5921"/>
    <w:bookmarkStart w:name="z6072" w:id="5922"/>
    <w:p>
      <w:pPr>
        <w:spacing w:after="0"/>
        <w:ind w:left="0"/>
        <w:jc w:val="both"/>
      </w:pPr>
      <w:r>
        <w:rPr>
          <w:rFonts w:ascii="Times New Roman"/>
          <w:b w:val="false"/>
          <w:i w:val="false"/>
          <w:color w:val="000000"/>
          <w:sz w:val="28"/>
        </w:rPr>
        <w:t>
      Радиофармацевтические и другие опасные лекарственные средства, а также огнеопасные и взрывоопасные лекарственные средства (медицинские газы, легковоспламеняющиеся жидкости и твердые вещества) хранятся в специально отведенных зонах в соответствии с законодательством Республики Казахстан с применением соответствующих мер безопасности и защищены от неправомерного доступа.</w:t>
      </w:r>
    </w:p>
    <w:bookmarkEnd w:id="5922"/>
    <w:bookmarkStart w:name="z6073" w:id="5923"/>
    <w:p>
      <w:pPr>
        <w:spacing w:after="0"/>
        <w:ind w:left="0"/>
        <w:jc w:val="both"/>
      </w:pPr>
      <w:r>
        <w:rPr>
          <w:rFonts w:ascii="Times New Roman"/>
          <w:b w:val="false"/>
          <w:i w:val="false"/>
          <w:color w:val="000000"/>
          <w:sz w:val="28"/>
        </w:rPr>
        <w:t>
      33. В зонах приемки и отгрузки обеспечивается защита от воздействия погодных условий, адекватное разделение зон приемки, отгрузки и хранения, а также разрабатываются процедуры, определяющие порядок осуществления контроля за входящими и исходящими потоками лекарственных средств. Специально определяются и обеспечиваются надлежащим оборудованием зоны приемки, используемые для проверки полученной продукции.</w:t>
      </w:r>
    </w:p>
    <w:bookmarkEnd w:id="5923"/>
    <w:bookmarkStart w:name="z6074" w:id="5924"/>
    <w:p>
      <w:pPr>
        <w:spacing w:after="0"/>
        <w:ind w:left="0"/>
        <w:jc w:val="both"/>
      </w:pPr>
      <w:r>
        <w:rPr>
          <w:rFonts w:ascii="Times New Roman"/>
          <w:b w:val="false"/>
          <w:i w:val="false"/>
          <w:color w:val="000000"/>
          <w:sz w:val="28"/>
        </w:rPr>
        <w:t>
      В зоне приемки предусмотрена очистка тары.</w:t>
      </w:r>
    </w:p>
    <w:bookmarkEnd w:id="5924"/>
    <w:bookmarkStart w:name="z6075" w:id="5925"/>
    <w:p>
      <w:pPr>
        <w:spacing w:after="0"/>
        <w:ind w:left="0"/>
        <w:jc w:val="both"/>
      </w:pPr>
      <w:r>
        <w:rPr>
          <w:rFonts w:ascii="Times New Roman"/>
          <w:b w:val="false"/>
          <w:i w:val="false"/>
          <w:color w:val="000000"/>
          <w:sz w:val="28"/>
        </w:rPr>
        <w:t>
      34. Обеспечивается наличие охранной системы, позволяющей предотвращать неправомерное проникновение в любые помещения с контролируемым доступом. Предупредительные меры, как правило, включают в себя охранную сигнализацию с системой мониторинга и пропускной режим. Посетители не находятся в помещениях без сопровождения.</w:t>
      </w:r>
    </w:p>
    <w:bookmarkEnd w:id="5925"/>
    <w:bookmarkStart w:name="z6076" w:id="5926"/>
    <w:p>
      <w:pPr>
        <w:spacing w:after="0"/>
        <w:ind w:left="0"/>
        <w:jc w:val="both"/>
      </w:pPr>
      <w:r>
        <w:rPr>
          <w:rFonts w:ascii="Times New Roman"/>
          <w:b w:val="false"/>
          <w:i w:val="false"/>
          <w:color w:val="000000"/>
          <w:sz w:val="28"/>
        </w:rPr>
        <w:t>
      35. Помещения и оборудование для хранения содержатся чистыми, в них не накапливаются пыль и мусор. В наличии имеются программы, документированные процедуры, записи по очистке помещений и оборудования. Оборудование, инвентарь и материалы, используемые для уборки (очистки), а также моющие и дезинфицирующие средства выбираются, используются и хранятся таким образом, чтобы они не явились источником контаминации.</w:t>
      </w:r>
    </w:p>
    <w:bookmarkEnd w:id="5926"/>
    <w:bookmarkStart w:name="z6077" w:id="5927"/>
    <w:p>
      <w:pPr>
        <w:spacing w:after="0"/>
        <w:ind w:left="0"/>
        <w:jc w:val="both"/>
      </w:pPr>
      <w:r>
        <w:rPr>
          <w:rFonts w:ascii="Times New Roman"/>
          <w:b w:val="false"/>
          <w:i w:val="false"/>
          <w:color w:val="000000"/>
          <w:sz w:val="28"/>
        </w:rPr>
        <w:t>
      36. Помещения спроектированы и оснащены таким образом, чтобы обеспечить защиту от проникновения насекомых, грызунов или других животных. Разработана программа профилактического контроля вредителей.</w:t>
      </w:r>
    </w:p>
    <w:bookmarkEnd w:id="5927"/>
    <w:bookmarkStart w:name="z6078" w:id="5928"/>
    <w:p>
      <w:pPr>
        <w:spacing w:after="0"/>
        <w:ind w:left="0"/>
        <w:jc w:val="both"/>
      </w:pPr>
      <w:r>
        <w:rPr>
          <w:rFonts w:ascii="Times New Roman"/>
          <w:b w:val="false"/>
          <w:i w:val="false"/>
          <w:color w:val="000000"/>
          <w:sz w:val="28"/>
        </w:rPr>
        <w:t>
      37. Комнаты отдыха, гардеробные комнаты, душевые и туалеты для работников надлежащим образом отделены от зон хранения. Наличие пищевых продуктов, напитков, табачных изделий, а также лекарственных средств для личного использования в помещениях склада запрещено.</w:t>
      </w:r>
    </w:p>
    <w:bookmarkEnd w:id="5928"/>
    <w:bookmarkStart w:name="z6079" w:id="5929"/>
    <w:p>
      <w:pPr>
        <w:spacing w:after="0"/>
        <w:ind w:left="0"/>
        <w:jc w:val="left"/>
      </w:pPr>
      <w:r>
        <w:rPr>
          <w:rFonts w:ascii="Times New Roman"/>
          <w:b/>
          <w:i w:val="false"/>
          <w:color w:val="000000"/>
        </w:rPr>
        <w:t xml:space="preserve"> Подраздел 2.1. Контроль за температурой и условиями производственной среды помещения</w:t>
      </w:r>
    </w:p>
    <w:bookmarkEnd w:id="5929"/>
    <w:bookmarkStart w:name="z6080" w:id="5930"/>
    <w:p>
      <w:pPr>
        <w:spacing w:after="0"/>
        <w:ind w:left="0"/>
        <w:jc w:val="both"/>
      </w:pPr>
      <w:r>
        <w:rPr>
          <w:rFonts w:ascii="Times New Roman"/>
          <w:b w:val="false"/>
          <w:i w:val="false"/>
          <w:color w:val="000000"/>
          <w:sz w:val="28"/>
        </w:rPr>
        <w:t>
      38. В наличии имеется соответствующее оборудование, а также регламентирующие процедуры, документы (например, стандартные операционные процедуры) для контроля за условиями производственной среды помещения.</w:t>
      </w:r>
    </w:p>
    <w:bookmarkEnd w:id="5930"/>
    <w:bookmarkStart w:name="z6081" w:id="5931"/>
    <w:p>
      <w:pPr>
        <w:spacing w:after="0"/>
        <w:ind w:left="0"/>
        <w:jc w:val="both"/>
      </w:pPr>
      <w:r>
        <w:rPr>
          <w:rFonts w:ascii="Times New Roman"/>
          <w:b w:val="false"/>
          <w:i w:val="false"/>
          <w:color w:val="000000"/>
          <w:sz w:val="28"/>
        </w:rPr>
        <w:t>
      К условиям производственной среды помещения, к которым требуется контроль, относятся температура, освещенность, влажность и чистота в помещениях.</w:t>
      </w:r>
    </w:p>
    <w:bookmarkEnd w:id="5931"/>
    <w:bookmarkStart w:name="z6082" w:id="5932"/>
    <w:p>
      <w:pPr>
        <w:spacing w:after="0"/>
        <w:ind w:left="0"/>
        <w:jc w:val="both"/>
      </w:pPr>
      <w:r>
        <w:rPr>
          <w:rFonts w:ascii="Times New Roman"/>
          <w:b w:val="false"/>
          <w:i w:val="false"/>
          <w:color w:val="000000"/>
          <w:sz w:val="28"/>
        </w:rPr>
        <w:t>
      39. Выполняется первоначальное изучение распределения температуры (температурное картирование) в 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размещено в соответствии с результатами анализа температурного картирования в точках наиболее значительного колебания температуры.</w:t>
      </w:r>
    </w:p>
    <w:bookmarkEnd w:id="5932"/>
    <w:bookmarkStart w:name="z6083" w:id="5933"/>
    <w:p>
      <w:pPr>
        <w:spacing w:after="0"/>
        <w:ind w:left="0"/>
        <w:jc w:val="both"/>
      </w:pPr>
      <w:r>
        <w:rPr>
          <w:rFonts w:ascii="Times New Roman"/>
          <w:b w:val="false"/>
          <w:i w:val="false"/>
          <w:color w:val="000000"/>
          <w:sz w:val="28"/>
        </w:rPr>
        <w:t>
      Температурное картирование повторяют в соответствии с результатами анализа рисков или в случае существенных изменений в устройстве помещения или оборудовании для контроля температуры.</w:t>
      </w:r>
    </w:p>
    <w:bookmarkEnd w:id="5933"/>
    <w:bookmarkStart w:name="z6084" w:id="5934"/>
    <w:p>
      <w:pPr>
        <w:spacing w:after="0"/>
        <w:ind w:left="0"/>
        <w:jc w:val="both"/>
      </w:pPr>
      <w:r>
        <w:rPr>
          <w:rFonts w:ascii="Times New Roman"/>
          <w:b w:val="false"/>
          <w:i w:val="false"/>
          <w:color w:val="000000"/>
          <w:sz w:val="28"/>
        </w:rPr>
        <w:t>
      В случае если площадь помещений, используемых для хранения при комнатной температуре, не превышает нескольких квадратных метров, проводится анализ потенциальных рисков (наличия отопительных приборов и другое) и оборудование для контроля температуры размещается в соответствии с результатами анализа.</w:t>
      </w:r>
    </w:p>
    <w:bookmarkEnd w:id="5934"/>
    <w:bookmarkStart w:name="z6085" w:id="5935"/>
    <w:p>
      <w:pPr>
        <w:spacing w:after="0"/>
        <w:ind w:left="0"/>
        <w:jc w:val="left"/>
      </w:pPr>
      <w:r>
        <w:rPr>
          <w:rFonts w:ascii="Times New Roman"/>
          <w:b/>
          <w:i w:val="false"/>
          <w:color w:val="000000"/>
        </w:rPr>
        <w:t xml:space="preserve"> Раздел 3. Оборудование</w:t>
      </w:r>
    </w:p>
    <w:bookmarkEnd w:id="5935"/>
    <w:bookmarkStart w:name="z6086" w:id="5936"/>
    <w:p>
      <w:pPr>
        <w:spacing w:after="0"/>
        <w:ind w:left="0"/>
        <w:jc w:val="both"/>
      </w:pPr>
      <w:r>
        <w:rPr>
          <w:rFonts w:ascii="Times New Roman"/>
          <w:b w:val="false"/>
          <w:i w:val="false"/>
          <w:color w:val="000000"/>
          <w:sz w:val="28"/>
        </w:rPr>
        <w:t>
      40. Оборудование, оказывающее влияние на хранение и реализацию лекарственных средств, проектируется, размещается и обслуживается согласно инструкциям по его использованию (эксплуатации). Утверждается план технического обслуживания наиболее значимого для выполнения соответствующих операций оборудования.</w:t>
      </w:r>
    </w:p>
    <w:bookmarkEnd w:id="5936"/>
    <w:bookmarkStart w:name="z6087" w:id="5937"/>
    <w:p>
      <w:pPr>
        <w:spacing w:after="0"/>
        <w:ind w:left="0"/>
        <w:jc w:val="both"/>
      </w:pPr>
      <w:r>
        <w:rPr>
          <w:rFonts w:ascii="Times New Roman"/>
          <w:b w:val="false"/>
          <w:i w:val="false"/>
          <w:color w:val="000000"/>
          <w:sz w:val="28"/>
        </w:rPr>
        <w:t>
      41. Оборудование (средства измерений), используемое для контроля или мониторинга условий хранения лекарственных средств, поверено в порядке, установленном законодательством Республики Казахстан, и откалибровано в определенные межповерочные интервалы исходя из анализа рисков и надежности оборудования.</w:t>
      </w:r>
    </w:p>
    <w:bookmarkEnd w:id="5937"/>
    <w:bookmarkStart w:name="z6088" w:id="5938"/>
    <w:p>
      <w:pPr>
        <w:spacing w:after="0"/>
        <w:ind w:left="0"/>
        <w:jc w:val="both"/>
      </w:pPr>
      <w:r>
        <w:rPr>
          <w:rFonts w:ascii="Times New Roman"/>
          <w:b w:val="false"/>
          <w:i w:val="false"/>
          <w:color w:val="000000"/>
          <w:sz w:val="28"/>
        </w:rPr>
        <w:t>
      При калибровке оборудования обеспечивается метрологическая прослеживаемость используемых эталонов к национальным или международным эталонам единиц величин.</w:t>
      </w:r>
    </w:p>
    <w:bookmarkEnd w:id="5938"/>
    <w:bookmarkStart w:name="z6089" w:id="5939"/>
    <w:p>
      <w:pPr>
        <w:spacing w:after="0"/>
        <w:ind w:left="0"/>
        <w:jc w:val="both"/>
      </w:pPr>
      <w:r>
        <w:rPr>
          <w:rFonts w:ascii="Times New Roman"/>
          <w:b w:val="false"/>
          <w:i w:val="false"/>
          <w:color w:val="000000"/>
          <w:sz w:val="28"/>
        </w:rPr>
        <w:t>
      42. Для оперативного выявления отклонений от требуемых условий хранения используются соответствующие системы сигнализации. Уровень оповещения устанавливается соответствующим образом. Системы сигнализации периодически тестируются для обеспечения их надлежащего функционирования.</w:t>
      </w:r>
    </w:p>
    <w:bookmarkEnd w:id="5939"/>
    <w:bookmarkStart w:name="z6090" w:id="5940"/>
    <w:p>
      <w:pPr>
        <w:spacing w:after="0"/>
        <w:ind w:left="0"/>
        <w:jc w:val="both"/>
      </w:pPr>
      <w:r>
        <w:rPr>
          <w:rFonts w:ascii="Times New Roman"/>
          <w:b w:val="false"/>
          <w:i w:val="false"/>
          <w:color w:val="000000"/>
          <w:sz w:val="28"/>
        </w:rPr>
        <w:t>
      43. Операции по ремонту, обслуживанию, поверке и калибровке оборудования осуществляются таким образом, чтобы качество лекарственных средств не подвергалось негативному влиянию. Создается резервный фонд пригодных оборудования и средств измерений для использования во время ремонта, обслуживания или поверки.</w:t>
      </w:r>
    </w:p>
    <w:bookmarkEnd w:id="5940"/>
    <w:bookmarkStart w:name="z6091" w:id="5941"/>
    <w:p>
      <w:pPr>
        <w:spacing w:after="0"/>
        <w:ind w:left="0"/>
        <w:jc w:val="both"/>
      </w:pPr>
      <w:r>
        <w:rPr>
          <w:rFonts w:ascii="Times New Roman"/>
          <w:b w:val="false"/>
          <w:i w:val="false"/>
          <w:color w:val="000000"/>
          <w:sz w:val="28"/>
        </w:rPr>
        <w:t>
      44. Операции по ремонту, обслуживанию и калибровке наиболее значимого оборудования соответствующим образом документально оформляются, документация сохраняется.</w:t>
      </w:r>
    </w:p>
    <w:bookmarkEnd w:id="5941"/>
    <w:bookmarkStart w:name="z6092" w:id="5942"/>
    <w:p>
      <w:pPr>
        <w:spacing w:after="0"/>
        <w:ind w:left="0"/>
        <w:jc w:val="both"/>
      </w:pPr>
      <w:r>
        <w:rPr>
          <w:rFonts w:ascii="Times New Roman"/>
          <w:b w:val="false"/>
          <w:i w:val="false"/>
          <w:color w:val="000000"/>
          <w:sz w:val="28"/>
        </w:rPr>
        <w:t>
      45. К наиболее значимому оборудованию относятся кондиционеры, холодильные камеры (холодильники) или устройства, охранная и пожарная сигнализация, системы контроля доступа, вентиляционная система, система увлажнения и (или) осушения воздуха, термогигрометры (психрометры) или иное оборудование, используемое для регистрации температуры и влажности, оборудование, используемое для транспортировки.</w:t>
      </w:r>
    </w:p>
    <w:bookmarkEnd w:id="5942"/>
    <w:bookmarkStart w:name="z6093" w:id="5943"/>
    <w:p>
      <w:pPr>
        <w:spacing w:after="0"/>
        <w:ind w:left="0"/>
        <w:jc w:val="left"/>
      </w:pPr>
      <w:r>
        <w:rPr>
          <w:rFonts w:ascii="Times New Roman"/>
          <w:b/>
          <w:i w:val="false"/>
          <w:color w:val="000000"/>
        </w:rPr>
        <w:t xml:space="preserve"> Подраздел 2.2. Компьютеризированные системы</w:t>
      </w:r>
    </w:p>
    <w:bookmarkEnd w:id="5943"/>
    <w:bookmarkStart w:name="z6094" w:id="5944"/>
    <w:p>
      <w:pPr>
        <w:spacing w:after="0"/>
        <w:ind w:left="0"/>
        <w:jc w:val="both"/>
      </w:pPr>
      <w:r>
        <w:rPr>
          <w:rFonts w:ascii="Times New Roman"/>
          <w:b w:val="false"/>
          <w:i w:val="false"/>
          <w:color w:val="000000"/>
          <w:sz w:val="28"/>
        </w:rPr>
        <w:t>
      46. Перед началом использования компьютеризированной системы с помощью валидации или верификации демонстрируется, что система способна получать заданные результаты точно, единообразно и воспроизводимо.</w:t>
      </w:r>
    </w:p>
    <w:bookmarkEnd w:id="5944"/>
    <w:bookmarkStart w:name="z6095" w:id="5945"/>
    <w:p>
      <w:pPr>
        <w:spacing w:after="0"/>
        <w:ind w:left="0"/>
        <w:jc w:val="both"/>
      </w:pPr>
      <w:r>
        <w:rPr>
          <w:rFonts w:ascii="Times New Roman"/>
          <w:b w:val="false"/>
          <w:i w:val="false"/>
          <w:color w:val="000000"/>
          <w:sz w:val="28"/>
        </w:rPr>
        <w:t>
      47. Имеется в наличии письменное детальное описание компьютеризированной системы (включая по возможности диаграммы). Такое описание поддерживается в актуальном состоянии и включает в себя принципы, цели, меры безопасности, область применения и основные функциональные особенности, порядок использования и интерфейс для взаимодействия с другими системами.</w:t>
      </w:r>
    </w:p>
    <w:bookmarkEnd w:id="5945"/>
    <w:bookmarkStart w:name="z6096" w:id="5946"/>
    <w:p>
      <w:pPr>
        <w:spacing w:after="0"/>
        <w:ind w:left="0"/>
        <w:jc w:val="both"/>
      </w:pPr>
      <w:r>
        <w:rPr>
          <w:rFonts w:ascii="Times New Roman"/>
          <w:b w:val="false"/>
          <w:i w:val="false"/>
          <w:color w:val="000000"/>
          <w:sz w:val="28"/>
        </w:rPr>
        <w:t>
      48. Ввод данных в компьютеризированную систему или их изменение осуществляется только работниками, ответственными за данный вид работы. Компьютеризированная система регистрирует все изменения в системе с указанием пользователя, совершающего эти изменения.</w:t>
      </w:r>
    </w:p>
    <w:bookmarkEnd w:id="5946"/>
    <w:bookmarkStart w:name="z6097" w:id="5947"/>
    <w:p>
      <w:pPr>
        <w:spacing w:after="0"/>
        <w:ind w:left="0"/>
        <w:jc w:val="both"/>
      </w:pPr>
      <w:r>
        <w:rPr>
          <w:rFonts w:ascii="Times New Roman"/>
          <w:b w:val="false"/>
          <w:i w:val="false"/>
          <w:color w:val="000000"/>
          <w:sz w:val="28"/>
        </w:rPr>
        <w:t>
      49.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регулярно проверяется. На регулярной основе создают резервные копии сохраненных данных. Резервные копии данных, введенных в компьютеризированную систему, хранятся в соответствии со сроками, установленными законодательством Республики Казахстан, но не менее 5 лет, в изолированном и безопасном месте.</w:t>
      </w:r>
    </w:p>
    <w:bookmarkEnd w:id="5947"/>
    <w:bookmarkStart w:name="z6098" w:id="5948"/>
    <w:p>
      <w:pPr>
        <w:spacing w:after="0"/>
        <w:ind w:left="0"/>
        <w:jc w:val="both"/>
      </w:pPr>
      <w:r>
        <w:rPr>
          <w:rFonts w:ascii="Times New Roman"/>
          <w:b w:val="false"/>
          <w:i w:val="false"/>
          <w:color w:val="000000"/>
          <w:sz w:val="28"/>
        </w:rPr>
        <w:t>
      50. Предусмотрены процедуры, определяющие порядок действий в случае сбоев в работе системы или выхода ее из строя, а также меры по восстановлению данных.</w:t>
      </w:r>
    </w:p>
    <w:bookmarkEnd w:id="5948"/>
    <w:bookmarkStart w:name="z6099" w:id="5949"/>
    <w:p>
      <w:pPr>
        <w:spacing w:after="0"/>
        <w:ind w:left="0"/>
        <w:jc w:val="left"/>
      </w:pPr>
      <w:r>
        <w:rPr>
          <w:rFonts w:ascii="Times New Roman"/>
          <w:b/>
          <w:i w:val="false"/>
          <w:color w:val="000000"/>
        </w:rPr>
        <w:t xml:space="preserve"> Подраздел 2.3. Квалификация и валидация</w:t>
      </w:r>
    </w:p>
    <w:bookmarkEnd w:id="5949"/>
    <w:bookmarkStart w:name="z6100" w:id="5950"/>
    <w:p>
      <w:pPr>
        <w:spacing w:after="0"/>
        <w:ind w:left="0"/>
        <w:jc w:val="both"/>
      </w:pPr>
      <w:r>
        <w:rPr>
          <w:rFonts w:ascii="Times New Roman"/>
          <w:b w:val="false"/>
          <w:i w:val="false"/>
          <w:color w:val="000000"/>
          <w:sz w:val="28"/>
        </w:rPr>
        <w:t>
      51. Организация определяет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(хранение, подготовка к отгрузке и упаковка) определяется на основе документально оформленного анализа рисков.</w:t>
      </w:r>
    </w:p>
    <w:bookmarkEnd w:id="5950"/>
    <w:bookmarkStart w:name="z6101" w:id="5951"/>
    <w:p>
      <w:pPr>
        <w:spacing w:after="0"/>
        <w:ind w:left="0"/>
        <w:jc w:val="both"/>
      </w:pPr>
      <w:r>
        <w:rPr>
          <w:rFonts w:ascii="Times New Roman"/>
          <w:b w:val="false"/>
          <w:i w:val="false"/>
          <w:color w:val="000000"/>
          <w:sz w:val="28"/>
        </w:rPr>
        <w:t>
      Оборудование и процессы квалифицированы и (или) валидированы до начала эксплуатации или после любого значительного изменения (ремонта или технического обслуживания).</w:t>
      </w:r>
    </w:p>
    <w:bookmarkEnd w:id="5951"/>
    <w:bookmarkStart w:name="z6102" w:id="5952"/>
    <w:p>
      <w:pPr>
        <w:spacing w:after="0"/>
        <w:ind w:left="0"/>
        <w:jc w:val="both"/>
      </w:pPr>
      <w:r>
        <w:rPr>
          <w:rFonts w:ascii="Times New Roman"/>
          <w:b w:val="false"/>
          <w:i w:val="false"/>
          <w:color w:val="000000"/>
          <w:sz w:val="28"/>
        </w:rPr>
        <w:t>
      Проведение валидации или квалификации оформляется отчетами, в которых обобщены полученные результаты, а также даны объяснения выявленным отклонениям.</w:t>
      </w:r>
    </w:p>
    <w:bookmarkEnd w:id="5952"/>
    <w:bookmarkStart w:name="z6103" w:id="5953"/>
    <w:p>
      <w:pPr>
        <w:spacing w:after="0"/>
        <w:ind w:left="0"/>
        <w:jc w:val="both"/>
      </w:pPr>
      <w:r>
        <w:rPr>
          <w:rFonts w:ascii="Times New Roman"/>
          <w:b w:val="false"/>
          <w:i w:val="false"/>
          <w:color w:val="000000"/>
          <w:sz w:val="28"/>
        </w:rPr>
        <w:t>
      52. 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предупреждающие действия). Необходимость осуществления корректирующих и предупреждающих действий определяется на основе статистического прогнозирования (применение Байесовских моделей прогнозирования), применения концепции анализа фармацевтических рисков и инструментов по управлению рисками, приведенных в Стандарте надлежащей производственной практики (GMP). Проведены валидация и доказана приемлемость процесса или оборудования, которые утверждаются соответствующими работниками.</w:t>
      </w:r>
    </w:p>
    <w:bookmarkEnd w:id="5953"/>
    <w:bookmarkStart w:name="z6104" w:id="5954"/>
    <w:p>
      <w:pPr>
        <w:spacing w:after="0"/>
        <w:ind w:left="0"/>
        <w:jc w:val="left"/>
      </w:pPr>
      <w:r>
        <w:rPr>
          <w:rFonts w:ascii="Times New Roman"/>
          <w:b/>
          <w:i w:val="false"/>
          <w:color w:val="000000"/>
        </w:rPr>
        <w:t xml:space="preserve"> Глава 4. Документация</w:t>
      </w:r>
    </w:p>
    <w:bookmarkEnd w:id="5954"/>
    <w:bookmarkStart w:name="z6105" w:id="5955"/>
    <w:p>
      <w:pPr>
        <w:spacing w:after="0"/>
        <w:ind w:left="0"/>
        <w:jc w:val="left"/>
      </w:pPr>
      <w:r>
        <w:rPr>
          <w:rFonts w:ascii="Times New Roman"/>
          <w:b/>
          <w:i w:val="false"/>
          <w:color w:val="000000"/>
        </w:rPr>
        <w:t xml:space="preserve"> Раздел 1. Принцип</w:t>
      </w:r>
    </w:p>
    <w:bookmarkEnd w:id="5955"/>
    <w:bookmarkStart w:name="z6106" w:id="5956"/>
    <w:p>
      <w:pPr>
        <w:spacing w:after="0"/>
        <w:ind w:left="0"/>
        <w:jc w:val="both"/>
      </w:pPr>
      <w:r>
        <w:rPr>
          <w:rFonts w:ascii="Times New Roman"/>
          <w:b w:val="false"/>
          <w:i w:val="false"/>
          <w:color w:val="000000"/>
          <w:sz w:val="28"/>
        </w:rPr>
        <w:t>
      53. Надлежащая документация является неотъемлемой частью системы качества.</w:t>
      </w:r>
    </w:p>
    <w:bookmarkEnd w:id="5956"/>
    <w:bookmarkStart w:name="z6107" w:id="5957"/>
    <w:p>
      <w:pPr>
        <w:spacing w:after="0"/>
        <w:ind w:left="0"/>
        <w:jc w:val="both"/>
      </w:pPr>
      <w:r>
        <w:rPr>
          <w:rFonts w:ascii="Times New Roman"/>
          <w:b w:val="false"/>
          <w:i w:val="false"/>
          <w:color w:val="000000"/>
          <w:sz w:val="28"/>
        </w:rPr>
        <w:t>
      Задачами документации являются предотвращение ошибок, которые возникают вследствие устной коммуникации, и отслеживание отдельных операций в процессе дистрибьюции лекарственных средств.</w:t>
      </w:r>
    </w:p>
    <w:bookmarkEnd w:id="5957"/>
    <w:bookmarkStart w:name="z6108" w:id="5958"/>
    <w:p>
      <w:pPr>
        <w:spacing w:after="0"/>
        <w:ind w:left="0"/>
        <w:jc w:val="left"/>
      </w:pPr>
      <w:r>
        <w:rPr>
          <w:rFonts w:ascii="Times New Roman"/>
          <w:b/>
          <w:i w:val="false"/>
          <w:color w:val="000000"/>
        </w:rPr>
        <w:t xml:space="preserve"> Раздел 2. Общие требования</w:t>
      </w:r>
    </w:p>
    <w:bookmarkEnd w:id="5958"/>
    <w:bookmarkStart w:name="z6109" w:id="5959"/>
    <w:p>
      <w:pPr>
        <w:spacing w:after="0"/>
        <w:ind w:left="0"/>
        <w:jc w:val="both"/>
      </w:pPr>
      <w:r>
        <w:rPr>
          <w:rFonts w:ascii="Times New Roman"/>
          <w:b w:val="false"/>
          <w:i w:val="false"/>
          <w:color w:val="000000"/>
          <w:sz w:val="28"/>
        </w:rPr>
        <w:t>
      54. К документации относятся: письменные процедуры, инструкции, договоры, записи, отчеты, протоколы испытаний и другие бумажные или электронные носители информации, на которых регистрируются данные. Документация легко доступна для персонала дистрибьютора и восстанавливаема.</w:t>
      </w:r>
    </w:p>
    <w:bookmarkEnd w:id="5959"/>
    <w:bookmarkStart w:name="z6110" w:id="5960"/>
    <w:p>
      <w:pPr>
        <w:spacing w:after="0"/>
        <w:ind w:left="0"/>
        <w:jc w:val="both"/>
      </w:pPr>
      <w:r>
        <w:rPr>
          <w:rFonts w:ascii="Times New Roman"/>
          <w:b w:val="false"/>
          <w:i w:val="false"/>
          <w:color w:val="000000"/>
          <w:sz w:val="28"/>
        </w:rPr>
        <w:t>
      55. Обработка персональных данных работников дистрибьютора, лиц, направивших претензии, а также любых других физических лиц осуществляется в соответствии с требованиями законодательства Республики Казахстан, предусматривающими порядок обработки, хранения персональных данных, включая передачу персональных данных третьим лицам.</w:t>
      </w:r>
    </w:p>
    <w:bookmarkEnd w:id="5960"/>
    <w:bookmarkStart w:name="z6111" w:id="5961"/>
    <w:p>
      <w:pPr>
        <w:spacing w:after="0"/>
        <w:ind w:left="0"/>
        <w:jc w:val="both"/>
      </w:pPr>
      <w:r>
        <w:rPr>
          <w:rFonts w:ascii="Times New Roman"/>
          <w:b w:val="false"/>
          <w:i w:val="false"/>
          <w:color w:val="000000"/>
          <w:sz w:val="28"/>
        </w:rPr>
        <w:t>
      56. Документация в достаточной степени охватывает все процессы, выполняемые дистрибьютором, и понятна работникам. Текст документов является однозначным, не допускающим двусмысленных толкований и ошибок.</w:t>
      </w:r>
    </w:p>
    <w:bookmarkEnd w:id="5961"/>
    <w:bookmarkStart w:name="z6112" w:id="5962"/>
    <w:p>
      <w:pPr>
        <w:spacing w:after="0"/>
        <w:ind w:left="0"/>
        <w:jc w:val="both"/>
      </w:pPr>
      <w:r>
        <w:rPr>
          <w:rFonts w:ascii="Times New Roman"/>
          <w:b w:val="false"/>
          <w:i w:val="false"/>
          <w:color w:val="000000"/>
          <w:sz w:val="28"/>
        </w:rPr>
        <w:t>
      57. Процедуры утверждены, подписаны и датированы ответственным лицом. Документация утверждена, подписана и датирована специально назначенными лицами, согласно установленным требованиям. Документация не оформляется от руки. В случаях, когда вносятся рукописные записи предусматривается наличие необходимых полей.</w:t>
      </w:r>
    </w:p>
    <w:bookmarkEnd w:id="5962"/>
    <w:bookmarkStart w:name="z6113" w:id="5963"/>
    <w:p>
      <w:pPr>
        <w:spacing w:after="0"/>
        <w:ind w:left="0"/>
        <w:jc w:val="both"/>
      </w:pPr>
      <w:r>
        <w:rPr>
          <w:rFonts w:ascii="Times New Roman"/>
          <w:b w:val="false"/>
          <w:i w:val="false"/>
          <w:color w:val="000000"/>
          <w:sz w:val="28"/>
        </w:rPr>
        <w:t>
      58. Любые исправления, внесенные в документацию, датированы и подписаны, исправления внесены таким образом, чтобы сохранялась возможность прочтения первоначальных записей. Указываются причины внесения исправлений.</w:t>
      </w:r>
    </w:p>
    <w:bookmarkEnd w:id="5963"/>
    <w:bookmarkStart w:name="z6114" w:id="5964"/>
    <w:p>
      <w:pPr>
        <w:spacing w:after="0"/>
        <w:ind w:left="0"/>
        <w:jc w:val="both"/>
      </w:pPr>
      <w:r>
        <w:rPr>
          <w:rFonts w:ascii="Times New Roman"/>
          <w:b w:val="false"/>
          <w:i w:val="false"/>
          <w:color w:val="000000"/>
          <w:sz w:val="28"/>
        </w:rPr>
        <w:t>
      59. Документация подлежит хранению в течение срока, установленного законодательством Республики Казахстан, но не менее 5 лет. Персональные данные работников уничтожаются или обезличиваются, как только их хранение перестает требоваться для целей дистрибьюции лекарственных средств.</w:t>
      </w:r>
    </w:p>
    <w:bookmarkEnd w:id="5964"/>
    <w:bookmarkStart w:name="z6115" w:id="5965"/>
    <w:p>
      <w:pPr>
        <w:spacing w:after="0"/>
        <w:ind w:left="0"/>
        <w:jc w:val="both"/>
      </w:pPr>
      <w:r>
        <w:rPr>
          <w:rFonts w:ascii="Times New Roman"/>
          <w:b w:val="false"/>
          <w:i w:val="false"/>
          <w:color w:val="000000"/>
          <w:sz w:val="28"/>
        </w:rPr>
        <w:t>
      60. Каждый работник имеет оперативный доступ к документации, необходимой для выполнения своих должностных обязанностей.</w:t>
      </w:r>
    </w:p>
    <w:bookmarkEnd w:id="5965"/>
    <w:bookmarkStart w:name="z6116" w:id="5966"/>
    <w:p>
      <w:pPr>
        <w:spacing w:after="0"/>
        <w:ind w:left="0"/>
        <w:jc w:val="both"/>
      </w:pPr>
      <w:r>
        <w:rPr>
          <w:rFonts w:ascii="Times New Roman"/>
          <w:b w:val="false"/>
          <w:i w:val="false"/>
          <w:color w:val="000000"/>
          <w:sz w:val="28"/>
        </w:rPr>
        <w:t>
      61. Особое внимание уделяется использованию действующих и утвержденных в установленном порядке процедур. Четко обозначены наименование и цель документа. Документы регулярно пересматриваются и поддерживаются в актуальном состоянии.</w:t>
      </w:r>
    </w:p>
    <w:bookmarkEnd w:id="5966"/>
    <w:bookmarkStart w:name="z6117" w:id="5967"/>
    <w:p>
      <w:pPr>
        <w:spacing w:after="0"/>
        <w:ind w:left="0"/>
        <w:jc w:val="both"/>
      </w:pPr>
      <w:r>
        <w:rPr>
          <w:rFonts w:ascii="Times New Roman"/>
          <w:b w:val="false"/>
          <w:i w:val="false"/>
          <w:color w:val="000000"/>
          <w:sz w:val="28"/>
        </w:rPr>
        <w:t>
      К процедурам применяется контроль версий. Существует система, предотвращающая непреднамеренное использование утратившей силы редакции документа. Устаревшие и утратившие силу редакции документов, регламентирующих процедуры, изымаются из документооборота и архивируются.</w:t>
      </w:r>
    </w:p>
    <w:bookmarkEnd w:id="5967"/>
    <w:bookmarkStart w:name="z6118" w:id="5968"/>
    <w:p>
      <w:pPr>
        <w:spacing w:after="0"/>
        <w:ind w:left="0"/>
        <w:jc w:val="both"/>
      </w:pPr>
      <w:r>
        <w:rPr>
          <w:rFonts w:ascii="Times New Roman"/>
          <w:b w:val="false"/>
          <w:i w:val="false"/>
          <w:color w:val="000000"/>
          <w:sz w:val="28"/>
        </w:rPr>
        <w:t>
      62. Сохраняются записи, относящиеся к выполнению всех действий, касающихся полученной или поставленной продукции или другие записи в электронном виде или иной форме.</w:t>
      </w:r>
    </w:p>
    <w:bookmarkEnd w:id="5968"/>
    <w:bookmarkStart w:name="z6119" w:id="5969"/>
    <w:p>
      <w:pPr>
        <w:spacing w:after="0"/>
        <w:ind w:left="0"/>
        <w:jc w:val="both"/>
      </w:pPr>
      <w:r>
        <w:rPr>
          <w:rFonts w:ascii="Times New Roman"/>
          <w:b w:val="false"/>
          <w:i w:val="false"/>
          <w:color w:val="000000"/>
          <w:sz w:val="28"/>
        </w:rPr>
        <w:t>
      Записи включают как минимум следующую информацию: дата, наименование лекарственных средств, количество приобретенных или поставленных лекарственных средств, наименование и адрес поставщика, получателя или грузополучателя (в зависимости от того, что применимо), а также номер серии.</w:t>
      </w:r>
    </w:p>
    <w:bookmarkEnd w:id="5969"/>
    <w:bookmarkStart w:name="z6120" w:id="5970"/>
    <w:p>
      <w:pPr>
        <w:spacing w:after="0"/>
        <w:ind w:left="0"/>
        <w:jc w:val="both"/>
      </w:pPr>
      <w:r>
        <w:rPr>
          <w:rFonts w:ascii="Times New Roman"/>
          <w:b w:val="false"/>
          <w:i w:val="false"/>
          <w:color w:val="000000"/>
          <w:sz w:val="28"/>
        </w:rPr>
        <w:t>
      Записи сделаны непосредственно в момент осуществления соответствующих операций.</w:t>
      </w:r>
    </w:p>
    <w:bookmarkEnd w:id="5970"/>
    <w:bookmarkStart w:name="z6121" w:id="5971"/>
    <w:p>
      <w:pPr>
        <w:spacing w:after="0"/>
        <w:ind w:left="0"/>
        <w:jc w:val="left"/>
      </w:pPr>
      <w:r>
        <w:rPr>
          <w:rFonts w:ascii="Times New Roman"/>
          <w:b/>
          <w:i w:val="false"/>
          <w:color w:val="000000"/>
        </w:rPr>
        <w:t xml:space="preserve"> Глава 5. Процесс дистрибьюции лекарственных средств</w:t>
      </w:r>
    </w:p>
    <w:bookmarkEnd w:id="5971"/>
    <w:bookmarkStart w:name="z6122" w:id="5972"/>
    <w:p>
      <w:pPr>
        <w:spacing w:after="0"/>
        <w:ind w:left="0"/>
        <w:jc w:val="left"/>
      </w:pPr>
      <w:r>
        <w:rPr>
          <w:rFonts w:ascii="Times New Roman"/>
          <w:b/>
          <w:i w:val="false"/>
          <w:color w:val="000000"/>
        </w:rPr>
        <w:t xml:space="preserve"> Раздел 1. Принцип</w:t>
      </w:r>
    </w:p>
    <w:bookmarkEnd w:id="5972"/>
    <w:bookmarkStart w:name="z6123" w:id="5973"/>
    <w:p>
      <w:pPr>
        <w:spacing w:after="0"/>
        <w:ind w:left="0"/>
        <w:jc w:val="both"/>
      </w:pPr>
      <w:r>
        <w:rPr>
          <w:rFonts w:ascii="Times New Roman"/>
          <w:b w:val="false"/>
          <w:i w:val="false"/>
          <w:color w:val="000000"/>
          <w:sz w:val="28"/>
        </w:rPr>
        <w:t>
      63. Все действия дистрибьютора осуществляются таким образом, чтобы не утратилась идентичность лекарственных средств и соблюдались требования, указанные на упаковке лекарственных средств. Дистрибьютор принимает необходимые меры для минимизации риска проникновения фальсифицированных лекарственных средств в цепь реализации.</w:t>
      </w:r>
    </w:p>
    <w:bookmarkEnd w:id="5973"/>
    <w:bookmarkStart w:name="z6124" w:id="5974"/>
    <w:p>
      <w:pPr>
        <w:spacing w:after="0"/>
        <w:ind w:left="0"/>
        <w:jc w:val="both"/>
      </w:pPr>
      <w:r>
        <w:rPr>
          <w:rFonts w:ascii="Times New Roman"/>
          <w:b w:val="false"/>
          <w:i w:val="false"/>
          <w:color w:val="000000"/>
          <w:sz w:val="28"/>
        </w:rPr>
        <w:t>
      64. Дистрибьюции подлежат следующие лекарственные средства:</w:t>
      </w:r>
    </w:p>
    <w:bookmarkEnd w:id="5974"/>
    <w:bookmarkStart w:name="z6125" w:id="5975"/>
    <w:p>
      <w:pPr>
        <w:spacing w:after="0"/>
        <w:ind w:left="0"/>
        <w:jc w:val="both"/>
      </w:pPr>
      <w:r>
        <w:rPr>
          <w:rFonts w:ascii="Times New Roman"/>
          <w:b w:val="false"/>
          <w:i w:val="false"/>
          <w:color w:val="000000"/>
          <w:sz w:val="28"/>
        </w:rPr>
        <w:t>
      1) зарегистрированные в соответствии с законодательством Республики Казахстан;</w:t>
      </w:r>
    </w:p>
    <w:bookmarkEnd w:id="5975"/>
    <w:bookmarkStart w:name="z6126" w:id="5976"/>
    <w:p>
      <w:pPr>
        <w:spacing w:after="0"/>
        <w:ind w:left="0"/>
        <w:jc w:val="both"/>
      </w:pPr>
      <w:r>
        <w:rPr>
          <w:rFonts w:ascii="Times New Roman"/>
          <w:b w:val="false"/>
          <w:i w:val="false"/>
          <w:color w:val="000000"/>
          <w:sz w:val="28"/>
        </w:rPr>
        <w:t>
      2) незарегистрированные и (или) ввозимые (вывозимые) в соответствии с законодательством Республики Казахстан.</w:t>
      </w:r>
    </w:p>
    <w:bookmarkEnd w:id="5976"/>
    <w:bookmarkStart w:name="z6127" w:id="5977"/>
    <w:p>
      <w:pPr>
        <w:spacing w:after="0"/>
        <w:ind w:left="0"/>
        <w:jc w:val="both"/>
      </w:pPr>
      <w:r>
        <w:rPr>
          <w:rFonts w:ascii="Times New Roman"/>
          <w:b w:val="false"/>
          <w:i w:val="false"/>
          <w:color w:val="000000"/>
          <w:sz w:val="28"/>
        </w:rPr>
        <w:t>
      65. Дистрибьютор, кроме держателя (владельца) регистрационного удостоверения (торговой лицензии), который приобретает лекарственное средство в другом государстве, уведомляет о своем намерении держателя (владельца) регистрационного удостоверения.</w:t>
      </w:r>
    </w:p>
    <w:bookmarkEnd w:id="5977"/>
    <w:bookmarkStart w:name="z6128" w:id="5978"/>
    <w:p>
      <w:pPr>
        <w:spacing w:after="0"/>
        <w:ind w:left="0"/>
        <w:jc w:val="both"/>
      </w:pPr>
      <w:r>
        <w:rPr>
          <w:rFonts w:ascii="Times New Roman"/>
          <w:b w:val="false"/>
          <w:i w:val="false"/>
          <w:color w:val="000000"/>
          <w:sz w:val="28"/>
        </w:rPr>
        <w:t>
      66. Любые действия, выполняемые согласно положениям настоящего подраздела, полностью описываются в соответствующей документации системы качества.</w:t>
      </w:r>
    </w:p>
    <w:bookmarkEnd w:id="5978"/>
    <w:bookmarkStart w:name="z6129" w:id="5979"/>
    <w:p>
      <w:pPr>
        <w:spacing w:after="0"/>
        <w:ind w:left="0"/>
        <w:jc w:val="left"/>
      </w:pPr>
      <w:r>
        <w:rPr>
          <w:rFonts w:ascii="Times New Roman"/>
          <w:b/>
          <w:i w:val="false"/>
          <w:color w:val="000000"/>
        </w:rPr>
        <w:t xml:space="preserve"> Раздел 2. Оценка поставщиков</w:t>
      </w:r>
    </w:p>
    <w:bookmarkEnd w:id="5979"/>
    <w:bookmarkStart w:name="z6130" w:id="5980"/>
    <w:p>
      <w:pPr>
        <w:spacing w:after="0"/>
        <w:ind w:left="0"/>
        <w:jc w:val="both"/>
      </w:pPr>
      <w:r>
        <w:rPr>
          <w:rFonts w:ascii="Times New Roman"/>
          <w:b w:val="false"/>
          <w:i w:val="false"/>
          <w:color w:val="000000"/>
          <w:sz w:val="28"/>
        </w:rPr>
        <w:t>
      67. Дистрибьютор получает лекарственные средства только от организаций, имеющих разрешение на осуществление деятельности по производству или дистрибьюции лекарственных средств, выданное уполномоченным органом.</w:t>
      </w:r>
    </w:p>
    <w:bookmarkEnd w:id="5980"/>
    <w:bookmarkStart w:name="z6131" w:id="5981"/>
    <w:p>
      <w:pPr>
        <w:spacing w:after="0"/>
        <w:ind w:left="0"/>
        <w:jc w:val="both"/>
      </w:pPr>
      <w:r>
        <w:rPr>
          <w:rFonts w:ascii="Times New Roman"/>
          <w:b w:val="false"/>
          <w:i w:val="false"/>
          <w:color w:val="000000"/>
          <w:sz w:val="28"/>
        </w:rPr>
        <w:t>
      Дистрибьютор, приобретающий лекарственные средства у другого дистрибьютора, удостоверяется, что поставщик лекарственных средств соблюдает требования надлежащей дистрибьюторской практики и имеет разрешение на осуществление данного вида деятельности, выданное уполномоченным органом.</w:t>
      </w:r>
    </w:p>
    <w:bookmarkEnd w:id="5981"/>
    <w:bookmarkStart w:name="z6132" w:id="5982"/>
    <w:p>
      <w:pPr>
        <w:spacing w:after="0"/>
        <w:ind w:left="0"/>
        <w:jc w:val="both"/>
      </w:pPr>
      <w:r>
        <w:rPr>
          <w:rFonts w:ascii="Times New Roman"/>
          <w:b w:val="false"/>
          <w:i w:val="false"/>
          <w:color w:val="000000"/>
          <w:sz w:val="28"/>
        </w:rPr>
        <w:t>
      68. Мероприятия по оценке и одобрению поставщиков выполняются дистрибьютором до приобретения лекарственных средств. Данные мероприятия осуществляются в соответствии с утвержденной процедурой, их результаты оформляются документально и периодически проверяются.</w:t>
      </w:r>
    </w:p>
    <w:bookmarkEnd w:id="5982"/>
    <w:bookmarkStart w:name="z6133" w:id="5983"/>
    <w:p>
      <w:pPr>
        <w:spacing w:after="0"/>
        <w:ind w:left="0"/>
        <w:jc w:val="both"/>
      </w:pPr>
      <w:r>
        <w:rPr>
          <w:rFonts w:ascii="Times New Roman"/>
          <w:b w:val="false"/>
          <w:i w:val="false"/>
          <w:color w:val="000000"/>
          <w:sz w:val="28"/>
        </w:rPr>
        <w:t>
      69. При подписании договоров с новыми поставщиками организация проводит надлежащую проверку поставщика с целью подтверждения его компетентности, надежности и соответствия установленным требованиям. Особое внимание уделяется следующим факторам:</w:t>
      </w:r>
    </w:p>
    <w:bookmarkEnd w:id="5983"/>
    <w:bookmarkStart w:name="z6134" w:id="5984"/>
    <w:p>
      <w:pPr>
        <w:spacing w:after="0"/>
        <w:ind w:left="0"/>
        <w:jc w:val="both"/>
      </w:pPr>
      <w:r>
        <w:rPr>
          <w:rFonts w:ascii="Times New Roman"/>
          <w:b w:val="false"/>
          <w:i w:val="false"/>
          <w:color w:val="000000"/>
          <w:sz w:val="28"/>
        </w:rPr>
        <w:t>
      1) репутация и (или) надежность поставщика;</w:t>
      </w:r>
    </w:p>
    <w:bookmarkEnd w:id="5984"/>
    <w:bookmarkStart w:name="z6135" w:id="5985"/>
    <w:p>
      <w:pPr>
        <w:spacing w:after="0"/>
        <w:ind w:left="0"/>
        <w:jc w:val="both"/>
      </w:pPr>
      <w:r>
        <w:rPr>
          <w:rFonts w:ascii="Times New Roman"/>
          <w:b w:val="false"/>
          <w:i w:val="false"/>
          <w:color w:val="000000"/>
          <w:sz w:val="28"/>
        </w:rPr>
        <w:t>
      2) предложения по поставке лекарственных средств, наиболее подверженных фальсифицированию;</w:t>
      </w:r>
    </w:p>
    <w:bookmarkEnd w:id="5985"/>
    <w:bookmarkStart w:name="z6136" w:id="5986"/>
    <w:p>
      <w:pPr>
        <w:spacing w:after="0"/>
        <w:ind w:left="0"/>
        <w:jc w:val="both"/>
      </w:pPr>
      <w:r>
        <w:rPr>
          <w:rFonts w:ascii="Times New Roman"/>
          <w:b w:val="false"/>
          <w:i w:val="false"/>
          <w:color w:val="000000"/>
          <w:sz w:val="28"/>
        </w:rPr>
        <w:t>
      3) предложения по поставке большой партии лекарственных средств, обычно доступных только в ограниченном количестве;</w:t>
      </w:r>
    </w:p>
    <w:bookmarkEnd w:id="5986"/>
    <w:bookmarkStart w:name="z6137" w:id="5987"/>
    <w:p>
      <w:pPr>
        <w:spacing w:after="0"/>
        <w:ind w:left="0"/>
        <w:jc w:val="both"/>
      </w:pPr>
      <w:r>
        <w:rPr>
          <w:rFonts w:ascii="Times New Roman"/>
          <w:b w:val="false"/>
          <w:i w:val="false"/>
          <w:color w:val="000000"/>
          <w:sz w:val="28"/>
        </w:rPr>
        <w:t>
      4) ценовые предложения, не соответствующие рыночным.</w:t>
      </w:r>
    </w:p>
    <w:bookmarkEnd w:id="5987"/>
    <w:bookmarkStart w:name="z6138" w:id="5988"/>
    <w:p>
      <w:pPr>
        <w:spacing w:after="0"/>
        <w:ind w:left="0"/>
        <w:jc w:val="left"/>
      </w:pPr>
      <w:r>
        <w:rPr>
          <w:rFonts w:ascii="Times New Roman"/>
          <w:b/>
          <w:i w:val="false"/>
          <w:color w:val="000000"/>
        </w:rPr>
        <w:t xml:space="preserve"> Раздел 3. Оценка заказчиков (получателей)</w:t>
      </w:r>
    </w:p>
    <w:bookmarkEnd w:id="5988"/>
    <w:bookmarkStart w:name="z6139" w:id="5989"/>
    <w:p>
      <w:pPr>
        <w:spacing w:after="0"/>
        <w:ind w:left="0"/>
        <w:jc w:val="both"/>
      </w:pPr>
      <w:r>
        <w:rPr>
          <w:rFonts w:ascii="Times New Roman"/>
          <w:b w:val="false"/>
          <w:i w:val="false"/>
          <w:color w:val="000000"/>
          <w:sz w:val="28"/>
        </w:rPr>
        <w:t>
      70. Дистрибьютор удостоверяется, что поставка лекарственных средств осуществляется только организациям, имеющим разрешение (лицензию) или иные законные основания для осуществления деятельности, относящейся к обращению лекарственных средств.</w:t>
      </w:r>
    </w:p>
    <w:bookmarkEnd w:id="5989"/>
    <w:bookmarkStart w:name="z6140" w:id="5990"/>
    <w:p>
      <w:pPr>
        <w:spacing w:after="0"/>
        <w:ind w:left="0"/>
        <w:jc w:val="both"/>
      </w:pPr>
      <w:r>
        <w:rPr>
          <w:rFonts w:ascii="Times New Roman"/>
          <w:b w:val="false"/>
          <w:i w:val="false"/>
          <w:color w:val="000000"/>
          <w:sz w:val="28"/>
        </w:rPr>
        <w:t>
      71. К первоначальной и последующим периодическим оценкам выполнения указанных требований относятся следующие действия:</w:t>
      </w:r>
    </w:p>
    <w:bookmarkEnd w:id="5990"/>
    <w:bookmarkStart w:name="z6141" w:id="5991"/>
    <w:p>
      <w:pPr>
        <w:spacing w:after="0"/>
        <w:ind w:left="0"/>
        <w:jc w:val="both"/>
      </w:pPr>
      <w:r>
        <w:rPr>
          <w:rFonts w:ascii="Times New Roman"/>
          <w:b w:val="false"/>
          <w:i w:val="false"/>
          <w:color w:val="000000"/>
          <w:sz w:val="28"/>
        </w:rPr>
        <w:t>
      1) получение копий соответствующих разрешений (лицензий);</w:t>
      </w:r>
    </w:p>
    <w:bookmarkEnd w:id="5991"/>
    <w:bookmarkStart w:name="z6142" w:id="5992"/>
    <w:p>
      <w:pPr>
        <w:spacing w:after="0"/>
        <w:ind w:left="0"/>
        <w:jc w:val="both"/>
      </w:pPr>
      <w:r>
        <w:rPr>
          <w:rFonts w:ascii="Times New Roman"/>
          <w:b w:val="false"/>
          <w:i w:val="false"/>
          <w:color w:val="000000"/>
          <w:sz w:val="28"/>
        </w:rPr>
        <w:t>
      2) оценка подлинности сведений, содержащихся в документах, опубликованных на сайтах уполномоченных органов;</w:t>
      </w:r>
    </w:p>
    <w:bookmarkEnd w:id="5992"/>
    <w:bookmarkStart w:name="z6143" w:id="5993"/>
    <w:p>
      <w:pPr>
        <w:spacing w:after="0"/>
        <w:ind w:left="0"/>
        <w:jc w:val="both"/>
      </w:pPr>
      <w:r>
        <w:rPr>
          <w:rFonts w:ascii="Times New Roman"/>
          <w:b w:val="false"/>
          <w:i w:val="false"/>
          <w:color w:val="000000"/>
          <w:sz w:val="28"/>
        </w:rPr>
        <w:t>
      3) запрос документов, подтверждающих квалификацию получателя или наличие права на осуществление деятельности, относящейся к обращению лекарственных средств, в соответствии с законодательством Республики Казахстан.</w:t>
      </w:r>
    </w:p>
    <w:bookmarkEnd w:id="5993"/>
    <w:bookmarkStart w:name="z6144" w:id="5994"/>
    <w:p>
      <w:pPr>
        <w:spacing w:after="0"/>
        <w:ind w:left="0"/>
        <w:jc w:val="both"/>
      </w:pPr>
      <w:r>
        <w:rPr>
          <w:rFonts w:ascii="Times New Roman"/>
          <w:b w:val="false"/>
          <w:i w:val="false"/>
          <w:color w:val="000000"/>
          <w:sz w:val="28"/>
        </w:rPr>
        <w:t>
      72. Дистрибьютор отслеживает осуществляемые сделки и проводит расследования в отношении любых отклонений в цепочке реализации лекарственных средств в том числе наркотических средств, психотропных веществ и других опасных веществ. При выявлении отклонений от прописанной процедуры реализации, которые означают использование лекарственных средств не по назначению, проводятся расследования. О результатах расследований уведомляются уполномоченные органы.</w:t>
      </w:r>
    </w:p>
    <w:bookmarkEnd w:id="5994"/>
    <w:bookmarkStart w:name="z6145" w:id="5995"/>
    <w:p>
      <w:pPr>
        <w:spacing w:after="0"/>
        <w:ind w:left="0"/>
        <w:jc w:val="left"/>
      </w:pPr>
      <w:r>
        <w:rPr>
          <w:rFonts w:ascii="Times New Roman"/>
          <w:b/>
          <w:i w:val="false"/>
          <w:color w:val="000000"/>
        </w:rPr>
        <w:t xml:space="preserve"> Раздел 4. Приемка лекарственных средств</w:t>
      </w:r>
    </w:p>
    <w:bookmarkEnd w:id="5995"/>
    <w:bookmarkStart w:name="z6146" w:id="5996"/>
    <w:p>
      <w:pPr>
        <w:spacing w:after="0"/>
        <w:ind w:left="0"/>
        <w:jc w:val="both"/>
      </w:pPr>
      <w:r>
        <w:rPr>
          <w:rFonts w:ascii="Times New Roman"/>
          <w:b w:val="false"/>
          <w:i w:val="false"/>
          <w:color w:val="000000"/>
          <w:sz w:val="28"/>
        </w:rPr>
        <w:t>
      73. Основными задачами операции по приемке лекарственных средств являются следующие:</w:t>
      </w:r>
    </w:p>
    <w:bookmarkEnd w:id="5996"/>
    <w:bookmarkStart w:name="z6147" w:id="5997"/>
    <w:p>
      <w:pPr>
        <w:spacing w:after="0"/>
        <w:ind w:left="0"/>
        <w:jc w:val="both"/>
      </w:pPr>
      <w:r>
        <w:rPr>
          <w:rFonts w:ascii="Times New Roman"/>
          <w:b w:val="false"/>
          <w:i w:val="false"/>
          <w:color w:val="000000"/>
          <w:sz w:val="28"/>
        </w:rPr>
        <w:t>
      1) проверка соответствия принимаемых лекарственных средств товаросопроводительной документации;</w:t>
      </w:r>
    </w:p>
    <w:bookmarkEnd w:id="5997"/>
    <w:bookmarkStart w:name="z6148" w:id="5998"/>
    <w:p>
      <w:pPr>
        <w:spacing w:after="0"/>
        <w:ind w:left="0"/>
        <w:jc w:val="both"/>
      </w:pPr>
      <w:r>
        <w:rPr>
          <w:rFonts w:ascii="Times New Roman"/>
          <w:b w:val="false"/>
          <w:i w:val="false"/>
          <w:color w:val="000000"/>
          <w:sz w:val="28"/>
        </w:rPr>
        <w:t>
      2) проверка получения лекарственных средств от утвержденного поставщика;</w:t>
      </w:r>
    </w:p>
    <w:bookmarkEnd w:id="5998"/>
    <w:bookmarkStart w:name="z6149" w:id="5999"/>
    <w:p>
      <w:pPr>
        <w:spacing w:after="0"/>
        <w:ind w:left="0"/>
        <w:jc w:val="both"/>
      </w:pPr>
      <w:r>
        <w:rPr>
          <w:rFonts w:ascii="Times New Roman"/>
          <w:b w:val="false"/>
          <w:i w:val="false"/>
          <w:color w:val="000000"/>
          <w:sz w:val="28"/>
        </w:rPr>
        <w:t>
      3) проверка отсутствия видимых повреждений, которые возникают в процессе транспортировки.</w:t>
      </w:r>
    </w:p>
    <w:bookmarkEnd w:id="5999"/>
    <w:bookmarkStart w:name="z6150" w:id="6000"/>
    <w:p>
      <w:pPr>
        <w:spacing w:after="0"/>
        <w:ind w:left="0"/>
        <w:jc w:val="both"/>
      </w:pPr>
      <w:r>
        <w:rPr>
          <w:rFonts w:ascii="Times New Roman"/>
          <w:b w:val="false"/>
          <w:i w:val="false"/>
          <w:color w:val="000000"/>
          <w:sz w:val="28"/>
        </w:rPr>
        <w:t>
      74. Лекарственные средства, требующие специальных условий хранения или мер безопасности, принимаются в первую очередь и после выполнения необходимой проверки незамедлительно перемещаются в соответствующую зону хранения.</w:t>
      </w:r>
    </w:p>
    <w:bookmarkEnd w:id="6000"/>
    <w:bookmarkStart w:name="z6151" w:id="6001"/>
    <w:p>
      <w:pPr>
        <w:spacing w:after="0"/>
        <w:ind w:left="0"/>
        <w:jc w:val="both"/>
      </w:pPr>
      <w:r>
        <w:rPr>
          <w:rFonts w:ascii="Times New Roman"/>
          <w:b w:val="false"/>
          <w:i w:val="false"/>
          <w:color w:val="000000"/>
          <w:sz w:val="28"/>
        </w:rPr>
        <w:t>
      75. Серии лекарственных средств, поступающие из другой страны, до их помещения в зону реализации тщательно проверятся персоналом, обученным надлежащим образом.</w:t>
      </w:r>
    </w:p>
    <w:bookmarkEnd w:id="6001"/>
    <w:bookmarkStart w:name="z6152" w:id="6002"/>
    <w:p>
      <w:pPr>
        <w:spacing w:after="0"/>
        <w:ind w:left="0"/>
        <w:jc w:val="left"/>
      </w:pPr>
      <w:r>
        <w:rPr>
          <w:rFonts w:ascii="Times New Roman"/>
          <w:b/>
          <w:i w:val="false"/>
          <w:color w:val="000000"/>
        </w:rPr>
        <w:t xml:space="preserve"> Раздел 5. Хранение</w:t>
      </w:r>
    </w:p>
    <w:bookmarkEnd w:id="6002"/>
    <w:bookmarkStart w:name="z6153" w:id="6003"/>
    <w:p>
      <w:pPr>
        <w:spacing w:after="0"/>
        <w:ind w:left="0"/>
        <w:jc w:val="both"/>
      </w:pPr>
      <w:r>
        <w:rPr>
          <w:rFonts w:ascii="Times New Roman"/>
          <w:b w:val="false"/>
          <w:i w:val="false"/>
          <w:color w:val="000000"/>
          <w:sz w:val="28"/>
        </w:rPr>
        <w:t>
      76. Лекарственные средства и при необходимости другая медицинская продукция хранятся отдельно от других продуктов, способных оказать на них влияние, и защищаются от вредного воздействия света, температуры, влажности и других внешних факторов. Особое внимание уделяется лекарственным средствам, требующим специальных условий хранения.</w:t>
      </w:r>
    </w:p>
    <w:bookmarkEnd w:id="6003"/>
    <w:bookmarkStart w:name="z6154" w:id="6004"/>
    <w:p>
      <w:pPr>
        <w:spacing w:after="0"/>
        <w:ind w:left="0"/>
        <w:jc w:val="both"/>
      </w:pPr>
      <w:r>
        <w:rPr>
          <w:rFonts w:ascii="Times New Roman"/>
          <w:b w:val="false"/>
          <w:i w:val="false"/>
          <w:color w:val="000000"/>
          <w:sz w:val="28"/>
        </w:rPr>
        <w:t>
      77. Транспортная тара с лекарственными средствами очищается перед размещением лекарственных средств на хранение.</w:t>
      </w:r>
    </w:p>
    <w:bookmarkEnd w:id="6004"/>
    <w:bookmarkStart w:name="z6155" w:id="6005"/>
    <w:p>
      <w:pPr>
        <w:spacing w:after="0"/>
        <w:ind w:left="0"/>
        <w:jc w:val="both"/>
      </w:pPr>
      <w:r>
        <w:rPr>
          <w:rFonts w:ascii="Times New Roman"/>
          <w:b w:val="false"/>
          <w:i w:val="false"/>
          <w:color w:val="000000"/>
          <w:sz w:val="28"/>
        </w:rPr>
        <w:t>
      78. Складские операции обеспечивают требуемые условия хранения, а также меры безопасности.</w:t>
      </w:r>
    </w:p>
    <w:bookmarkEnd w:id="6005"/>
    <w:bookmarkStart w:name="z6156" w:id="6006"/>
    <w:p>
      <w:pPr>
        <w:spacing w:after="0"/>
        <w:ind w:left="0"/>
        <w:jc w:val="both"/>
      </w:pPr>
      <w:r>
        <w:rPr>
          <w:rFonts w:ascii="Times New Roman"/>
          <w:b w:val="false"/>
          <w:i w:val="false"/>
          <w:color w:val="000000"/>
          <w:sz w:val="28"/>
        </w:rPr>
        <w:t>
      79. Дистрибьюция лекарственных средств (отгрузка) организована таким образом, чтобы лекарственные средства с меньшим сроком годности отгружались в первую очередь (FEFO - first expire first out). Отклонения от данного требования документируются.</w:t>
      </w:r>
    </w:p>
    <w:bookmarkEnd w:id="6006"/>
    <w:bookmarkStart w:name="z6157" w:id="6007"/>
    <w:p>
      <w:pPr>
        <w:spacing w:after="0"/>
        <w:ind w:left="0"/>
        <w:jc w:val="both"/>
      </w:pPr>
      <w:r>
        <w:rPr>
          <w:rFonts w:ascii="Times New Roman"/>
          <w:b w:val="false"/>
          <w:i w:val="false"/>
          <w:color w:val="000000"/>
          <w:sz w:val="28"/>
        </w:rPr>
        <w:t>
      80. При хранении лекарственных средств и обращении с ними принимаются меры, направленные на предотвращение рассыпания, нарушения целостности упаковки, контаминации и перепутывания. Лекарственные средства не хранятся непосредственно на полу, за исключением случаев, когда упаковка специально разработана для такого хранения (баллоны с медицинским газом).</w:t>
      </w:r>
    </w:p>
    <w:bookmarkEnd w:id="6007"/>
    <w:bookmarkStart w:name="z6158" w:id="6008"/>
    <w:p>
      <w:pPr>
        <w:spacing w:after="0"/>
        <w:ind w:left="0"/>
        <w:jc w:val="both"/>
      </w:pPr>
      <w:r>
        <w:rPr>
          <w:rFonts w:ascii="Times New Roman"/>
          <w:b w:val="false"/>
          <w:i w:val="false"/>
          <w:color w:val="000000"/>
          <w:sz w:val="28"/>
        </w:rPr>
        <w:t>
      81. Лекарственные средства, срок годности которых истек, незамедлительно изымаются из категории пригодных для поставки либо физически (изолированы в специальном помещении или зоне хранения), либо с помощью электронных средств, обеспечивающих эквивалентную изоляцию.</w:t>
      </w:r>
    </w:p>
    <w:bookmarkEnd w:id="6008"/>
    <w:bookmarkStart w:name="z6159" w:id="6009"/>
    <w:p>
      <w:pPr>
        <w:spacing w:after="0"/>
        <w:ind w:left="0"/>
        <w:jc w:val="both"/>
      </w:pPr>
      <w:r>
        <w:rPr>
          <w:rFonts w:ascii="Times New Roman"/>
          <w:b w:val="false"/>
          <w:i w:val="false"/>
          <w:color w:val="000000"/>
          <w:sz w:val="28"/>
        </w:rPr>
        <w:t>
      Анализ складских запасов проводится регулярно в соответствии с требованиями законодательства Республики Казахстан. Выявленные отклонения документально оформляются, и в их отношении проводится расследование.</w:t>
      </w:r>
    </w:p>
    <w:bookmarkEnd w:id="6009"/>
    <w:bookmarkStart w:name="z6160" w:id="6010"/>
    <w:p>
      <w:pPr>
        <w:spacing w:after="0"/>
        <w:ind w:left="0"/>
        <w:jc w:val="left"/>
      </w:pPr>
      <w:r>
        <w:rPr>
          <w:rFonts w:ascii="Times New Roman"/>
          <w:b/>
          <w:i w:val="false"/>
          <w:color w:val="000000"/>
        </w:rPr>
        <w:t xml:space="preserve"> Раздел 6. Уничтожение</w:t>
      </w:r>
    </w:p>
    <w:bookmarkEnd w:id="6010"/>
    <w:bookmarkStart w:name="z6161" w:id="6011"/>
    <w:p>
      <w:pPr>
        <w:spacing w:after="0"/>
        <w:ind w:left="0"/>
        <w:jc w:val="both"/>
      </w:pPr>
      <w:r>
        <w:rPr>
          <w:rFonts w:ascii="Times New Roman"/>
          <w:b w:val="false"/>
          <w:i w:val="false"/>
          <w:color w:val="000000"/>
          <w:sz w:val="28"/>
        </w:rPr>
        <w:t>
      82. Лекарственные средства, предназначенные для уничтожения, надлежащим образом маркируются, хранятся отдельно в специальном помещении или зоне, доступ в которые ограничен, при этом операции с ними осуществляются в соответствии с письменными процедурами.</w:t>
      </w:r>
    </w:p>
    <w:bookmarkEnd w:id="6011"/>
    <w:bookmarkStart w:name="z6162" w:id="6012"/>
    <w:p>
      <w:pPr>
        <w:spacing w:after="0"/>
        <w:ind w:left="0"/>
        <w:jc w:val="both"/>
      </w:pPr>
      <w:r>
        <w:rPr>
          <w:rFonts w:ascii="Times New Roman"/>
          <w:b w:val="false"/>
          <w:i w:val="false"/>
          <w:color w:val="000000"/>
          <w:sz w:val="28"/>
        </w:rPr>
        <w:t>
      83. Уничтожение осуществляется в соответствии с законодательством Республики Казахстан или применимыми международными требованиями в отношении обращения, транспортировки и уничтожения лекарственных средств.</w:t>
      </w:r>
    </w:p>
    <w:bookmarkEnd w:id="6012"/>
    <w:bookmarkStart w:name="z6163" w:id="6013"/>
    <w:p>
      <w:pPr>
        <w:spacing w:after="0"/>
        <w:ind w:left="0"/>
        <w:jc w:val="both"/>
      </w:pPr>
      <w:r>
        <w:rPr>
          <w:rFonts w:ascii="Times New Roman"/>
          <w:b w:val="false"/>
          <w:i w:val="false"/>
          <w:color w:val="000000"/>
          <w:sz w:val="28"/>
        </w:rPr>
        <w:t>
      Записи об уничтожении хранятся в течение срока, установленного законодательством Республики Казахстан.</w:t>
      </w:r>
    </w:p>
    <w:bookmarkEnd w:id="6013"/>
    <w:bookmarkStart w:name="z6164" w:id="6014"/>
    <w:p>
      <w:pPr>
        <w:spacing w:after="0"/>
        <w:ind w:left="0"/>
        <w:jc w:val="left"/>
      </w:pPr>
      <w:r>
        <w:rPr>
          <w:rFonts w:ascii="Times New Roman"/>
          <w:b/>
          <w:i w:val="false"/>
          <w:color w:val="000000"/>
        </w:rPr>
        <w:t xml:space="preserve"> Раздел 7. Подготовка к отгрузке</w:t>
      </w:r>
    </w:p>
    <w:bookmarkEnd w:id="6014"/>
    <w:bookmarkStart w:name="z6165" w:id="6015"/>
    <w:p>
      <w:pPr>
        <w:spacing w:after="0"/>
        <w:ind w:left="0"/>
        <w:jc w:val="both"/>
      </w:pPr>
      <w:r>
        <w:rPr>
          <w:rFonts w:ascii="Times New Roman"/>
          <w:b w:val="false"/>
          <w:i w:val="false"/>
          <w:color w:val="000000"/>
          <w:sz w:val="28"/>
        </w:rPr>
        <w:t>
      84. Контролируется, чтобы к отгрузке были подготовлены затребованные лекарственные средства. На момент подготовки к отгрузке лекарственные средства имеют согласованный получателем и отправителем остаточный срок годности.</w:t>
      </w:r>
    </w:p>
    <w:bookmarkEnd w:id="6015"/>
    <w:bookmarkStart w:name="z6166" w:id="6016"/>
    <w:p>
      <w:pPr>
        <w:spacing w:after="0"/>
        <w:ind w:left="0"/>
        <w:jc w:val="left"/>
      </w:pPr>
      <w:r>
        <w:rPr>
          <w:rFonts w:ascii="Times New Roman"/>
          <w:b/>
          <w:i w:val="false"/>
          <w:color w:val="000000"/>
        </w:rPr>
        <w:t xml:space="preserve"> Раздел 8. Поставка</w:t>
      </w:r>
    </w:p>
    <w:bookmarkEnd w:id="6016"/>
    <w:bookmarkStart w:name="z6167" w:id="6017"/>
    <w:p>
      <w:pPr>
        <w:spacing w:after="0"/>
        <w:ind w:left="0"/>
        <w:jc w:val="both"/>
      </w:pPr>
      <w:r>
        <w:rPr>
          <w:rFonts w:ascii="Times New Roman"/>
          <w:b w:val="false"/>
          <w:i w:val="false"/>
          <w:color w:val="000000"/>
          <w:sz w:val="28"/>
        </w:rPr>
        <w:t>
      85. Поставка лекарственных средств сопровождается документами, предусмотренными законодательством Республики Казахстан (счет-фактура, товарно-транспортная накладная, международная накладная, инвойс, авианакладная и другие). В сопроводительных документах лекарственных средств указываются следующие сведения: дата, наименование лекарственного средства, номер серии (партии), поставляемое количество, лекарственная форма, дозировка, наименование и адрес поставщика, наименование и адрес грузополучателя (адрес места нахождения оптового склада, если он отличается от адреса юридического лица), а также условия транспортировки и хранения.</w:t>
      </w:r>
    </w:p>
    <w:bookmarkEnd w:id="6017"/>
    <w:bookmarkStart w:name="z6168" w:id="6018"/>
    <w:p>
      <w:pPr>
        <w:spacing w:after="0"/>
        <w:ind w:left="0"/>
        <w:jc w:val="both"/>
      </w:pPr>
      <w:r>
        <w:rPr>
          <w:rFonts w:ascii="Times New Roman"/>
          <w:b w:val="false"/>
          <w:i w:val="false"/>
          <w:color w:val="000000"/>
          <w:sz w:val="28"/>
        </w:rPr>
        <w:t>
      Записи о поставке подлежат хранению таким образом, чтобы обеспечивалась прослеживаемость движения лекарственных средств.</w:t>
      </w:r>
    </w:p>
    <w:bookmarkEnd w:id="6018"/>
    <w:bookmarkStart w:name="z6169" w:id="6019"/>
    <w:p>
      <w:pPr>
        <w:spacing w:after="0"/>
        <w:ind w:left="0"/>
        <w:jc w:val="left"/>
      </w:pPr>
      <w:r>
        <w:rPr>
          <w:rFonts w:ascii="Times New Roman"/>
          <w:b/>
          <w:i w:val="false"/>
          <w:color w:val="000000"/>
        </w:rPr>
        <w:t xml:space="preserve"> Раздел 9. Экспорт</w:t>
      </w:r>
    </w:p>
    <w:bookmarkEnd w:id="6019"/>
    <w:bookmarkStart w:name="z6170" w:id="6020"/>
    <w:p>
      <w:pPr>
        <w:spacing w:after="0"/>
        <w:ind w:left="0"/>
        <w:jc w:val="both"/>
      </w:pPr>
      <w:r>
        <w:rPr>
          <w:rFonts w:ascii="Times New Roman"/>
          <w:b w:val="false"/>
          <w:i w:val="false"/>
          <w:color w:val="000000"/>
          <w:sz w:val="28"/>
        </w:rPr>
        <w:t>
      86. Организация, экспортирующая лекарственные средства, имеет лицензию или иные законные основания в соответствии с законодательством Республики Казахстан для осуществления деятельности по дистрибьюции лекарственных средств или лицензию на производство лекарственных средств.</w:t>
      </w:r>
    </w:p>
    <w:bookmarkEnd w:id="6020"/>
    <w:bookmarkStart w:name="z6171" w:id="6021"/>
    <w:p>
      <w:pPr>
        <w:spacing w:after="0"/>
        <w:ind w:left="0"/>
        <w:jc w:val="both"/>
      </w:pPr>
      <w:r>
        <w:rPr>
          <w:rFonts w:ascii="Times New Roman"/>
          <w:b w:val="false"/>
          <w:i w:val="false"/>
          <w:color w:val="000000"/>
          <w:sz w:val="28"/>
        </w:rPr>
        <w:t>
      87. Настоящий Стандарт применяется к экспорту лекарственных средств в полном объеме. Если экспортируемые лекарственные средства не зарегистрированы на территории Республики Казахстан, организация, экспортирующая лекарственные средства, предпринимает необходимые меры, направленные на предотвращение поступления данных лекарственных средств на рынок.</w:t>
      </w:r>
    </w:p>
    <w:bookmarkEnd w:id="6021"/>
    <w:bookmarkStart w:name="z6172" w:id="6022"/>
    <w:p>
      <w:pPr>
        <w:spacing w:after="0"/>
        <w:ind w:left="0"/>
        <w:jc w:val="both"/>
      </w:pPr>
      <w:r>
        <w:rPr>
          <w:rFonts w:ascii="Times New Roman"/>
          <w:b w:val="false"/>
          <w:i w:val="false"/>
          <w:color w:val="000000"/>
          <w:sz w:val="28"/>
        </w:rPr>
        <w:t>
      При экспорте лекарственных средств организация, экспортирующая лекарственные средства, удостоверяется, что поставка осуществляется в адрес лиц, имеющих законные основания получать лекарственные средства в соответствии с законодательством соответствующего государства для дистрибьюции данных лекарственных средств.</w:t>
      </w:r>
    </w:p>
    <w:bookmarkEnd w:id="6022"/>
    <w:bookmarkStart w:name="z6173" w:id="6023"/>
    <w:p>
      <w:pPr>
        <w:spacing w:after="0"/>
        <w:ind w:left="0"/>
        <w:jc w:val="left"/>
      </w:pPr>
      <w:r>
        <w:rPr>
          <w:rFonts w:ascii="Times New Roman"/>
          <w:b/>
          <w:i w:val="false"/>
          <w:color w:val="000000"/>
        </w:rPr>
        <w:t xml:space="preserve"> Глава 6. Претензии, возврат, подозрения в фальсификации и отзыв лекарственных средств из обращения</w:t>
      </w:r>
    </w:p>
    <w:bookmarkEnd w:id="6023"/>
    <w:bookmarkStart w:name="z6174" w:id="6024"/>
    <w:p>
      <w:pPr>
        <w:spacing w:after="0"/>
        <w:ind w:left="0"/>
        <w:jc w:val="left"/>
      </w:pPr>
      <w:r>
        <w:rPr>
          <w:rFonts w:ascii="Times New Roman"/>
          <w:b/>
          <w:i w:val="false"/>
          <w:color w:val="000000"/>
        </w:rPr>
        <w:t xml:space="preserve"> Раздел 1. Принципы</w:t>
      </w:r>
    </w:p>
    <w:bookmarkEnd w:id="6024"/>
    <w:bookmarkStart w:name="z6175" w:id="6025"/>
    <w:p>
      <w:pPr>
        <w:spacing w:after="0"/>
        <w:ind w:left="0"/>
        <w:jc w:val="both"/>
      </w:pPr>
      <w:r>
        <w:rPr>
          <w:rFonts w:ascii="Times New Roman"/>
          <w:b w:val="false"/>
          <w:i w:val="false"/>
          <w:color w:val="000000"/>
          <w:sz w:val="28"/>
        </w:rPr>
        <w:t>
      88. Все претензии, случаи возврата, подозрения в фальсификации, а также отзыв лекарственных средств из обращения документально оформляются и анализируются в соответствии с установленными процедурами. Соответствующие записи доступны уполномоченным органам.</w:t>
      </w:r>
    </w:p>
    <w:bookmarkEnd w:id="6025"/>
    <w:bookmarkStart w:name="z6176" w:id="6026"/>
    <w:p>
      <w:pPr>
        <w:spacing w:after="0"/>
        <w:ind w:left="0"/>
        <w:jc w:val="both"/>
      </w:pPr>
      <w:r>
        <w:rPr>
          <w:rFonts w:ascii="Times New Roman"/>
          <w:b w:val="false"/>
          <w:i w:val="false"/>
          <w:color w:val="000000"/>
          <w:sz w:val="28"/>
        </w:rPr>
        <w:t>
      89. Оценка возвращенных лекарственных средств осуществляется до принятия решения об их одобрении для повторной поставки. Для успешной борьбы с фальсификацией согласовываются действия всех участников цепи реализации.</w:t>
      </w:r>
    </w:p>
    <w:bookmarkEnd w:id="6026"/>
    <w:bookmarkStart w:name="z6177" w:id="6027"/>
    <w:p>
      <w:pPr>
        <w:spacing w:after="0"/>
        <w:ind w:left="0"/>
        <w:jc w:val="left"/>
      </w:pPr>
      <w:r>
        <w:rPr>
          <w:rFonts w:ascii="Times New Roman"/>
          <w:b/>
          <w:i w:val="false"/>
          <w:color w:val="000000"/>
        </w:rPr>
        <w:t xml:space="preserve"> Раздел 2. Претензии</w:t>
      </w:r>
    </w:p>
    <w:bookmarkEnd w:id="6027"/>
    <w:bookmarkStart w:name="z6178" w:id="6028"/>
    <w:p>
      <w:pPr>
        <w:spacing w:after="0"/>
        <w:ind w:left="0"/>
        <w:jc w:val="both"/>
      </w:pPr>
      <w:r>
        <w:rPr>
          <w:rFonts w:ascii="Times New Roman"/>
          <w:b w:val="false"/>
          <w:i w:val="false"/>
          <w:color w:val="000000"/>
          <w:sz w:val="28"/>
        </w:rPr>
        <w:t>
      90. Претензии регистрируются с указанием следующей информации: дата получения претензии, наименование организации или фамилия, имя, отчество (при наличии) лица, предъявившего претензию, контактные данные (номер телефона и факса (при наличии), электронная почта, адрес), наименование лекарственного средства, лекарственной формы, дозировка, номер серии и (или) партии, объем, причина претензии и пр.</w:t>
      </w:r>
    </w:p>
    <w:bookmarkEnd w:id="6028"/>
    <w:bookmarkStart w:name="z6179" w:id="6029"/>
    <w:p>
      <w:pPr>
        <w:spacing w:after="0"/>
        <w:ind w:left="0"/>
        <w:jc w:val="both"/>
      </w:pPr>
      <w:r>
        <w:rPr>
          <w:rFonts w:ascii="Times New Roman"/>
          <w:b w:val="false"/>
          <w:i w:val="false"/>
          <w:color w:val="000000"/>
          <w:sz w:val="28"/>
        </w:rPr>
        <w:t>
      При этом различают претензии в отношении качества лекарственных средств и претензии в отношении соблюдения требований и условий дистрибьюции.</w:t>
      </w:r>
    </w:p>
    <w:bookmarkEnd w:id="6029"/>
    <w:bookmarkStart w:name="z6180" w:id="6030"/>
    <w:p>
      <w:pPr>
        <w:spacing w:after="0"/>
        <w:ind w:left="0"/>
        <w:jc w:val="both"/>
      </w:pPr>
      <w:r>
        <w:rPr>
          <w:rFonts w:ascii="Times New Roman"/>
          <w:b w:val="false"/>
          <w:i w:val="false"/>
          <w:color w:val="000000"/>
          <w:sz w:val="28"/>
        </w:rPr>
        <w:t>
      91. В случае если претензия относится к качеству лекарственных средств или предполагается наличие недоброкачественных (фальсифицированных) лекарственных средств, производитель и (или) держатель регистрационного удостоверения уведомляются об этом незамедлительно.</w:t>
      </w:r>
    </w:p>
    <w:bookmarkEnd w:id="6030"/>
    <w:bookmarkStart w:name="z6181" w:id="6031"/>
    <w:p>
      <w:pPr>
        <w:spacing w:after="0"/>
        <w:ind w:left="0"/>
        <w:jc w:val="both"/>
      </w:pPr>
      <w:r>
        <w:rPr>
          <w:rFonts w:ascii="Times New Roman"/>
          <w:b w:val="false"/>
          <w:i w:val="false"/>
          <w:color w:val="000000"/>
          <w:sz w:val="28"/>
        </w:rPr>
        <w:t>
      92. В отношении претензий по соблюдению требований и условий дистрибьюции проводится расследование с целью установления источника (субъекта) или причины предъявления претензии.</w:t>
      </w:r>
    </w:p>
    <w:bookmarkEnd w:id="6031"/>
    <w:bookmarkStart w:name="z6182" w:id="6032"/>
    <w:p>
      <w:pPr>
        <w:spacing w:after="0"/>
        <w:ind w:left="0"/>
        <w:jc w:val="both"/>
      </w:pPr>
      <w:r>
        <w:rPr>
          <w:rFonts w:ascii="Times New Roman"/>
          <w:b w:val="false"/>
          <w:i w:val="false"/>
          <w:color w:val="000000"/>
          <w:sz w:val="28"/>
        </w:rPr>
        <w:t>
      93. Для работы с претензиями назначается специальное лицо, а также привлекаются другие работники дистрибьютора в необходимом количестве.</w:t>
      </w:r>
    </w:p>
    <w:bookmarkEnd w:id="6032"/>
    <w:bookmarkStart w:name="z6183" w:id="6033"/>
    <w:p>
      <w:pPr>
        <w:spacing w:after="0"/>
        <w:ind w:left="0"/>
        <w:jc w:val="both"/>
      </w:pPr>
      <w:r>
        <w:rPr>
          <w:rFonts w:ascii="Times New Roman"/>
          <w:b w:val="false"/>
          <w:i w:val="false"/>
          <w:color w:val="000000"/>
          <w:sz w:val="28"/>
        </w:rPr>
        <w:t>
      94. По результатам расследования и анализа в отношении претензий предпринимаются соответствующие меры, включая корректирующие и предупреждающие действия, в том числе уведомление, если это необходимо в соответствии с установленными требованиями уполномоченных органов.</w:t>
      </w:r>
    </w:p>
    <w:bookmarkEnd w:id="6033"/>
    <w:bookmarkStart w:name="z6184" w:id="6034"/>
    <w:p>
      <w:pPr>
        <w:spacing w:after="0"/>
        <w:ind w:left="0"/>
        <w:jc w:val="left"/>
      </w:pPr>
      <w:r>
        <w:rPr>
          <w:rFonts w:ascii="Times New Roman"/>
          <w:b/>
          <w:i w:val="false"/>
          <w:color w:val="000000"/>
        </w:rPr>
        <w:t xml:space="preserve"> Раздел 3. Возвращенные лекарственные средства</w:t>
      </w:r>
    </w:p>
    <w:bookmarkEnd w:id="6034"/>
    <w:bookmarkStart w:name="z6185" w:id="6035"/>
    <w:p>
      <w:pPr>
        <w:spacing w:after="0"/>
        <w:ind w:left="0"/>
        <w:jc w:val="both"/>
      </w:pPr>
      <w:r>
        <w:rPr>
          <w:rFonts w:ascii="Times New Roman"/>
          <w:b w:val="false"/>
          <w:i w:val="false"/>
          <w:color w:val="000000"/>
          <w:sz w:val="28"/>
        </w:rPr>
        <w:t>
      95. Операции с возвращенными лекарственными средствами осуществляются в соответствии с документированными процедурами, основанными на оценке рисков, с учетом специфики лекарственных средств, специальных условий хранения, а также времени, прошедшего с момента первоначальной отгрузки. Возврат осуществляется в соответствии с законодательством Республики Казахстан и договорными обязательствами между сторонами, участвующими в возврате продукции.</w:t>
      </w:r>
    </w:p>
    <w:bookmarkEnd w:id="6035"/>
    <w:bookmarkStart w:name="z6186" w:id="6036"/>
    <w:p>
      <w:pPr>
        <w:spacing w:after="0"/>
        <w:ind w:left="0"/>
        <w:jc w:val="both"/>
      </w:pPr>
      <w:r>
        <w:rPr>
          <w:rFonts w:ascii="Times New Roman"/>
          <w:b w:val="false"/>
          <w:i w:val="false"/>
          <w:color w:val="000000"/>
          <w:sz w:val="28"/>
        </w:rPr>
        <w:t>
      96. Лекарственные средства, которые ранее отгружались, возвращаются в категорию пригодных для поставки только в том случае, если выполнены все следующие условия:</w:t>
      </w:r>
    </w:p>
    <w:bookmarkEnd w:id="6036"/>
    <w:bookmarkStart w:name="z6187" w:id="6037"/>
    <w:p>
      <w:pPr>
        <w:spacing w:after="0"/>
        <w:ind w:left="0"/>
        <w:jc w:val="both"/>
      </w:pPr>
      <w:r>
        <w:rPr>
          <w:rFonts w:ascii="Times New Roman"/>
          <w:b w:val="false"/>
          <w:i w:val="false"/>
          <w:color w:val="000000"/>
          <w:sz w:val="28"/>
        </w:rPr>
        <w:t>
      1) целостность вторичной (потребительской) упаковки лекарственных средств не нарушена, отсутствуют следы повреждений, отсутствует маркировка, непредусмотренная производителем, срок годности не истек, продукция не отозвана из обращения;</w:t>
      </w:r>
    </w:p>
    <w:bookmarkEnd w:id="6037"/>
    <w:bookmarkStart w:name="z6188" w:id="6038"/>
    <w:p>
      <w:pPr>
        <w:spacing w:after="0"/>
        <w:ind w:left="0"/>
        <w:jc w:val="both"/>
      </w:pPr>
      <w:r>
        <w:rPr>
          <w:rFonts w:ascii="Times New Roman"/>
          <w:b w:val="false"/>
          <w:i w:val="false"/>
          <w:color w:val="000000"/>
          <w:sz w:val="28"/>
        </w:rPr>
        <w:t>
      2) получатель представил документы, подтверждающие соблюдение специальных условий хранения и транспортировки;</w:t>
      </w:r>
    </w:p>
    <w:bookmarkEnd w:id="6038"/>
    <w:bookmarkStart w:name="z6189" w:id="6039"/>
    <w:p>
      <w:pPr>
        <w:spacing w:after="0"/>
        <w:ind w:left="0"/>
        <w:jc w:val="both"/>
      </w:pPr>
      <w:r>
        <w:rPr>
          <w:rFonts w:ascii="Times New Roman"/>
          <w:b w:val="false"/>
          <w:i w:val="false"/>
          <w:color w:val="000000"/>
          <w:sz w:val="28"/>
        </w:rPr>
        <w:t>
      3) лекарственные средства проверены и оценены компетентным лицом, назначенным для выполнения данных действий;</w:t>
      </w:r>
    </w:p>
    <w:bookmarkEnd w:id="6039"/>
    <w:bookmarkStart w:name="z6190" w:id="6040"/>
    <w:p>
      <w:pPr>
        <w:spacing w:after="0"/>
        <w:ind w:left="0"/>
        <w:jc w:val="both"/>
      </w:pPr>
      <w:r>
        <w:rPr>
          <w:rFonts w:ascii="Times New Roman"/>
          <w:b w:val="false"/>
          <w:i w:val="false"/>
          <w:color w:val="000000"/>
          <w:sz w:val="28"/>
        </w:rPr>
        <w:t>
      4) дистрибьютор располагает доказательствами того, что лекарственные средства поставлялись данному получателю (согласно приложенным копиям соответствующих сопроводительных документов): номер серии и (или) партии совпадает с указанным в документах, отсутствуют основания полагать, что данные лекарственные средства фальсифицированы.</w:t>
      </w:r>
    </w:p>
    <w:bookmarkEnd w:id="6040"/>
    <w:bookmarkStart w:name="z6191" w:id="6041"/>
    <w:p>
      <w:pPr>
        <w:spacing w:after="0"/>
        <w:ind w:left="0"/>
        <w:jc w:val="both"/>
      </w:pPr>
      <w:r>
        <w:rPr>
          <w:rFonts w:ascii="Times New Roman"/>
          <w:b w:val="false"/>
          <w:i w:val="false"/>
          <w:color w:val="000000"/>
          <w:sz w:val="28"/>
        </w:rPr>
        <w:t>
      Лекарственные средства, требующие особых температурных условий хранения, возвращаются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p>
    <w:bookmarkEnd w:id="6041"/>
    <w:bookmarkStart w:name="z6192" w:id="6042"/>
    <w:p>
      <w:pPr>
        <w:spacing w:after="0"/>
        <w:ind w:left="0"/>
        <w:jc w:val="both"/>
      </w:pPr>
      <w:r>
        <w:rPr>
          <w:rFonts w:ascii="Times New Roman"/>
          <w:b w:val="false"/>
          <w:i w:val="false"/>
          <w:color w:val="000000"/>
          <w:sz w:val="28"/>
        </w:rPr>
        <w:t>
      97. В случае выявления любых отклонений проводится оценка рисков, позволяющая установить сохранность лекарственных средств. Собираются и оцениваются доказательства по следующим этапам:</w:t>
      </w:r>
    </w:p>
    <w:bookmarkEnd w:id="6042"/>
    <w:bookmarkStart w:name="z6193" w:id="6043"/>
    <w:p>
      <w:pPr>
        <w:spacing w:after="0"/>
        <w:ind w:left="0"/>
        <w:jc w:val="both"/>
      </w:pPr>
      <w:r>
        <w:rPr>
          <w:rFonts w:ascii="Times New Roman"/>
          <w:b w:val="false"/>
          <w:i w:val="false"/>
          <w:color w:val="000000"/>
          <w:sz w:val="28"/>
        </w:rPr>
        <w:t>
      1) поставка получателю;</w:t>
      </w:r>
    </w:p>
    <w:bookmarkEnd w:id="6043"/>
    <w:bookmarkStart w:name="z6194" w:id="6044"/>
    <w:p>
      <w:pPr>
        <w:spacing w:after="0"/>
        <w:ind w:left="0"/>
        <w:jc w:val="both"/>
      </w:pPr>
      <w:r>
        <w:rPr>
          <w:rFonts w:ascii="Times New Roman"/>
          <w:b w:val="false"/>
          <w:i w:val="false"/>
          <w:color w:val="000000"/>
          <w:sz w:val="28"/>
        </w:rPr>
        <w:t>
      2) проверка продукции (идентификация);</w:t>
      </w:r>
    </w:p>
    <w:bookmarkEnd w:id="6044"/>
    <w:bookmarkStart w:name="z6195" w:id="6045"/>
    <w:p>
      <w:pPr>
        <w:spacing w:after="0"/>
        <w:ind w:left="0"/>
        <w:jc w:val="both"/>
      </w:pPr>
      <w:r>
        <w:rPr>
          <w:rFonts w:ascii="Times New Roman"/>
          <w:b w:val="false"/>
          <w:i w:val="false"/>
          <w:color w:val="000000"/>
          <w:sz w:val="28"/>
        </w:rPr>
        <w:t>
      3) вскрытие транспортной упаковки (контейнера для поставки);</w:t>
      </w:r>
    </w:p>
    <w:bookmarkEnd w:id="6045"/>
    <w:bookmarkStart w:name="z6196" w:id="6046"/>
    <w:p>
      <w:pPr>
        <w:spacing w:after="0"/>
        <w:ind w:left="0"/>
        <w:jc w:val="both"/>
      </w:pPr>
      <w:r>
        <w:rPr>
          <w:rFonts w:ascii="Times New Roman"/>
          <w:b w:val="false"/>
          <w:i w:val="false"/>
          <w:color w:val="000000"/>
          <w:sz w:val="28"/>
        </w:rPr>
        <w:t>
      4) возврат лекарственных средств в транспортную упаковку (контейнер для поставки);</w:t>
      </w:r>
    </w:p>
    <w:bookmarkEnd w:id="6046"/>
    <w:bookmarkStart w:name="z6197" w:id="6047"/>
    <w:p>
      <w:pPr>
        <w:spacing w:after="0"/>
        <w:ind w:left="0"/>
        <w:jc w:val="both"/>
      </w:pPr>
      <w:r>
        <w:rPr>
          <w:rFonts w:ascii="Times New Roman"/>
          <w:b w:val="false"/>
          <w:i w:val="false"/>
          <w:color w:val="000000"/>
          <w:sz w:val="28"/>
        </w:rPr>
        <w:t>
      5) сбор и возврат лекарственных средств дистрибьютору;</w:t>
      </w:r>
    </w:p>
    <w:bookmarkEnd w:id="6047"/>
    <w:bookmarkStart w:name="z6198" w:id="6048"/>
    <w:p>
      <w:pPr>
        <w:spacing w:after="0"/>
        <w:ind w:left="0"/>
        <w:jc w:val="both"/>
      </w:pPr>
      <w:r>
        <w:rPr>
          <w:rFonts w:ascii="Times New Roman"/>
          <w:b w:val="false"/>
          <w:i w:val="false"/>
          <w:color w:val="000000"/>
          <w:sz w:val="28"/>
        </w:rPr>
        <w:t>
      6) помещение лекарственных средств в специальную зону хранения дистрибьютора.</w:t>
      </w:r>
    </w:p>
    <w:bookmarkEnd w:id="6048"/>
    <w:bookmarkStart w:name="z6199" w:id="6049"/>
    <w:p>
      <w:pPr>
        <w:spacing w:after="0"/>
        <w:ind w:left="0"/>
        <w:jc w:val="both"/>
      </w:pPr>
      <w:r>
        <w:rPr>
          <w:rFonts w:ascii="Times New Roman"/>
          <w:b w:val="false"/>
          <w:i w:val="false"/>
          <w:color w:val="000000"/>
          <w:sz w:val="28"/>
        </w:rPr>
        <w:t>
      98. Приемка возвращенной продукции без документального оформления запрещается.</w:t>
      </w:r>
    </w:p>
    <w:bookmarkEnd w:id="6049"/>
    <w:bookmarkStart w:name="z6200" w:id="6050"/>
    <w:p>
      <w:pPr>
        <w:spacing w:after="0"/>
        <w:ind w:left="0"/>
        <w:jc w:val="both"/>
      </w:pPr>
      <w:r>
        <w:rPr>
          <w:rFonts w:ascii="Times New Roman"/>
          <w:b w:val="false"/>
          <w:i w:val="false"/>
          <w:color w:val="000000"/>
          <w:sz w:val="28"/>
        </w:rPr>
        <w:t>
      99. Лекарственные средства, возвращенные в категорию пригодных для поставки, размещаются таким образом, чтобы система отгрузки продукции с меньшим сроком годности в первую очередь (FEFO) функционировала эффективно.</w:t>
      </w:r>
    </w:p>
    <w:bookmarkEnd w:id="6050"/>
    <w:bookmarkStart w:name="z6201" w:id="6051"/>
    <w:p>
      <w:pPr>
        <w:spacing w:after="0"/>
        <w:ind w:left="0"/>
        <w:jc w:val="both"/>
      </w:pPr>
      <w:r>
        <w:rPr>
          <w:rFonts w:ascii="Times New Roman"/>
          <w:b w:val="false"/>
          <w:i w:val="false"/>
          <w:color w:val="000000"/>
          <w:sz w:val="28"/>
        </w:rPr>
        <w:t>
      100. Похищенные лекарственные средства, которые обнаружены, не возвращаются в категорию пригодных для поставки и поставлены получателям.</w:t>
      </w:r>
    </w:p>
    <w:bookmarkEnd w:id="6051"/>
    <w:bookmarkStart w:name="z6202" w:id="6052"/>
    <w:p>
      <w:pPr>
        <w:spacing w:after="0"/>
        <w:ind w:left="0"/>
        <w:jc w:val="left"/>
      </w:pPr>
      <w:r>
        <w:rPr>
          <w:rFonts w:ascii="Times New Roman"/>
          <w:b/>
          <w:i w:val="false"/>
          <w:color w:val="000000"/>
        </w:rPr>
        <w:t xml:space="preserve"> Раздел 4. Фальсифицированные лекарственные средства</w:t>
      </w:r>
    </w:p>
    <w:bookmarkEnd w:id="6052"/>
    <w:bookmarkStart w:name="z6203" w:id="6053"/>
    <w:p>
      <w:pPr>
        <w:spacing w:after="0"/>
        <w:ind w:left="0"/>
        <w:jc w:val="both"/>
      </w:pPr>
      <w:r>
        <w:rPr>
          <w:rFonts w:ascii="Times New Roman"/>
          <w:b w:val="false"/>
          <w:i w:val="false"/>
          <w:color w:val="000000"/>
          <w:sz w:val="28"/>
        </w:rPr>
        <w:t>
      101. Дистрибьютор незамедлительно информирует уполномоченный орган, а также держателя регистрационного удостоверения лекарственного препарата о случае выявления фальсифицированного продукта или о наличии подозрений в такой фальсификации. Данная информация фиксируется документально в соответствии с установленными процедурами с сохранением всех исходных данных, и в ее отношении проводится расследование.</w:t>
      </w:r>
    </w:p>
    <w:bookmarkEnd w:id="6053"/>
    <w:bookmarkStart w:name="z6204" w:id="6054"/>
    <w:p>
      <w:pPr>
        <w:spacing w:after="0"/>
        <w:ind w:left="0"/>
        <w:jc w:val="both"/>
      </w:pPr>
      <w:r>
        <w:rPr>
          <w:rFonts w:ascii="Times New Roman"/>
          <w:b w:val="false"/>
          <w:i w:val="false"/>
          <w:color w:val="000000"/>
          <w:sz w:val="28"/>
        </w:rPr>
        <w:t>
      102. Фальсифицированные лекарственные средства, обнаруженные в цепи реализации, незамедлительно физически изолируются и помещаются на хранение отдельно от другой продукции в специально выделенном помещении или зоне, доступ в которые ограничен.</w:t>
      </w:r>
    </w:p>
    <w:bookmarkEnd w:id="6054"/>
    <w:bookmarkStart w:name="z6205" w:id="6055"/>
    <w:p>
      <w:pPr>
        <w:spacing w:after="0"/>
        <w:ind w:left="0"/>
        <w:jc w:val="both"/>
      </w:pPr>
      <w:r>
        <w:rPr>
          <w:rFonts w:ascii="Times New Roman"/>
          <w:b w:val="false"/>
          <w:i w:val="false"/>
          <w:color w:val="000000"/>
          <w:sz w:val="28"/>
        </w:rPr>
        <w:t>
      103. Все операции с фальсифицированными лекарственными средствами документально оформляются с сохранением записей.</w:t>
      </w:r>
    </w:p>
    <w:bookmarkEnd w:id="6055"/>
    <w:bookmarkStart w:name="z6206" w:id="6056"/>
    <w:p>
      <w:pPr>
        <w:spacing w:after="0"/>
        <w:ind w:left="0"/>
        <w:jc w:val="left"/>
      </w:pPr>
      <w:r>
        <w:rPr>
          <w:rFonts w:ascii="Times New Roman"/>
          <w:b/>
          <w:i w:val="false"/>
          <w:color w:val="000000"/>
        </w:rPr>
        <w:t xml:space="preserve"> Раздел 5. Отзыв из обращения</w:t>
      </w:r>
    </w:p>
    <w:bookmarkEnd w:id="6056"/>
    <w:bookmarkStart w:name="z6207" w:id="6057"/>
    <w:p>
      <w:pPr>
        <w:spacing w:after="0"/>
        <w:ind w:left="0"/>
        <w:jc w:val="both"/>
      </w:pPr>
      <w:r>
        <w:rPr>
          <w:rFonts w:ascii="Times New Roman"/>
          <w:b w:val="false"/>
          <w:i w:val="false"/>
          <w:color w:val="000000"/>
          <w:sz w:val="28"/>
        </w:rPr>
        <w:t>
      104. Эффективность действий по отзыву лекарственных средств из обращения регулярно оценивается (не реже чем 1 раз в год).</w:t>
      </w:r>
    </w:p>
    <w:bookmarkEnd w:id="6057"/>
    <w:bookmarkStart w:name="z6208" w:id="6058"/>
    <w:p>
      <w:pPr>
        <w:spacing w:after="0"/>
        <w:ind w:left="0"/>
        <w:jc w:val="both"/>
      </w:pPr>
      <w:r>
        <w:rPr>
          <w:rFonts w:ascii="Times New Roman"/>
          <w:b w:val="false"/>
          <w:i w:val="false"/>
          <w:color w:val="000000"/>
          <w:sz w:val="28"/>
        </w:rPr>
        <w:t>
      105. Имеется возможность инициировать действия по отзыву из обращения лекарственных средств в кратчайшие сроки в любой момент времени. 106. Дистрибьютор руководствуется указаниями информационного письма об отзыве из обращения, которое утверждается уполномоченным органом.</w:t>
      </w:r>
    </w:p>
    <w:bookmarkEnd w:id="6058"/>
    <w:bookmarkStart w:name="z6209" w:id="6059"/>
    <w:p>
      <w:pPr>
        <w:spacing w:after="0"/>
        <w:ind w:left="0"/>
        <w:jc w:val="both"/>
      </w:pPr>
      <w:r>
        <w:rPr>
          <w:rFonts w:ascii="Times New Roman"/>
          <w:b w:val="false"/>
          <w:i w:val="false"/>
          <w:color w:val="000000"/>
          <w:sz w:val="28"/>
        </w:rPr>
        <w:t>
      107. Действия по отзыву и изъятию из обращения документально оформляются в момент их осуществления в соответствии с установленными процедурами. Документация по отзыву доступна уполномоченным органам.</w:t>
      </w:r>
    </w:p>
    <w:bookmarkEnd w:id="6059"/>
    <w:bookmarkStart w:name="z6210" w:id="6060"/>
    <w:p>
      <w:pPr>
        <w:spacing w:after="0"/>
        <w:ind w:left="0"/>
        <w:jc w:val="both"/>
      </w:pPr>
      <w:r>
        <w:rPr>
          <w:rFonts w:ascii="Times New Roman"/>
          <w:b w:val="false"/>
          <w:i w:val="false"/>
          <w:color w:val="000000"/>
          <w:sz w:val="28"/>
        </w:rPr>
        <w:t>
      108. Записи, относящиеся к дистрибьюции, доступны для лица, ответственного за отзыв лекарственных средств из обращения, и содержат достаточную информацию о дистрибьюторах лекарственных средств и о прямых получателях (адрес, номер телефона и номер факса (при его наличии), которые доступны в рабочие и нерабочие часы), включая данные в отношении экспортированных лекарственных средств и их образцов (номер серии и (или) партии, наименование, лекарственная форма, дозировка, а также поставленное количество).</w:t>
      </w:r>
    </w:p>
    <w:bookmarkEnd w:id="6060"/>
    <w:bookmarkStart w:name="z6211" w:id="6061"/>
    <w:p>
      <w:pPr>
        <w:spacing w:after="0"/>
        <w:ind w:left="0"/>
        <w:jc w:val="both"/>
      </w:pPr>
      <w:r>
        <w:rPr>
          <w:rFonts w:ascii="Times New Roman"/>
          <w:b w:val="false"/>
          <w:i w:val="false"/>
          <w:color w:val="000000"/>
          <w:sz w:val="28"/>
        </w:rPr>
        <w:t>
      109. Последовательность выполнения действий, осуществляемых при отзыве и изъятии серии и (или) партии лекарственного средства из обращения, документально оформляется и отражается в итоговом отчете.</w:t>
      </w:r>
    </w:p>
    <w:bookmarkEnd w:id="6061"/>
    <w:bookmarkStart w:name="z6212" w:id="6062"/>
    <w:p>
      <w:pPr>
        <w:spacing w:after="0"/>
        <w:ind w:left="0"/>
        <w:jc w:val="left"/>
      </w:pPr>
      <w:r>
        <w:rPr>
          <w:rFonts w:ascii="Times New Roman"/>
          <w:b/>
          <w:i w:val="false"/>
          <w:color w:val="000000"/>
        </w:rPr>
        <w:t xml:space="preserve"> Глава 7. Деятельность, передаваемая на аутсорсинг</w:t>
      </w:r>
    </w:p>
    <w:bookmarkEnd w:id="6062"/>
    <w:bookmarkStart w:name="z6213" w:id="6063"/>
    <w:p>
      <w:pPr>
        <w:spacing w:after="0"/>
        <w:ind w:left="0"/>
        <w:jc w:val="left"/>
      </w:pPr>
      <w:r>
        <w:rPr>
          <w:rFonts w:ascii="Times New Roman"/>
          <w:b/>
          <w:i w:val="false"/>
          <w:color w:val="000000"/>
        </w:rPr>
        <w:t xml:space="preserve"> Раздел 1. Принцип</w:t>
      </w:r>
    </w:p>
    <w:bookmarkEnd w:id="6063"/>
    <w:bookmarkStart w:name="z6214" w:id="6064"/>
    <w:p>
      <w:pPr>
        <w:spacing w:after="0"/>
        <w:ind w:left="0"/>
        <w:jc w:val="both"/>
      </w:pPr>
      <w:r>
        <w:rPr>
          <w:rFonts w:ascii="Times New Roman"/>
          <w:b w:val="false"/>
          <w:i w:val="false"/>
          <w:color w:val="000000"/>
          <w:sz w:val="28"/>
        </w:rPr>
        <w:t>
      110. Любая деятельность, на которую распространяются настоящий Стандарт, переданная на аутсорсинг, надлежащим образом определяется и согласовывается, контролируется во избежание разночтений, способных привести к нарушению сохранности лекарственных средств. Заключается письменный договор между дистрибьютором-заказчиком и исполнителем, в котором четко определены обязанности каждой из сторон.</w:t>
      </w:r>
    </w:p>
    <w:bookmarkEnd w:id="6064"/>
    <w:bookmarkStart w:name="z6215" w:id="6065"/>
    <w:p>
      <w:pPr>
        <w:spacing w:after="0"/>
        <w:ind w:left="0"/>
        <w:jc w:val="left"/>
      </w:pPr>
      <w:r>
        <w:rPr>
          <w:rFonts w:ascii="Times New Roman"/>
          <w:b/>
          <w:i w:val="false"/>
          <w:color w:val="000000"/>
        </w:rPr>
        <w:t xml:space="preserve"> Раздел 2. Заказчик</w:t>
      </w:r>
    </w:p>
    <w:bookmarkEnd w:id="6065"/>
    <w:bookmarkStart w:name="z6216" w:id="6066"/>
    <w:p>
      <w:pPr>
        <w:spacing w:after="0"/>
        <w:ind w:left="0"/>
        <w:jc w:val="both"/>
      </w:pPr>
      <w:r>
        <w:rPr>
          <w:rFonts w:ascii="Times New Roman"/>
          <w:b w:val="false"/>
          <w:i w:val="false"/>
          <w:color w:val="000000"/>
          <w:sz w:val="28"/>
        </w:rPr>
        <w:t>
      111. Заказчик несет ответственность за деятельность, переданную на аутсорсинг.</w:t>
      </w:r>
    </w:p>
    <w:bookmarkEnd w:id="6066"/>
    <w:bookmarkStart w:name="z6217" w:id="6067"/>
    <w:p>
      <w:pPr>
        <w:spacing w:after="0"/>
        <w:ind w:left="0"/>
        <w:jc w:val="both"/>
      </w:pPr>
      <w:r>
        <w:rPr>
          <w:rFonts w:ascii="Times New Roman"/>
          <w:b w:val="false"/>
          <w:i w:val="false"/>
          <w:color w:val="000000"/>
          <w:sz w:val="28"/>
        </w:rPr>
        <w:t>
      Заказчик убеждается в компетентности исполнителя для выполнения обязательств по договору и обеспечивает соблюдение исполнителем требований надлежащей дистрибьюторской практики посредством установления в договоре соответствующих условий и проведения проверок.</w:t>
      </w:r>
    </w:p>
    <w:bookmarkEnd w:id="6067"/>
    <w:bookmarkStart w:name="z6218" w:id="6068"/>
    <w:p>
      <w:pPr>
        <w:spacing w:after="0"/>
        <w:ind w:left="0"/>
        <w:jc w:val="both"/>
      </w:pPr>
      <w:r>
        <w:rPr>
          <w:rFonts w:ascii="Times New Roman"/>
          <w:b w:val="false"/>
          <w:i w:val="false"/>
          <w:color w:val="000000"/>
          <w:sz w:val="28"/>
        </w:rPr>
        <w:t>
      Проверка правомочности, компетентности и возможности исполнителя выполнять условия договора проводится до начала осуществления деятельности, переданной на аутсорсинг, а также в случае существенных изменений такой деятельности. Периодичность проведения проверок деятельности, переданной на аутсорсинг, определяется на основании анализа рисков. Сроки и условия проведения проверок согласовываются сторонами.</w:t>
      </w:r>
    </w:p>
    <w:bookmarkEnd w:id="6068"/>
    <w:bookmarkStart w:name="z6219" w:id="6069"/>
    <w:p>
      <w:pPr>
        <w:spacing w:after="0"/>
        <w:ind w:left="0"/>
        <w:jc w:val="both"/>
      </w:pPr>
      <w:r>
        <w:rPr>
          <w:rFonts w:ascii="Times New Roman"/>
          <w:b w:val="false"/>
          <w:i w:val="false"/>
          <w:color w:val="000000"/>
          <w:sz w:val="28"/>
        </w:rPr>
        <w:t>
      112. Заказчик предоставляет исполнителю всю информацию, необходимую для выполнения деятельности, переданной на аутсорсинг, в соответствии с требованиями, применимыми к лекарственным средствам, а также любыми другими применимыми требованиями.</w:t>
      </w:r>
    </w:p>
    <w:bookmarkEnd w:id="6069"/>
    <w:bookmarkStart w:name="z6220" w:id="6070"/>
    <w:p>
      <w:pPr>
        <w:spacing w:after="0"/>
        <w:ind w:left="0"/>
        <w:jc w:val="left"/>
      </w:pPr>
      <w:r>
        <w:rPr>
          <w:rFonts w:ascii="Times New Roman"/>
          <w:b/>
          <w:i w:val="false"/>
          <w:color w:val="000000"/>
        </w:rPr>
        <w:t xml:space="preserve"> Раздел 3. Исполнитель</w:t>
      </w:r>
    </w:p>
    <w:bookmarkEnd w:id="6070"/>
    <w:bookmarkStart w:name="z6221" w:id="6071"/>
    <w:p>
      <w:pPr>
        <w:spacing w:after="0"/>
        <w:ind w:left="0"/>
        <w:jc w:val="both"/>
      </w:pPr>
      <w:r>
        <w:rPr>
          <w:rFonts w:ascii="Times New Roman"/>
          <w:b w:val="false"/>
          <w:i w:val="false"/>
          <w:color w:val="000000"/>
          <w:sz w:val="28"/>
        </w:rPr>
        <w:t>
      113. Исполнитель имеет необходимые помещения и оборудование, документированные процедуры, знания и опыт, а также квалифицированный персонал для надлежащего выполнения работ (услуг) по договору.</w:t>
      </w:r>
    </w:p>
    <w:bookmarkEnd w:id="6071"/>
    <w:bookmarkStart w:name="z6222" w:id="6072"/>
    <w:p>
      <w:pPr>
        <w:spacing w:after="0"/>
        <w:ind w:left="0"/>
        <w:jc w:val="both"/>
      </w:pPr>
      <w:r>
        <w:rPr>
          <w:rFonts w:ascii="Times New Roman"/>
          <w:b w:val="false"/>
          <w:i w:val="false"/>
          <w:color w:val="000000"/>
          <w:sz w:val="28"/>
        </w:rPr>
        <w:t>
      114. Исполнитель не передает третьей стороне выполнение работ (услуги), выполнение которых поручено ему по договору, без предварительной оценки и одобрения такой передачи заказчиком, а также до проведения проверки третьей стороны заказчиком или исполнителем. Договор между исполнителем и третьей стороной гарантирует, что информация о выполняемых работах представляется в соответствии с договором между заказчиком и исполнителем.</w:t>
      </w:r>
    </w:p>
    <w:bookmarkEnd w:id="6072"/>
    <w:bookmarkStart w:name="z6223" w:id="6073"/>
    <w:p>
      <w:pPr>
        <w:spacing w:after="0"/>
        <w:ind w:left="0"/>
        <w:jc w:val="both"/>
      </w:pPr>
      <w:r>
        <w:rPr>
          <w:rFonts w:ascii="Times New Roman"/>
          <w:b w:val="false"/>
          <w:i w:val="false"/>
          <w:color w:val="000000"/>
          <w:sz w:val="28"/>
        </w:rPr>
        <w:t>
      115. Исполнитель не осуществляет какие-либо действия, которые приводят к потере качества лекарственных средств заказчика.</w:t>
      </w:r>
    </w:p>
    <w:bookmarkEnd w:id="6073"/>
    <w:bookmarkStart w:name="z6224" w:id="6074"/>
    <w:p>
      <w:pPr>
        <w:spacing w:after="0"/>
        <w:ind w:left="0"/>
        <w:jc w:val="both"/>
      </w:pPr>
      <w:r>
        <w:rPr>
          <w:rFonts w:ascii="Times New Roman"/>
          <w:b w:val="false"/>
          <w:i w:val="false"/>
          <w:color w:val="000000"/>
          <w:sz w:val="28"/>
        </w:rPr>
        <w:t>
      116. Исполнитель сообщает заказчику любую информацию, относящуюся к качеству лекарственных средств заказчика, в соответствии с условиями договора.</w:t>
      </w:r>
    </w:p>
    <w:bookmarkEnd w:id="6074"/>
    <w:bookmarkStart w:name="z6225" w:id="6075"/>
    <w:p>
      <w:pPr>
        <w:spacing w:after="0"/>
        <w:ind w:left="0"/>
        <w:jc w:val="left"/>
      </w:pPr>
      <w:r>
        <w:rPr>
          <w:rFonts w:ascii="Times New Roman"/>
          <w:b/>
          <w:i w:val="false"/>
          <w:color w:val="000000"/>
        </w:rPr>
        <w:t xml:space="preserve"> Глава 8. Самоинспекция</w:t>
      </w:r>
    </w:p>
    <w:bookmarkEnd w:id="6075"/>
    <w:bookmarkStart w:name="z6226" w:id="6076"/>
    <w:p>
      <w:pPr>
        <w:spacing w:after="0"/>
        <w:ind w:left="0"/>
        <w:jc w:val="left"/>
      </w:pPr>
      <w:r>
        <w:rPr>
          <w:rFonts w:ascii="Times New Roman"/>
          <w:b/>
          <w:i w:val="false"/>
          <w:color w:val="000000"/>
        </w:rPr>
        <w:t xml:space="preserve"> Раздел 1. Принцип</w:t>
      </w:r>
    </w:p>
    <w:bookmarkEnd w:id="6076"/>
    <w:bookmarkStart w:name="z6227" w:id="6077"/>
    <w:p>
      <w:pPr>
        <w:spacing w:after="0"/>
        <w:ind w:left="0"/>
        <w:jc w:val="both"/>
      </w:pPr>
      <w:r>
        <w:rPr>
          <w:rFonts w:ascii="Times New Roman"/>
          <w:b w:val="false"/>
          <w:i w:val="false"/>
          <w:color w:val="000000"/>
          <w:sz w:val="28"/>
        </w:rPr>
        <w:t>
      117. Самоинспекции проводятся для контроля за внедрением и соблюдением требований надлежащей дистрибьюторской практики лекарственных средств, а также с целью разработки необходимых корректирующих мер.</w:t>
      </w:r>
    </w:p>
    <w:bookmarkEnd w:id="6077"/>
    <w:bookmarkStart w:name="z6228" w:id="6078"/>
    <w:p>
      <w:pPr>
        <w:spacing w:after="0"/>
        <w:ind w:left="0"/>
        <w:jc w:val="left"/>
      </w:pPr>
      <w:r>
        <w:rPr>
          <w:rFonts w:ascii="Times New Roman"/>
          <w:b/>
          <w:i w:val="false"/>
          <w:color w:val="000000"/>
        </w:rPr>
        <w:t xml:space="preserve"> Раздел 2. Самоинспекция</w:t>
      </w:r>
    </w:p>
    <w:bookmarkEnd w:id="6078"/>
    <w:bookmarkStart w:name="z6229" w:id="6079"/>
    <w:p>
      <w:pPr>
        <w:spacing w:after="0"/>
        <w:ind w:left="0"/>
        <w:jc w:val="both"/>
      </w:pPr>
      <w:r>
        <w:rPr>
          <w:rFonts w:ascii="Times New Roman"/>
          <w:b w:val="false"/>
          <w:i w:val="false"/>
          <w:color w:val="000000"/>
          <w:sz w:val="28"/>
        </w:rPr>
        <w:t>
      118. Внедряется программа проведения самоинспекций, охватывающая в рамках определенного периода все аспекты надлежащей дистрибьюторской практики, требований законодательства Республики Казахстан, руководств и процедур.</w:t>
      </w:r>
    </w:p>
    <w:bookmarkEnd w:id="6079"/>
    <w:bookmarkStart w:name="z6230" w:id="6080"/>
    <w:p>
      <w:pPr>
        <w:spacing w:after="0"/>
        <w:ind w:left="0"/>
        <w:jc w:val="both"/>
      </w:pPr>
      <w:r>
        <w:rPr>
          <w:rFonts w:ascii="Times New Roman"/>
          <w:b w:val="false"/>
          <w:i w:val="false"/>
          <w:color w:val="000000"/>
          <w:sz w:val="28"/>
        </w:rPr>
        <w:t>
      119. Самоинспекции разделяются на несколько самостоятельных проверок, охватывающих отдельные стороны деятельности организации. Самоинспекции проводятся специально назначенным квалифицированным персоналом беспристрастно и тщательно. Допускаются аудиты, проводимые независимыми внешними экспертами, однако они не заменяют самоинспекцию.</w:t>
      </w:r>
    </w:p>
    <w:bookmarkEnd w:id="6080"/>
    <w:bookmarkStart w:name="z6231" w:id="6081"/>
    <w:p>
      <w:pPr>
        <w:spacing w:after="0"/>
        <w:ind w:left="0"/>
        <w:jc w:val="both"/>
      </w:pPr>
      <w:r>
        <w:rPr>
          <w:rFonts w:ascii="Times New Roman"/>
          <w:b w:val="false"/>
          <w:i w:val="false"/>
          <w:color w:val="000000"/>
          <w:sz w:val="28"/>
        </w:rPr>
        <w:t>
      120. Результаты самоинспекций оформляются документально. Отчеты содержат всю информацию, полученную в ходе инспекции. Копия отчета представляется руководству дистрибьютора, а также иным заинтересованным лицам.</w:t>
      </w:r>
    </w:p>
    <w:bookmarkEnd w:id="6081"/>
    <w:bookmarkStart w:name="z6232" w:id="6082"/>
    <w:p>
      <w:pPr>
        <w:spacing w:after="0"/>
        <w:ind w:left="0"/>
        <w:jc w:val="both"/>
      </w:pPr>
      <w:r>
        <w:rPr>
          <w:rFonts w:ascii="Times New Roman"/>
          <w:b w:val="false"/>
          <w:i w:val="false"/>
          <w:color w:val="000000"/>
          <w:sz w:val="28"/>
        </w:rPr>
        <w:t>
      В случае выявления недостатков или отклонений выясняют их причину, а также разработать и документально оформить корректирующие и предупреждающие действия и проконтролировать их выполнение.</w:t>
      </w:r>
    </w:p>
    <w:bookmarkEnd w:id="6082"/>
    <w:bookmarkStart w:name="z6233" w:id="6083"/>
    <w:p>
      <w:pPr>
        <w:spacing w:after="0"/>
        <w:ind w:left="0"/>
        <w:jc w:val="left"/>
      </w:pPr>
      <w:r>
        <w:rPr>
          <w:rFonts w:ascii="Times New Roman"/>
          <w:b/>
          <w:i w:val="false"/>
          <w:color w:val="000000"/>
        </w:rPr>
        <w:t xml:space="preserve"> Глава 9. Транспортировка</w:t>
      </w:r>
    </w:p>
    <w:bookmarkEnd w:id="6083"/>
    <w:bookmarkStart w:name="z6234" w:id="6084"/>
    <w:p>
      <w:pPr>
        <w:spacing w:after="0"/>
        <w:ind w:left="0"/>
        <w:jc w:val="left"/>
      </w:pPr>
      <w:r>
        <w:rPr>
          <w:rFonts w:ascii="Times New Roman"/>
          <w:b/>
          <w:i w:val="false"/>
          <w:color w:val="000000"/>
        </w:rPr>
        <w:t xml:space="preserve"> Раздел 1. Принцип</w:t>
      </w:r>
    </w:p>
    <w:bookmarkEnd w:id="6084"/>
    <w:bookmarkStart w:name="z6235" w:id="6085"/>
    <w:p>
      <w:pPr>
        <w:spacing w:after="0"/>
        <w:ind w:left="0"/>
        <w:jc w:val="both"/>
      </w:pPr>
      <w:r>
        <w:rPr>
          <w:rFonts w:ascii="Times New Roman"/>
          <w:b w:val="false"/>
          <w:i w:val="false"/>
          <w:color w:val="000000"/>
          <w:sz w:val="28"/>
        </w:rPr>
        <w:t>
      121. Дистрибьютор, поставляющий лекарственные средства, осуществляет транспортировку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защиту от фальсификации.</w:t>
      </w:r>
    </w:p>
    <w:bookmarkEnd w:id="6085"/>
    <w:bookmarkStart w:name="z6236" w:id="6086"/>
    <w:p>
      <w:pPr>
        <w:spacing w:after="0"/>
        <w:ind w:left="0"/>
        <w:jc w:val="both"/>
      </w:pPr>
      <w:r>
        <w:rPr>
          <w:rFonts w:ascii="Times New Roman"/>
          <w:b w:val="false"/>
          <w:i w:val="false"/>
          <w:color w:val="000000"/>
          <w:sz w:val="28"/>
        </w:rPr>
        <w:t>
      122. Независимо от способа транспортировки дистрибьютор обеспечивает возможность подтверждения того, что качество и целостность лекарственных средств не подвергнуты негативному воздействию в процессе транспортировки.</w:t>
      </w:r>
    </w:p>
    <w:bookmarkEnd w:id="6086"/>
    <w:bookmarkStart w:name="z6237" w:id="6087"/>
    <w:p>
      <w:pPr>
        <w:spacing w:after="0"/>
        <w:ind w:left="0"/>
        <w:jc w:val="both"/>
      </w:pPr>
      <w:r>
        <w:rPr>
          <w:rFonts w:ascii="Times New Roman"/>
          <w:b w:val="false"/>
          <w:i w:val="false"/>
          <w:color w:val="000000"/>
          <w:sz w:val="28"/>
        </w:rPr>
        <w:t>
      123. Планирование транспортировки осуществляется на основании анализа возможных рисков.</w:t>
      </w:r>
    </w:p>
    <w:bookmarkEnd w:id="6087"/>
    <w:bookmarkStart w:name="z6238" w:id="6088"/>
    <w:p>
      <w:pPr>
        <w:spacing w:after="0"/>
        <w:ind w:left="0"/>
        <w:jc w:val="left"/>
      </w:pPr>
      <w:r>
        <w:rPr>
          <w:rFonts w:ascii="Times New Roman"/>
          <w:b/>
          <w:i w:val="false"/>
          <w:color w:val="000000"/>
        </w:rPr>
        <w:t xml:space="preserve"> Раздел 2. Транспортировка</w:t>
      </w:r>
    </w:p>
    <w:bookmarkEnd w:id="6088"/>
    <w:bookmarkStart w:name="z6239" w:id="6089"/>
    <w:p>
      <w:pPr>
        <w:spacing w:after="0"/>
        <w:ind w:left="0"/>
        <w:jc w:val="both"/>
      </w:pPr>
      <w:r>
        <w:rPr>
          <w:rFonts w:ascii="Times New Roman"/>
          <w:b w:val="false"/>
          <w:i w:val="false"/>
          <w:color w:val="000000"/>
          <w:sz w:val="28"/>
        </w:rPr>
        <w:t>
      124. Требуемые условия хранения лекарственных средств соблюдаются в течение всего времени транспортировки в соответствии с указаниями производителя или информацией на упаковке.</w:t>
      </w:r>
    </w:p>
    <w:bookmarkEnd w:id="6089"/>
    <w:bookmarkStart w:name="z6240" w:id="6090"/>
    <w:p>
      <w:pPr>
        <w:spacing w:after="0"/>
        <w:ind w:left="0"/>
        <w:jc w:val="both"/>
      </w:pPr>
      <w:r>
        <w:rPr>
          <w:rFonts w:ascii="Times New Roman"/>
          <w:b w:val="false"/>
          <w:i w:val="false"/>
          <w:color w:val="000000"/>
          <w:sz w:val="28"/>
        </w:rPr>
        <w:t>
      В случае возникновения таких отклонений, как нарушение температурного режима или порча лекарственных средств в процессе транспортировки, информация о них сообщается отправителю и получателю. Разработана и документально оформляется процедура, определяющая порядок действий при возникновении отклонений и расследовании данных фактов.</w:t>
      </w:r>
    </w:p>
    <w:bookmarkEnd w:id="6090"/>
    <w:bookmarkStart w:name="z6241" w:id="6091"/>
    <w:p>
      <w:pPr>
        <w:spacing w:after="0"/>
        <w:ind w:left="0"/>
        <w:jc w:val="both"/>
      </w:pPr>
      <w:r>
        <w:rPr>
          <w:rFonts w:ascii="Times New Roman"/>
          <w:b w:val="false"/>
          <w:i w:val="false"/>
          <w:color w:val="000000"/>
          <w:sz w:val="28"/>
        </w:rPr>
        <w:t>
      125. Дистрибьютор обеспечивает условия, при которых транспортные средства и оборудование, используемые для транспортировки лекарственных средств, соответствовали бы целям их использования и надлежащим образом укомплектованы для защиты от нежелательного воздействия, которое приводит к потере качества лекарственных средств или нарушает целостность упаковки.</w:t>
      </w:r>
    </w:p>
    <w:bookmarkEnd w:id="6091"/>
    <w:bookmarkStart w:name="z6242" w:id="6092"/>
    <w:p>
      <w:pPr>
        <w:spacing w:after="0"/>
        <w:ind w:left="0"/>
        <w:jc w:val="both"/>
      </w:pPr>
      <w:r>
        <w:rPr>
          <w:rFonts w:ascii="Times New Roman"/>
          <w:b w:val="false"/>
          <w:i w:val="false"/>
          <w:color w:val="000000"/>
          <w:sz w:val="28"/>
        </w:rPr>
        <w:t>
      126. Транспортное средство и его оборудование, используемые для транспортировки лекарственных средств, содержатся в чистоте и подвергается очистке и уборке в соответствии с требованиями санитарных норм, установленных законодательством Республики Казахстан. Разрабатываются письменные процедуры по обслуживанию и эксплуатации транспортных средств и оборудования, используемых для дистрибьюции лекарственных средств, включая очистку и меры безопасности.</w:t>
      </w:r>
    </w:p>
    <w:bookmarkEnd w:id="6092"/>
    <w:bookmarkStart w:name="z6243" w:id="6093"/>
    <w:p>
      <w:pPr>
        <w:spacing w:after="0"/>
        <w:ind w:left="0"/>
        <w:jc w:val="both"/>
      </w:pPr>
      <w:r>
        <w:rPr>
          <w:rFonts w:ascii="Times New Roman"/>
          <w:b w:val="false"/>
          <w:i w:val="false"/>
          <w:color w:val="000000"/>
          <w:sz w:val="28"/>
        </w:rPr>
        <w:t>
      127. Определение необходимости контроля температуры основывается на анализе рисков, связанных с транспортировкой лекарственных средств по выбранному маршруту. Оборудование, используемое для контроля температуры в процессе транспортировки, установленное на транспортном средстве или в контейнере, проходит периодическое техническое обслуживание, поверку и калибровку в соответствии с законодательством Республики Казахстан.</w:t>
      </w:r>
    </w:p>
    <w:bookmarkEnd w:id="6093"/>
    <w:bookmarkStart w:name="z6244" w:id="6094"/>
    <w:p>
      <w:pPr>
        <w:spacing w:after="0"/>
        <w:ind w:left="0"/>
        <w:jc w:val="both"/>
      </w:pPr>
      <w:r>
        <w:rPr>
          <w:rFonts w:ascii="Times New Roman"/>
          <w:b w:val="false"/>
          <w:i w:val="false"/>
          <w:color w:val="000000"/>
          <w:sz w:val="28"/>
        </w:rPr>
        <w:t>
      128. При обращении с лекарственными средствами используются специализированные транспортные средства и оборудование.</w:t>
      </w:r>
    </w:p>
    <w:bookmarkEnd w:id="6094"/>
    <w:bookmarkStart w:name="z6245" w:id="6095"/>
    <w:p>
      <w:pPr>
        <w:spacing w:after="0"/>
        <w:ind w:left="0"/>
        <w:jc w:val="both"/>
      </w:pPr>
      <w:r>
        <w:rPr>
          <w:rFonts w:ascii="Times New Roman"/>
          <w:b w:val="false"/>
          <w:i w:val="false"/>
          <w:color w:val="000000"/>
          <w:sz w:val="28"/>
        </w:rPr>
        <w:t>
      Если используются неспециализированные транспортные средства и оборудование, разрабатываются и принимаются в форме письменного документа процедуры, обеспечивающие сохранение качества лекарственных средств.</w:t>
      </w:r>
    </w:p>
    <w:bookmarkEnd w:id="6095"/>
    <w:bookmarkStart w:name="z6246" w:id="6096"/>
    <w:p>
      <w:pPr>
        <w:spacing w:after="0"/>
        <w:ind w:left="0"/>
        <w:jc w:val="both"/>
      </w:pPr>
      <w:r>
        <w:rPr>
          <w:rFonts w:ascii="Times New Roman"/>
          <w:b w:val="false"/>
          <w:i w:val="false"/>
          <w:color w:val="000000"/>
          <w:sz w:val="28"/>
        </w:rPr>
        <w:t>
      129. Лекарственные средства доставляются по адресу, указанному в документах на поставку, и передаются непосредственно в помещение получателя. Лекарственные средства не оставляются в каких-либо других помещениях.</w:t>
      </w:r>
    </w:p>
    <w:bookmarkEnd w:id="6096"/>
    <w:bookmarkStart w:name="z6247" w:id="6097"/>
    <w:p>
      <w:pPr>
        <w:spacing w:after="0"/>
        <w:ind w:left="0"/>
        <w:jc w:val="both"/>
      </w:pPr>
      <w:r>
        <w:rPr>
          <w:rFonts w:ascii="Times New Roman"/>
          <w:b w:val="false"/>
          <w:i w:val="false"/>
          <w:color w:val="000000"/>
          <w:sz w:val="28"/>
        </w:rPr>
        <w:t>
      Для организации экстренных доставок в нерабочие часы назначаются специализированный персонал, действующий на основании документированных процедур.</w:t>
      </w:r>
    </w:p>
    <w:bookmarkEnd w:id="6097"/>
    <w:bookmarkStart w:name="z6248" w:id="6098"/>
    <w:p>
      <w:pPr>
        <w:spacing w:after="0"/>
        <w:ind w:left="0"/>
        <w:jc w:val="both"/>
      </w:pPr>
      <w:r>
        <w:rPr>
          <w:rFonts w:ascii="Times New Roman"/>
          <w:b w:val="false"/>
          <w:i w:val="false"/>
          <w:color w:val="000000"/>
          <w:sz w:val="28"/>
        </w:rPr>
        <w:t>
      130. Транспортировка третьими лицами осуществляется на основании договора, содержащего требования, установленные в главе 7 настоящего Стандарта.</w:t>
      </w:r>
    </w:p>
    <w:bookmarkEnd w:id="6098"/>
    <w:bookmarkStart w:name="z6249" w:id="6099"/>
    <w:p>
      <w:pPr>
        <w:spacing w:after="0"/>
        <w:ind w:left="0"/>
        <w:jc w:val="both"/>
      </w:pPr>
      <w:r>
        <w:rPr>
          <w:rFonts w:ascii="Times New Roman"/>
          <w:b w:val="false"/>
          <w:i w:val="false"/>
          <w:color w:val="000000"/>
          <w:sz w:val="28"/>
        </w:rPr>
        <w:t>
      Транспортные компании уведомляются о требованиях к условиям транспортировки лекарственных средств.</w:t>
      </w:r>
    </w:p>
    <w:bookmarkEnd w:id="6099"/>
    <w:bookmarkStart w:name="z6250" w:id="6100"/>
    <w:p>
      <w:pPr>
        <w:spacing w:after="0"/>
        <w:ind w:left="0"/>
        <w:jc w:val="both"/>
      </w:pPr>
      <w:r>
        <w:rPr>
          <w:rFonts w:ascii="Times New Roman"/>
          <w:b w:val="false"/>
          <w:i w:val="false"/>
          <w:color w:val="000000"/>
          <w:sz w:val="28"/>
        </w:rPr>
        <w:t>
      Ответственность за соблюдение условий транспортировки лекарственных средств возлагается на дистрибьютора.</w:t>
      </w:r>
    </w:p>
    <w:bookmarkEnd w:id="6100"/>
    <w:bookmarkStart w:name="z6251" w:id="6101"/>
    <w:p>
      <w:pPr>
        <w:spacing w:after="0"/>
        <w:ind w:left="0"/>
        <w:jc w:val="both"/>
      </w:pPr>
      <w:r>
        <w:rPr>
          <w:rFonts w:ascii="Times New Roman"/>
          <w:b w:val="false"/>
          <w:i w:val="false"/>
          <w:color w:val="000000"/>
          <w:sz w:val="28"/>
        </w:rPr>
        <w:t>
      Ответственность за соблюдение условий транспортировки лекарственных средств определяется условиями договора, заключенного между получателем и отправителем продукции.</w:t>
      </w:r>
    </w:p>
    <w:bookmarkEnd w:id="6101"/>
    <w:bookmarkStart w:name="z6252" w:id="6102"/>
    <w:p>
      <w:pPr>
        <w:spacing w:after="0"/>
        <w:ind w:left="0"/>
        <w:jc w:val="both"/>
      </w:pPr>
      <w:r>
        <w:rPr>
          <w:rFonts w:ascii="Times New Roman"/>
          <w:b w:val="false"/>
          <w:i w:val="false"/>
          <w:color w:val="000000"/>
          <w:sz w:val="28"/>
        </w:rPr>
        <w:t>
      131. В случаях, когда транспортировка сопровождается операциями по разгрузке и обратной загрузке или включает в себя транзитное хранение, обеспечиваются надлежащие условия производственной среды помещений и безопасность хранения на транзитных складах. К условиям производственной среды помещений, которые контролируются, относятся: температурный режим, освещенность, влажность воздуха и чистота.</w:t>
      </w:r>
    </w:p>
    <w:bookmarkEnd w:id="6102"/>
    <w:bookmarkStart w:name="z6253" w:id="6103"/>
    <w:p>
      <w:pPr>
        <w:spacing w:after="0"/>
        <w:ind w:left="0"/>
        <w:jc w:val="both"/>
      </w:pPr>
      <w:r>
        <w:rPr>
          <w:rFonts w:ascii="Times New Roman"/>
          <w:b w:val="false"/>
          <w:i w:val="false"/>
          <w:color w:val="000000"/>
          <w:sz w:val="28"/>
        </w:rPr>
        <w:t>
      Предпринимаются меры для сокращения продолжительности временного хранения перед следующим этапом транспортировки.</w:t>
      </w:r>
    </w:p>
    <w:bookmarkEnd w:id="6103"/>
    <w:bookmarkStart w:name="z6254" w:id="6104"/>
    <w:p>
      <w:pPr>
        <w:spacing w:after="0"/>
        <w:ind w:left="0"/>
        <w:jc w:val="left"/>
      </w:pPr>
      <w:r>
        <w:rPr>
          <w:rFonts w:ascii="Times New Roman"/>
          <w:b/>
          <w:i w:val="false"/>
          <w:color w:val="000000"/>
        </w:rPr>
        <w:t xml:space="preserve"> Раздел 3. Тара, упаковка и маркировка</w:t>
      </w:r>
    </w:p>
    <w:bookmarkEnd w:id="6104"/>
    <w:bookmarkStart w:name="z6255" w:id="6105"/>
    <w:p>
      <w:pPr>
        <w:spacing w:after="0"/>
        <w:ind w:left="0"/>
        <w:jc w:val="both"/>
      </w:pPr>
      <w:r>
        <w:rPr>
          <w:rFonts w:ascii="Times New Roman"/>
          <w:b w:val="false"/>
          <w:i w:val="false"/>
          <w:color w:val="000000"/>
          <w:sz w:val="28"/>
        </w:rPr>
        <w:t>
      132. Лекарственные средства транспортируются в транспортной таре, которая не оказывает негативного влияния на их качество и обеспечивает надежную защиту от внешнего воздействия, в том числе предотвращает возможность контаминации.</w:t>
      </w:r>
    </w:p>
    <w:bookmarkEnd w:id="6105"/>
    <w:bookmarkStart w:name="z6256" w:id="6106"/>
    <w:p>
      <w:pPr>
        <w:spacing w:after="0"/>
        <w:ind w:left="0"/>
        <w:jc w:val="both"/>
      </w:pPr>
      <w:r>
        <w:rPr>
          <w:rFonts w:ascii="Times New Roman"/>
          <w:b w:val="false"/>
          <w:i w:val="false"/>
          <w:color w:val="000000"/>
          <w:sz w:val="28"/>
        </w:rPr>
        <w:t>
      Выбор транспортной тары и упаковки основывается на требованиях к условиям хранения и транспортировки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p>
    <w:bookmarkEnd w:id="6106"/>
    <w:bookmarkStart w:name="z6257" w:id="6107"/>
    <w:p>
      <w:pPr>
        <w:spacing w:after="0"/>
        <w:ind w:left="0"/>
        <w:jc w:val="both"/>
      </w:pPr>
      <w:r>
        <w:rPr>
          <w:rFonts w:ascii="Times New Roman"/>
          <w:b w:val="false"/>
          <w:i w:val="false"/>
          <w:color w:val="000000"/>
          <w:sz w:val="28"/>
        </w:rPr>
        <w:t>
      133. Для обеспечения надлежащего обращения с лекарственными средствами и уровня безопасности на транспортную тару наносится маркировка, содержащая необходимую информацию о требованиях по обращению и хранению данной транспортной тары с лекарственным средством, а также о необходимых мерах предосторожности. Информация на транспортной таре обеспечивает возможность идентификации содержимого и источник его происхождения.</w:t>
      </w:r>
    </w:p>
    <w:bookmarkEnd w:id="6107"/>
    <w:bookmarkStart w:name="z6258" w:id="6108"/>
    <w:p>
      <w:pPr>
        <w:spacing w:after="0"/>
        <w:ind w:left="0"/>
        <w:jc w:val="left"/>
      </w:pPr>
      <w:r>
        <w:rPr>
          <w:rFonts w:ascii="Times New Roman"/>
          <w:b/>
          <w:i w:val="false"/>
          <w:color w:val="000000"/>
        </w:rPr>
        <w:t xml:space="preserve"> Раздел 4. Лекарственные средства, требующие особого обращения</w:t>
      </w:r>
    </w:p>
    <w:bookmarkEnd w:id="6108"/>
    <w:bookmarkStart w:name="z6259" w:id="6109"/>
    <w:p>
      <w:pPr>
        <w:spacing w:after="0"/>
        <w:ind w:left="0"/>
        <w:jc w:val="both"/>
      </w:pPr>
      <w:r>
        <w:rPr>
          <w:rFonts w:ascii="Times New Roman"/>
          <w:b w:val="false"/>
          <w:i w:val="false"/>
          <w:color w:val="000000"/>
          <w:sz w:val="28"/>
        </w:rPr>
        <w:t>
      134. При транспортировке лекарственных средств, требующих особого обращения, как лекарственные средства, содержащие наркотические средства, психотропные вещества и их прекурсоры, яды (ядовитые вещества) и подлежащие особым видам контроля в соответствии с законодательством Республики Казахстан, дистрибьютор обеспечивает безопасный и защищенный от неправомерного доступа режим транспортировки в соответствии с требованиями законодательства Республики Казахстан.</w:t>
      </w:r>
    </w:p>
    <w:bookmarkEnd w:id="6109"/>
    <w:bookmarkStart w:name="z6260" w:id="6110"/>
    <w:p>
      <w:pPr>
        <w:spacing w:after="0"/>
        <w:ind w:left="0"/>
        <w:jc w:val="both"/>
      </w:pPr>
      <w:r>
        <w:rPr>
          <w:rFonts w:ascii="Times New Roman"/>
          <w:b w:val="false"/>
          <w:i w:val="false"/>
          <w:color w:val="000000"/>
          <w:sz w:val="28"/>
        </w:rPr>
        <w:t>
      Создаются дополнительные системы контроля в отношении поставок указанных лекарственных средств. Разрабатывается и документально оформляется процедура, определяющая порядок действий в случае их хищения. Любые случаи хищений документируются.</w:t>
      </w:r>
    </w:p>
    <w:bookmarkEnd w:id="6110"/>
    <w:bookmarkStart w:name="z6261" w:id="6111"/>
    <w:p>
      <w:pPr>
        <w:spacing w:after="0"/>
        <w:ind w:left="0"/>
        <w:jc w:val="both"/>
      </w:pPr>
      <w:r>
        <w:rPr>
          <w:rFonts w:ascii="Times New Roman"/>
          <w:b w:val="false"/>
          <w:i w:val="false"/>
          <w:color w:val="000000"/>
          <w:sz w:val="28"/>
        </w:rPr>
        <w:t>
      135. Опасные (высокоактивные) и радиоактивные лекарственные средства транспортируются в защищенных, специализированных и надежных транспортных средствах. Принимаемые меры безопасности соответствуют законодательству Республики Казахстан и международным договорам.</w:t>
      </w:r>
    </w:p>
    <w:bookmarkEnd w:id="6111"/>
    <w:bookmarkStart w:name="z6262" w:id="6112"/>
    <w:p>
      <w:pPr>
        <w:spacing w:after="0"/>
        <w:ind w:left="0"/>
        <w:jc w:val="both"/>
      </w:pPr>
      <w:r>
        <w:rPr>
          <w:rFonts w:ascii="Times New Roman"/>
          <w:b w:val="false"/>
          <w:i w:val="false"/>
          <w:color w:val="000000"/>
          <w:sz w:val="28"/>
        </w:rPr>
        <w:t>
      136. Для обеспечения требуемых условий транспортировки при транспортировке термолабильных лекарственных средств используются специальное оборудование или средства (изотермическая упаковка, контейнеры), а также транспортные средства, обеспечивающие поддержание требуемого температурного режима.</w:t>
      </w:r>
    </w:p>
    <w:bookmarkEnd w:id="6112"/>
    <w:bookmarkStart w:name="z6263" w:id="6113"/>
    <w:p>
      <w:pPr>
        <w:spacing w:after="0"/>
        <w:ind w:left="0"/>
        <w:jc w:val="both"/>
      </w:pPr>
      <w:r>
        <w:rPr>
          <w:rFonts w:ascii="Times New Roman"/>
          <w:b w:val="false"/>
          <w:i w:val="false"/>
          <w:color w:val="000000"/>
          <w:sz w:val="28"/>
        </w:rPr>
        <w:t>
      Транспортные средства, обеспечивающие поддержание требуемого температурного режима, и оборудование, используемое для контроля температуры в процессе транспортировки термолабильных лекарственных средств, проходит периодическое техническое обслуживание, поверку и калибровку.</w:t>
      </w:r>
    </w:p>
    <w:bookmarkEnd w:id="6113"/>
    <w:bookmarkStart w:name="z6264" w:id="6114"/>
    <w:p>
      <w:pPr>
        <w:spacing w:after="0"/>
        <w:ind w:left="0"/>
        <w:jc w:val="both"/>
      </w:pPr>
      <w:r>
        <w:rPr>
          <w:rFonts w:ascii="Times New Roman"/>
          <w:b w:val="false"/>
          <w:i w:val="false"/>
          <w:color w:val="000000"/>
          <w:sz w:val="28"/>
        </w:rPr>
        <w:t xml:space="preserve">
      Проводят анализ температурного картирования с соблюдением условий, отражающих параметры эксплуатации, и с учетом сезонных колебаний. </w:t>
      </w:r>
    </w:p>
    <w:bookmarkEnd w:id="6114"/>
    <w:bookmarkStart w:name="z6265" w:id="6115"/>
    <w:p>
      <w:pPr>
        <w:spacing w:after="0"/>
        <w:ind w:left="0"/>
        <w:jc w:val="both"/>
      </w:pPr>
      <w:r>
        <w:rPr>
          <w:rFonts w:ascii="Times New Roman"/>
          <w:b w:val="false"/>
          <w:i w:val="false"/>
          <w:color w:val="000000"/>
          <w:sz w:val="28"/>
        </w:rPr>
        <w:t>
      По запросу получателя представляются данные, подтверждающие соблюдение температурного режима при хранении и транспортировке термолабильных лекарственных средств.</w:t>
      </w:r>
    </w:p>
    <w:bookmarkEnd w:id="6115"/>
    <w:bookmarkStart w:name="z6266" w:id="6116"/>
    <w:p>
      <w:pPr>
        <w:spacing w:after="0"/>
        <w:ind w:left="0"/>
        <w:jc w:val="both"/>
      </w:pPr>
      <w:r>
        <w:rPr>
          <w:rFonts w:ascii="Times New Roman"/>
          <w:b w:val="false"/>
          <w:i w:val="false"/>
          <w:color w:val="000000"/>
          <w:sz w:val="28"/>
        </w:rPr>
        <w:t>
      137. Хладоэлементы в изотермических контейнерах размещаются таким образом, чтобы отсутствовал прямой контакт с лекарственными средствами. Персонал обучают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p>
    <w:bookmarkEnd w:id="6116"/>
    <w:bookmarkStart w:name="z6267" w:id="6117"/>
    <w:p>
      <w:pPr>
        <w:spacing w:after="0"/>
        <w:ind w:left="0"/>
        <w:jc w:val="both"/>
      </w:pPr>
      <w:r>
        <w:rPr>
          <w:rFonts w:ascii="Times New Roman"/>
          <w:b w:val="false"/>
          <w:i w:val="false"/>
          <w:color w:val="000000"/>
          <w:sz w:val="28"/>
        </w:rPr>
        <w:t>
      Разрабатываются меры, направленные на предотвращение повторного использования недостаточно охлажденных хладоэлементов. Обеспечивается надлежащая физическая изоляция охлажденных и замороженных хладоэлементов.</w:t>
      </w:r>
    </w:p>
    <w:bookmarkEnd w:id="6117"/>
    <w:bookmarkStart w:name="z6268" w:id="6118"/>
    <w:p>
      <w:pPr>
        <w:spacing w:after="0"/>
        <w:ind w:left="0"/>
        <w:jc w:val="both"/>
      </w:pPr>
      <w:r>
        <w:rPr>
          <w:rFonts w:ascii="Times New Roman"/>
          <w:b w:val="false"/>
          <w:i w:val="false"/>
          <w:color w:val="000000"/>
          <w:sz w:val="28"/>
        </w:rPr>
        <w:t>
      Процесс доставки термолабильных лекарственных средств с учетом контроля сезонных колебаний температур описывается в документированной процедуре.</w:t>
      </w:r>
    </w:p>
    <w:bookmarkEnd w:id="6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2021 года</w:t>
            </w:r>
            <w:r>
              <w:br/>
            </w:r>
            <w:r>
              <w:rPr>
                <w:rFonts w:ascii="Times New Roman"/>
                <w:b w:val="false"/>
                <w:i w:val="false"/>
                <w:color w:val="000000"/>
                <w:sz w:val="20"/>
              </w:rPr>
              <w:t>№ ҚР ДСМ-15</w:t>
            </w:r>
          </w:p>
        </w:tc>
      </w:tr>
    </w:tbl>
    <w:bookmarkStart w:name="z6270" w:id="6119"/>
    <w:p>
      <w:pPr>
        <w:spacing w:after="0"/>
        <w:ind w:left="0"/>
        <w:jc w:val="left"/>
      </w:pPr>
      <w:r>
        <w:rPr>
          <w:rFonts w:ascii="Times New Roman"/>
          <w:b/>
          <w:i w:val="false"/>
          <w:color w:val="000000"/>
        </w:rPr>
        <w:t xml:space="preserve"> Cтандарт надлежащей аптечной практики (GPP)</w:t>
      </w:r>
    </w:p>
    <w:bookmarkEnd w:id="6119"/>
    <w:bookmarkStart w:name="z6271" w:id="6120"/>
    <w:p>
      <w:pPr>
        <w:spacing w:after="0"/>
        <w:ind w:left="0"/>
        <w:jc w:val="left"/>
      </w:pPr>
      <w:r>
        <w:rPr>
          <w:rFonts w:ascii="Times New Roman"/>
          <w:b/>
          <w:i w:val="false"/>
          <w:color w:val="000000"/>
        </w:rPr>
        <w:t xml:space="preserve"> Глава 1. Общие положения</w:t>
      </w:r>
    </w:p>
    <w:bookmarkEnd w:id="6120"/>
    <w:bookmarkStart w:name="z6272" w:id="6121"/>
    <w:p>
      <w:pPr>
        <w:spacing w:after="0"/>
        <w:ind w:left="0"/>
        <w:jc w:val="both"/>
      </w:pPr>
      <w:r>
        <w:rPr>
          <w:rFonts w:ascii="Times New Roman"/>
          <w:b w:val="false"/>
          <w:i w:val="false"/>
          <w:color w:val="000000"/>
          <w:sz w:val="28"/>
        </w:rPr>
        <w:t>
      1. Стандарт надлежащей аптечной практики (GPP) (далее - Стандарт) разработан с целью обеспечения надлежащего качества фармацевтических услуг, оказываемых фармацевтическими работниками населению Республики Казахстан, устанавливают требования к надлежащей аптечной практике и организации системы управления качеством. Настоящий Стандарт направлен на обеспечение населения качественными, безопасными лекарственными средствами и медицинскими изделиями, предоставления ему достоверной информации о лекарственном средстве, пропаганду здорового образа жизни и профилактику заболеваний, обеспечение рационального применения рецептурных лекарственных препаратов и предоставлении информации об имевших место побочных действиях лекарственных препаратов и оказание помощи при самолечении.</w:t>
      </w:r>
    </w:p>
    <w:bookmarkEnd w:id="6121"/>
    <w:bookmarkStart w:name="z6273" w:id="6122"/>
    <w:p>
      <w:pPr>
        <w:spacing w:after="0"/>
        <w:ind w:left="0"/>
        <w:jc w:val="both"/>
      </w:pPr>
      <w:r>
        <w:rPr>
          <w:rFonts w:ascii="Times New Roman"/>
          <w:b w:val="false"/>
          <w:i w:val="false"/>
          <w:color w:val="000000"/>
          <w:sz w:val="28"/>
        </w:rPr>
        <w:t xml:space="preserve">
      Настоящий Стандарт направлен на обеспечение взаимосвязи врача, пациента и фармацевта, позволяющие оптимизировать использование лекарственных средств и медицинских изделий. </w:t>
      </w:r>
    </w:p>
    <w:bookmarkEnd w:id="6122"/>
    <w:bookmarkStart w:name="z6274" w:id="6123"/>
    <w:p>
      <w:pPr>
        <w:spacing w:after="0"/>
        <w:ind w:left="0"/>
        <w:jc w:val="both"/>
      </w:pPr>
      <w:r>
        <w:rPr>
          <w:rFonts w:ascii="Times New Roman"/>
          <w:b w:val="false"/>
          <w:i w:val="false"/>
          <w:color w:val="000000"/>
          <w:sz w:val="28"/>
        </w:rPr>
        <w:t>
      Настоящий Стандарт распространяется на организации, осуществляющие розничную реализацию лекарственных средств.</w:t>
      </w:r>
    </w:p>
    <w:bookmarkEnd w:id="6123"/>
    <w:bookmarkStart w:name="z6275" w:id="6124"/>
    <w:p>
      <w:pPr>
        <w:spacing w:after="0"/>
        <w:ind w:left="0"/>
        <w:jc w:val="both"/>
      </w:pPr>
      <w:r>
        <w:rPr>
          <w:rFonts w:ascii="Times New Roman"/>
          <w:b w:val="false"/>
          <w:i w:val="false"/>
          <w:color w:val="000000"/>
          <w:sz w:val="28"/>
        </w:rPr>
        <w:t>
      Аптечные организации соответствуют квалификационным требованиям, предъявляемым при лицензировании фармацевтической деятельности, связанной с розничной реализацией лекарственных средств и медицинских изделий, изготовлением лекарственных препаратов.</w:t>
      </w:r>
    </w:p>
    <w:bookmarkEnd w:id="6124"/>
    <w:bookmarkStart w:name="z6276" w:id="6125"/>
    <w:p>
      <w:pPr>
        <w:spacing w:after="0"/>
        <w:ind w:left="0"/>
        <w:jc w:val="both"/>
      </w:pPr>
      <w:r>
        <w:rPr>
          <w:rFonts w:ascii="Times New Roman"/>
          <w:b w:val="false"/>
          <w:i w:val="false"/>
          <w:color w:val="000000"/>
          <w:sz w:val="28"/>
        </w:rPr>
        <w:t>
      Приобретение, хранение, реализация и уничтожение наркотических средств, психотропных веществ и прекурсоров, подлежащих контролю в Республике Казахстан осуществляется в соответствии с законодательством Республики Казахстан о наркотических средствах, психотропных веществах и прекурсорах. Организация работы по розничной реализации лекарственных средств и медицинских изделий гарантирует и обеспечивает их надлежащее качество и квалифицированное обслуживание населения.</w:t>
      </w:r>
    </w:p>
    <w:bookmarkEnd w:id="6125"/>
    <w:bookmarkStart w:name="z6277" w:id="6126"/>
    <w:p>
      <w:pPr>
        <w:spacing w:after="0"/>
        <w:ind w:left="0"/>
        <w:jc w:val="both"/>
      </w:pPr>
      <w:r>
        <w:rPr>
          <w:rFonts w:ascii="Times New Roman"/>
          <w:b w:val="false"/>
          <w:i w:val="false"/>
          <w:color w:val="000000"/>
          <w:sz w:val="28"/>
        </w:rPr>
        <w:t>
      Аптечные организации оказывают фармацевтические услуги, подразделяющиеся на:</w:t>
      </w:r>
    </w:p>
    <w:bookmarkEnd w:id="6126"/>
    <w:bookmarkStart w:name="z6278" w:id="6127"/>
    <w:p>
      <w:pPr>
        <w:spacing w:after="0"/>
        <w:ind w:left="0"/>
        <w:jc w:val="both"/>
      </w:pPr>
      <w:r>
        <w:rPr>
          <w:rFonts w:ascii="Times New Roman"/>
          <w:b w:val="false"/>
          <w:i w:val="false"/>
          <w:color w:val="000000"/>
          <w:sz w:val="28"/>
        </w:rPr>
        <w:t>
      1) основные: отпуск контролируемых лекарственных средств, отпуск лекарственных средств по рецептам и без рецепта врачей, по требованиям медицинских организаций, отпуск товаров аптечного ассортимента, экстемпоральное изготовление лекарственных форм, контроль их качества, хранение;</w:t>
      </w:r>
    </w:p>
    <w:bookmarkEnd w:id="6127"/>
    <w:bookmarkStart w:name="z6279" w:id="6128"/>
    <w:p>
      <w:pPr>
        <w:spacing w:after="0"/>
        <w:ind w:left="0"/>
        <w:jc w:val="both"/>
      </w:pPr>
      <w:r>
        <w:rPr>
          <w:rFonts w:ascii="Times New Roman"/>
          <w:b w:val="false"/>
          <w:i w:val="false"/>
          <w:color w:val="000000"/>
          <w:sz w:val="28"/>
        </w:rPr>
        <w:t>
      2) дополнительные: справочное, информационное, консультационное обслуживание населения, работа по приему заказу товаров аптечного ассортимента по телефону, доставка лекарственных средств безрецептурного отпуска и товаров аптечного ассортимента на дом, резервирование по телефону отсутствующих лекарственных препаратов, использование товарных скидок, прокат предметов ухода за больными, благоприятный режим работы, услуги фитобара, самообслуживание.</w:t>
      </w:r>
    </w:p>
    <w:bookmarkEnd w:id="6128"/>
    <w:bookmarkStart w:name="z6280" w:id="6129"/>
    <w:p>
      <w:pPr>
        <w:spacing w:after="0"/>
        <w:ind w:left="0"/>
        <w:jc w:val="both"/>
      </w:pPr>
      <w:r>
        <w:rPr>
          <w:rFonts w:ascii="Times New Roman"/>
          <w:b w:val="false"/>
          <w:i w:val="false"/>
          <w:color w:val="000000"/>
          <w:sz w:val="28"/>
        </w:rPr>
        <w:t>
      2. В настоящем Стандарте используются следующие термины и определения:</w:t>
      </w:r>
    </w:p>
    <w:bookmarkEnd w:id="6129"/>
    <w:bookmarkStart w:name="z6281" w:id="6130"/>
    <w:p>
      <w:pPr>
        <w:spacing w:after="0"/>
        <w:ind w:left="0"/>
        <w:jc w:val="both"/>
      </w:pPr>
      <w:r>
        <w:rPr>
          <w:rFonts w:ascii="Times New Roman"/>
          <w:b w:val="false"/>
          <w:i w:val="false"/>
          <w:color w:val="000000"/>
          <w:sz w:val="28"/>
        </w:rPr>
        <w:t xml:space="preserve">
      1)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w:t>
      </w:r>
    </w:p>
    <w:bookmarkEnd w:id="6130"/>
    <w:bookmarkStart w:name="z6282" w:id="6131"/>
    <w:p>
      <w:pPr>
        <w:spacing w:after="0"/>
        <w:ind w:left="0"/>
        <w:jc w:val="both"/>
      </w:pPr>
      <w:r>
        <w:rPr>
          <w:rFonts w:ascii="Times New Roman"/>
          <w:b w:val="false"/>
          <w:i w:val="false"/>
          <w:color w:val="000000"/>
          <w:sz w:val="28"/>
        </w:rPr>
        <w:t>
      2) рациональное использование лекарственных препаратов - применение лекарственных препаратов, в соответствии с клинической необходимостью в дозах, отвечающих индивидуальным потребностям на протяжении курса лечения;</w:t>
      </w:r>
    </w:p>
    <w:bookmarkEnd w:id="6131"/>
    <w:bookmarkStart w:name="z6283" w:id="6132"/>
    <w:p>
      <w:pPr>
        <w:spacing w:after="0"/>
        <w:ind w:left="0"/>
        <w:jc w:val="both"/>
      </w:pPr>
      <w:r>
        <w:rPr>
          <w:rFonts w:ascii="Times New Roman"/>
          <w:b w:val="false"/>
          <w:i w:val="false"/>
          <w:color w:val="000000"/>
          <w:sz w:val="28"/>
        </w:rPr>
        <w:t>
      3) товары аптечного ассортимента - продукция промышленного производства, предназначенная для лечебных, лечебно-профилактических, лечебно-диагностических и оздоровительных целей, распространяемая преимущественно аптечными организациями;</w:t>
      </w:r>
    </w:p>
    <w:bookmarkEnd w:id="6132"/>
    <w:bookmarkStart w:name="z6284" w:id="6133"/>
    <w:p>
      <w:pPr>
        <w:spacing w:after="0"/>
        <w:ind w:left="0"/>
        <w:jc w:val="both"/>
      </w:pPr>
      <w:r>
        <w:rPr>
          <w:rFonts w:ascii="Times New Roman"/>
          <w:b w:val="false"/>
          <w:i w:val="false"/>
          <w:color w:val="000000"/>
          <w:sz w:val="28"/>
        </w:rPr>
        <w:t>
      4) аптечная организация - организация здравоохранения, осуществляющая фармацевтическую деятельность по изготовлению и розничной реализации лекарственных средств и медицинских изделий;</w:t>
      </w:r>
    </w:p>
    <w:bookmarkEnd w:id="6133"/>
    <w:bookmarkStart w:name="z6285" w:id="6134"/>
    <w:p>
      <w:pPr>
        <w:spacing w:after="0"/>
        <w:ind w:left="0"/>
        <w:jc w:val="both"/>
      </w:pPr>
      <w:r>
        <w:rPr>
          <w:rFonts w:ascii="Times New Roman"/>
          <w:b w:val="false"/>
          <w:i w:val="false"/>
          <w:color w:val="000000"/>
          <w:sz w:val="28"/>
        </w:rPr>
        <w:t>
      5) документация - совокупность документов, подтверждающих все операции, проводимые аптечной организацией;</w:t>
      </w:r>
    </w:p>
    <w:bookmarkEnd w:id="6134"/>
    <w:bookmarkStart w:name="z6286" w:id="6135"/>
    <w:p>
      <w:pPr>
        <w:spacing w:after="0"/>
        <w:ind w:left="0"/>
        <w:jc w:val="both"/>
      </w:pPr>
      <w:r>
        <w:rPr>
          <w:rFonts w:ascii="Times New Roman"/>
          <w:b w:val="false"/>
          <w:i w:val="false"/>
          <w:color w:val="000000"/>
          <w:sz w:val="28"/>
        </w:rPr>
        <w:t>
      6) самоинспекция - процесс оценки компетентным лицом (несколькими лицами) аптечной организации на соответствие выполнения требований настоящего Стандарта;</w:t>
      </w:r>
    </w:p>
    <w:bookmarkEnd w:id="6135"/>
    <w:bookmarkStart w:name="z6287" w:id="6136"/>
    <w:p>
      <w:pPr>
        <w:spacing w:after="0"/>
        <w:ind w:left="0"/>
        <w:jc w:val="both"/>
      </w:pPr>
      <w:r>
        <w:rPr>
          <w:rFonts w:ascii="Times New Roman"/>
          <w:b w:val="false"/>
          <w:i w:val="false"/>
          <w:color w:val="000000"/>
          <w:sz w:val="28"/>
        </w:rPr>
        <w:t>
      7) ответственное (уполномоченное) лицо за качество - лицо, ответственное за обеспечение сохранности качества, безопасности, отсутствие недопустимого риска, связанного с возможностью нанесения вреда жизни, здоровью человека, окружающей среде и эффективности лекарственных средств и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 при осуществлении деятельности аптечной организации;</w:t>
      </w:r>
    </w:p>
    <w:bookmarkEnd w:id="6136"/>
    <w:bookmarkStart w:name="z6288" w:id="6137"/>
    <w:p>
      <w:pPr>
        <w:spacing w:after="0"/>
        <w:ind w:left="0"/>
        <w:jc w:val="both"/>
      </w:pPr>
      <w:r>
        <w:rPr>
          <w:rFonts w:ascii="Times New Roman"/>
          <w:b w:val="false"/>
          <w:i w:val="false"/>
          <w:color w:val="000000"/>
          <w:sz w:val="28"/>
        </w:rPr>
        <w:t>
      8) стандартные операционные процедуры (далее - СОП) - подробные письменные инструкции, обеспечивающие единообразие определенных функций;</w:t>
      </w:r>
    </w:p>
    <w:bookmarkEnd w:id="6137"/>
    <w:bookmarkStart w:name="z6289" w:id="6138"/>
    <w:p>
      <w:pPr>
        <w:spacing w:after="0"/>
        <w:ind w:left="0"/>
        <w:jc w:val="both"/>
      </w:pPr>
      <w:r>
        <w:rPr>
          <w:rFonts w:ascii="Times New Roman"/>
          <w:b w:val="false"/>
          <w:i w:val="false"/>
          <w:color w:val="000000"/>
          <w:sz w:val="28"/>
        </w:rPr>
        <w:t>
      9)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 медицинских изделий, связанная с обеспечением населения лекарственными средствами и медицинскими изделиями, включая закуп, транспортировку, хранение, реализацию и учет;</w:t>
      </w:r>
    </w:p>
    <w:bookmarkEnd w:id="6138"/>
    <w:bookmarkStart w:name="z6290" w:id="6139"/>
    <w:p>
      <w:pPr>
        <w:spacing w:after="0"/>
        <w:ind w:left="0"/>
        <w:jc w:val="both"/>
      </w:pPr>
      <w:r>
        <w:rPr>
          <w:rFonts w:ascii="Times New Roman"/>
          <w:b w:val="false"/>
          <w:i w:val="false"/>
          <w:color w:val="000000"/>
          <w:sz w:val="28"/>
        </w:rPr>
        <w:t>
      10) фармацевтическая услуга - сфера деятельности аптечной организации, в которой удовлетворяется конкретная потребность пациента или медицинской организации, фармацевтическая деятельность, осуществляемая в области здравоохранения по изготовлению лекарственных препаратов, розничной реализации лекарственных средств и медицинских изделий, связанная с закупом (приобретением), хранением,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эффективности и качества;</w:t>
      </w:r>
    </w:p>
    <w:bookmarkEnd w:id="6139"/>
    <w:bookmarkStart w:name="z6291" w:id="6140"/>
    <w:p>
      <w:pPr>
        <w:spacing w:after="0"/>
        <w:ind w:left="0"/>
        <w:jc w:val="both"/>
      </w:pPr>
      <w:r>
        <w:rPr>
          <w:rFonts w:ascii="Times New Roman"/>
          <w:b w:val="false"/>
          <w:i w:val="false"/>
          <w:color w:val="000000"/>
          <w:sz w:val="28"/>
        </w:rPr>
        <w:t>
      11) договор (контракт) - письменное, датированное, подписанное соглашение между двумя или более сторонами, определяющее права и обязанности, условия поставки, транспортирования, обеспечения качества товаров и услуг, оплаты и другие вопросы, касающиеся надлежащего выполнения правил аптечной практики.</w:t>
      </w:r>
    </w:p>
    <w:bookmarkEnd w:id="6140"/>
    <w:bookmarkStart w:name="z6292" w:id="6141"/>
    <w:p>
      <w:pPr>
        <w:spacing w:after="0"/>
        <w:ind w:left="0"/>
        <w:jc w:val="both"/>
      </w:pPr>
      <w:r>
        <w:rPr>
          <w:rFonts w:ascii="Times New Roman"/>
          <w:b w:val="false"/>
          <w:i w:val="false"/>
          <w:color w:val="000000"/>
          <w:sz w:val="28"/>
        </w:rPr>
        <w:t>
      3. Основными принципами являются:</w:t>
      </w:r>
    </w:p>
    <w:bookmarkEnd w:id="6141"/>
    <w:bookmarkStart w:name="z6293" w:id="6142"/>
    <w:p>
      <w:pPr>
        <w:spacing w:after="0"/>
        <w:ind w:left="0"/>
        <w:jc w:val="both"/>
      </w:pPr>
      <w:r>
        <w:rPr>
          <w:rFonts w:ascii="Times New Roman"/>
          <w:b w:val="false"/>
          <w:i w:val="false"/>
          <w:color w:val="000000"/>
          <w:sz w:val="28"/>
        </w:rPr>
        <w:t>
      1) отпуск лекарственных средств и медицинских изделий надлежащего качества;</w:t>
      </w:r>
    </w:p>
    <w:bookmarkEnd w:id="6142"/>
    <w:bookmarkStart w:name="z6294" w:id="6143"/>
    <w:p>
      <w:pPr>
        <w:spacing w:after="0"/>
        <w:ind w:left="0"/>
        <w:jc w:val="both"/>
      </w:pPr>
      <w:r>
        <w:rPr>
          <w:rFonts w:ascii="Times New Roman"/>
          <w:b w:val="false"/>
          <w:i w:val="false"/>
          <w:color w:val="000000"/>
          <w:sz w:val="28"/>
        </w:rPr>
        <w:t>
      2) предоставление достоверной и объективной информации, касающейся свойств и надлежащего применения лекарственных средств;</w:t>
      </w:r>
    </w:p>
    <w:bookmarkEnd w:id="6143"/>
    <w:bookmarkStart w:name="z6295" w:id="6144"/>
    <w:p>
      <w:pPr>
        <w:spacing w:after="0"/>
        <w:ind w:left="0"/>
        <w:jc w:val="both"/>
      </w:pPr>
      <w:r>
        <w:rPr>
          <w:rFonts w:ascii="Times New Roman"/>
          <w:b w:val="false"/>
          <w:i w:val="false"/>
          <w:color w:val="000000"/>
          <w:sz w:val="28"/>
        </w:rPr>
        <w:t>
      3) рациональное назначение лекарственных средств и правильное их использование;</w:t>
      </w:r>
    </w:p>
    <w:bookmarkEnd w:id="6144"/>
    <w:bookmarkStart w:name="z6296" w:id="6145"/>
    <w:p>
      <w:pPr>
        <w:spacing w:after="0"/>
        <w:ind w:left="0"/>
        <w:jc w:val="both"/>
      </w:pPr>
      <w:r>
        <w:rPr>
          <w:rFonts w:ascii="Times New Roman"/>
          <w:b w:val="false"/>
          <w:i w:val="false"/>
          <w:color w:val="000000"/>
          <w:sz w:val="28"/>
        </w:rPr>
        <w:t>
      4) профессиональное взаимодействие с работниками здравоохранения (врачами) по вопросам фармакотерапии;</w:t>
      </w:r>
    </w:p>
    <w:bookmarkEnd w:id="6145"/>
    <w:bookmarkStart w:name="z6297" w:id="6146"/>
    <w:p>
      <w:pPr>
        <w:spacing w:after="0"/>
        <w:ind w:left="0"/>
        <w:jc w:val="both"/>
      </w:pPr>
      <w:r>
        <w:rPr>
          <w:rFonts w:ascii="Times New Roman"/>
          <w:b w:val="false"/>
          <w:i w:val="false"/>
          <w:color w:val="000000"/>
          <w:sz w:val="28"/>
        </w:rPr>
        <w:t>
      5) надлежащее предоставление фармацевтических услуг.</w:t>
      </w:r>
    </w:p>
    <w:bookmarkEnd w:id="6146"/>
    <w:bookmarkStart w:name="z6298" w:id="6147"/>
    <w:p>
      <w:pPr>
        <w:spacing w:after="0"/>
        <w:ind w:left="0"/>
        <w:jc w:val="both"/>
      </w:pPr>
      <w:r>
        <w:rPr>
          <w:rFonts w:ascii="Times New Roman"/>
          <w:b w:val="false"/>
          <w:i w:val="false"/>
          <w:color w:val="000000"/>
          <w:sz w:val="28"/>
        </w:rPr>
        <w:t>
      4. Основными требованиями надлежащей аптечной практики являются:</w:t>
      </w:r>
    </w:p>
    <w:bookmarkEnd w:id="6147"/>
    <w:bookmarkStart w:name="z6299" w:id="6148"/>
    <w:p>
      <w:pPr>
        <w:spacing w:after="0"/>
        <w:ind w:left="0"/>
        <w:jc w:val="both"/>
      </w:pPr>
      <w:r>
        <w:rPr>
          <w:rFonts w:ascii="Times New Roman"/>
          <w:b w:val="false"/>
          <w:i w:val="false"/>
          <w:color w:val="000000"/>
          <w:sz w:val="28"/>
        </w:rPr>
        <w:t>
      1) ориентация на пациента в целях сохранения здоровья человека;</w:t>
      </w:r>
    </w:p>
    <w:bookmarkEnd w:id="6148"/>
    <w:bookmarkStart w:name="z6300" w:id="6149"/>
    <w:p>
      <w:pPr>
        <w:spacing w:after="0"/>
        <w:ind w:left="0"/>
        <w:jc w:val="both"/>
      </w:pPr>
      <w:r>
        <w:rPr>
          <w:rFonts w:ascii="Times New Roman"/>
          <w:b w:val="false"/>
          <w:i w:val="false"/>
          <w:color w:val="000000"/>
          <w:sz w:val="28"/>
        </w:rPr>
        <w:t>
      2) содействие рациональному назначению и надлежащему использованию лекарственных средств и медицинских изделий;</w:t>
      </w:r>
    </w:p>
    <w:bookmarkEnd w:id="6149"/>
    <w:bookmarkStart w:name="z6301" w:id="6150"/>
    <w:p>
      <w:pPr>
        <w:spacing w:after="0"/>
        <w:ind w:left="0"/>
        <w:jc w:val="both"/>
      </w:pPr>
      <w:r>
        <w:rPr>
          <w:rFonts w:ascii="Times New Roman"/>
          <w:b w:val="false"/>
          <w:i w:val="false"/>
          <w:color w:val="000000"/>
          <w:sz w:val="28"/>
        </w:rPr>
        <w:t>
      3) ориентирование каждого элемента фармацевтической услуги на отдельную личность;</w:t>
      </w:r>
    </w:p>
    <w:bookmarkEnd w:id="6150"/>
    <w:bookmarkStart w:name="z6302" w:id="6151"/>
    <w:p>
      <w:pPr>
        <w:spacing w:after="0"/>
        <w:ind w:left="0"/>
        <w:jc w:val="both"/>
      </w:pPr>
      <w:r>
        <w:rPr>
          <w:rFonts w:ascii="Times New Roman"/>
          <w:b w:val="false"/>
          <w:i w:val="false"/>
          <w:color w:val="000000"/>
          <w:sz w:val="28"/>
        </w:rPr>
        <w:t>
      4) соблюдение профессиональной этики и конфиденциальности;</w:t>
      </w:r>
    </w:p>
    <w:bookmarkEnd w:id="6151"/>
    <w:bookmarkStart w:name="z6303" w:id="6152"/>
    <w:p>
      <w:pPr>
        <w:spacing w:after="0"/>
        <w:ind w:left="0"/>
        <w:jc w:val="both"/>
      </w:pPr>
      <w:r>
        <w:rPr>
          <w:rFonts w:ascii="Times New Roman"/>
          <w:b w:val="false"/>
          <w:i w:val="false"/>
          <w:color w:val="000000"/>
          <w:sz w:val="28"/>
        </w:rPr>
        <w:t>
      5) оказание качественных фармацевтических услуг;</w:t>
      </w:r>
    </w:p>
    <w:bookmarkEnd w:id="6152"/>
    <w:bookmarkStart w:name="z6304" w:id="6153"/>
    <w:p>
      <w:pPr>
        <w:spacing w:after="0"/>
        <w:ind w:left="0"/>
        <w:jc w:val="both"/>
      </w:pPr>
      <w:r>
        <w:rPr>
          <w:rFonts w:ascii="Times New Roman"/>
          <w:b w:val="false"/>
          <w:i w:val="false"/>
          <w:color w:val="000000"/>
          <w:sz w:val="28"/>
        </w:rPr>
        <w:t>
      6) наличие квалифицированного персонала, владеющего основами фармакологии, фармакотерапии и деонтологии;</w:t>
      </w:r>
    </w:p>
    <w:bookmarkEnd w:id="6153"/>
    <w:bookmarkStart w:name="z6305" w:id="6154"/>
    <w:p>
      <w:pPr>
        <w:spacing w:after="0"/>
        <w:ind w:left="0"/>
        <w:jc w:val="both"/>
      </w:pPr>
      <w:r>
        <w:rPr>
          <w:rFonts w:ascii="Times New Roman"/>
          <w:b w:val="false"/>
          <w:i w:val="false"/>
          <w:color w:val="000000"/>
          <w:sz w:val="28"/>
        </w:rPr>
        <w:t>
      7) наличие соответствующего оборудования, помещений и других необходимых условий, для обеспечения надлежащего качества лекарственных средств и медицинских изделий до потребителя, включая хранение, учет и реализацию;</w:t>
      </w:r>
    </w:p>
    <w:bookmarkEnd w:id="6154"/>
    <w:bookmarkStart w:name="z6306" w:id="6155"/>
    <w:p>
      <w:pPr>
        <w:spacing w:after="0"/>
        <w:ind w:left="0"/>
        <w:jc w:val="both"/>
      </w:pPr>
      <w:r>
        <w:rPr>
          <w:rFonts w:ascii="Times New Roman"/>
          <w:b w:val="false"/>
          <w:i w:val="false"/>
          <w:color w:val="000000"/>
          <w:sz w:val="28"/>
        </w:rPr>
        <w:t>
      8) наличие специальной литературы для оказания консультативной и информационной помощи населению;</w:t>
      </w:r>
    </w:p>
    <w:bookmarkEnd w:id="6155"/>
    <w:bookmarkStart w:name="z6307" w:id="6156"/>
    <w:p>
      <w:pPr>
        <w:spacing w:after="0"/>
        <w:ind w:left="0"/>
        <w:jc w:val="both"/>
      </w:pPr>
      <w:r>
        <w:rPr>
          <w:rFonts w:ascii="Times New Roman"/>
          <w:b w:val="false"/>
          <w:i w:val="false"/>
          <w:color w:val="000000"/>
          <w:sz w:val="28"/>
        </w:rPr>
        <w:t>
      9) взаимодействие аптечной и медицинской организации, подразумевающее взаимное доверие и конфиденциальность во всех вопросах, относящихся к фармакотерапии, укреплению здоровья, профилактики заболеваний населения и фармаконадзора;</w:t>
      </w:r>
    </w:p>
    <w:bookmarkEnd w:id="6156"/>
    <w:bookmarkStart w:name="z6308" w:id="6157"/>
    <w:p>
      <w:pPr>
        <w:spacing w:after="0"/>
        <w:ind w:left="0"/>
        <w:jc w:val="both"/>
      </w:pPr>
      <w:r>
        <w:rPr>
          <w:rFonts w:ascii="Times New Roman"/>
          <w:b w:val="false"/>
          <w:i w:val="false"/>
          <w:color w:val="000000"/>
          <w:sz w:val="28"/>
        </w:rPr>
        <w:t>
      10) систематическое (непрерывное), развитие и повышение уровня знаний всех сотрудников, в том числе путем повышения квалификации не менее 1 раза в 5 лет для фармацевтических сотрудников;</w:t>
      </w:r>
    </w:p>
    <w:bookmarkEnd w:id="6157"/>
    <w:bookmarkStart w:name="z6309" w:id="6158"/>
    <w:p>
      <w:pPr>
        <w:spacing w:after="0"/>
        <w:ind w:left="0"/>
        <w:jc w:val="both"/>
      </w:pPr>
      <w:r>
        <w:rPr>
          <w:rFonts w:ascii="Times New Roman"/>
          <w:b w:val="false"/>
          <w:i w:val="false"/>
          <w:color w:val="000000"/>
          <w:sz w:val="28"/>
        </w:rPr>
        <w:t>
      11) наличие надлежащей документации;</w:t>
      </w:r>
    </w:p>
    <w:bookmarkEnd w:id="6158"/>
    <w:bookmarkStart w:name="z6310" w:id="6159"/>
    <w:p>
      <w:pPr>
        <w:spacing w:after="0"/>
        <w:ind w:left="0"/>
        <w:jc w:val="both"/>
      </w:pPr>
      <w:r>
        <w:rPr>
          <w:rFonts w:ascii="Times New Roman"/>
          <w:b w:val="false"/>
          <w:i w:val="false"/>
          <w:color w:val="000000"/>
          <w:sz w:val="28"/>
        </w:rPr>
        <w:t>
      12) обеспечение мероприятий по системе закупок лекарственных средств, медицинских изделий,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 в области здравоохранения, обнаружению и предотвращению распространения фальсифицированной фармацевтической продукции.</w:t>
      </w:r>
    </w:p>
    <w:bookmarkEnd w:id="6159"/>
    <w:bookmarkStart w:name="z6311" w:id="6160"/>
    <w:p>
      <w:pPr>
        <w:spacing w:after="0"/>
        <w:ind w:left="0"/>
        <w:jc w:val="left"/>
      </w:pPr>
      <w:r>
        <w:rPr>
          <w:rFonts w:ascii="Times New Roman"/>
          <w:b/>
          <w:i w:val="false"/>
          <w:color w:val="000000"/>
        </w:rPr>
        <w:t xml:space="preserve"> Глава 2. Пропаганда здорового образа жизни и профилактика заболеваний</w:t>
      </w:r>
    </w:p>
    <w:bookmarkEnd w:id="6160"/>
    <w:bookmarkStart w:name="z6312" w:id="6161"/>
    <w:p>
      <w:pPr>
        <w:spacing w:after="0"/>
        <w:ind w:left="0"/>
        <w:jc w:val="both"/>
      </w:pPr>
      <w:r>
        <w:rPr>
          <w:rFonts w:ascii="Times New Roman"/>
          <w:b w:val="false"/>
          <w:i w:val="false"/>
          <w:color w:val="000000"/>
          <w:sz w:val="28"/>
        </w:rPr>
        <w:t>
      5. Пропаганда здорового образа жизни и профилактика заболеваний является одним из направлений выполнения требований настоящего Стандарта по рациональному использованию лекарственных средств, медицинских изделий (включая минимизацию злоупотребления ими и неправильного их использования), санитарному просвещению населения и профилактики заболеваний.</w:t>
      </w:r>
    </w:p>
    <w:bookmarkEnd w:id="6161"/>
    <w:bookmarkStart w:name="z6313" w:id="6162"/>
    <w:p>
      <w:pPr>
        <w:spacing w:after="0"/>
        <w:ind w:left="0"/>
        <w:jc w:val="both"/>
      </w:pPr>
      <w:r>
        <w:rPr>
          <w:rFonts w:ascii="Times New Roman"/>
          <w:b w:val="false"/>
          <w:i w:val="false"/>
          <w:color w:val="000000"/>
          <w:sz w:val="28"/>
        </w:rPr>
        <w:t>
      6. Профилактика заболеваний заключается в принятии мер по улучшению качества жизни, уменьшению риска возникновения заболевания, выявлению симптомов заболевания на ранней стадии, предотвращению рецидивов заболевания.</w:t>
      </w:r>
    </w:p>
    <w:bookmarkEnd w:id="6162"/>
    <w:bookmarkStart w:name="z6314" w:id="6163"/>
    <w:p>
      <w:pPr>
        <w:spacing w:after="0"/>
        <w:ind w:left="0"/>
        <w:jc w:val="both"/>
      </w:pPr>
      <w:r>
        <w:rPr>
          <w:rFonts w:ascii="Times New Roman"/>
          <w:b w:val="false"/>
          <w:i w:val="false"/>
          <w:color w:val="000000"/>
          <w:sz w:val="28"/>
        </w:rPr>
        <w:t>
      7. Для проведения мероприятий, направленных на укрепление здоровья населения и профилактику заболеваний, необходимо:</w:t>
      </w:r>
    </w:p>
    <w:bookmarkEnd w:id="6163"/>
    <w:bookmarkStart w:name="z8569" w:id="6164"/>
    <w:p>
      <w:pPr>
        <w:spacing w:after="0"/>
        <w:ind w:left="0"/>
        <w:jc w:val="both"/>
      </w:pPr>
      <w:r>
        <w:rPr>
          <w:rFonts w:ascii="Times New Roman"/>
          <w:b w:val="false"/>
          <w:i w:val="false"/>
          <w:color w:val="000000"/>
          <w:sz w:val="28"/>
        </w:rPr>
        <w:t>
      1) взаимодействие с медицинскими организациями и участие в программах по вопросам укрепления здоровья населения и профилактике заболеваний, а также рациональному применению и назначению лекарственных средств;</w:t>
      </w:r>
    </w:p>
    <w:bookmarkEnd w:id="6164"/>
    <w:bookmarkStart w:name="z8570" w:id="6165"/>
    <w:p>
      <w:pPr>
        <w:spacing w:after="0"/>
        <w:ind w:left="0"/>
        <w:jc w:val="both"/>
      </w:pPr>
      <w:r>
        <w:rPr>
          <w:rFonts w:ascii="Times New Roman"/>
          <w:b w:val="false"/>
          <w:i w:val="false"/>
          <w:color w:val="000000"/>
          <w:sz w:val="28"/>
        </w:rPr>
        <w:t>
      2) проведение индивидуальных консультаций с пациентами по их просьбе;</w:t>
      </w:r>
    </w:p>
    <w:bookmarkEnd w:id="6165"/>
    <w:bookmarkStart w:name="z8571" w:id="6166"/>
    <w:p>
      <w:pPr>
        <w:spacing w:after="0"/>
        <w:ind w:left="0"/>
        <w:jc w:val="both"/>
      </w:pPr>
      <w:r>
        <w:rPr>
          <w:rFonts w:ascii="Times New Roman"/>
          <w:b w:val="false"/>
          <w:i w:val="false"/>
          <w:color w:val="000000"/>
          <w:sz w:val="28"/>
        </w:rPr>
        <w:t>
      3) наличие в аптеке информационных стендов о пропаганде здорового образа жизни;</w:t>
      </w:r>
    </w:p>
    <w:bookmarkEnd w:id="6166"/>
    <w:bookmarkStart w:name="z8572" w:id="6167"/>
    <w:p>
      <w:pPr>
        <w:spacing w:after="0"/>
        <w:ind w:left="0"/>
        <w:jc w:val="both"/>
      </w:pPr>
      <w:r>
        <w:rPr>
          <w:rFonts w:ascii="Times New Roman"/>
          <w:b w:val="false"/>
          <w:i w:val="false"/>
          <w:color w:val="000000"/>
          <w:sz w:val="28"/>
        </w:rPr>
        <w:t>
      4) предоставление населению информационных брошюр и буклетов медико-санитарного содержания по вопросам здоровья;</w:t>
      </w:r>
    </w:p>
    <w:bookmarkEnd w:id="6167"/>
    <w:bookmarkStart w:name="z8573" w:id="6168"/>
    <w:p>
      <w:pPr>
        <w:spacing w:after="0"/>
        <w:ind w:left="0"/>
        <w:jc w:val="both"/>
      </w:pPr>
      <w:r>
        <w:rPr>
          <w:rFonts w:ascii="Times New Roman"/>
          <w:b w:val="false"/>
          <w:i w:val="false"/>
          <w:color w:val="000000"/>
          <w:sz w:val="28"/>
        </w:rPr>
        <w:t>
      5) соответствующая профессиональная подготовка фармацевта по предоставлению пациенту надлежащей консультации в отношении лекарственных средств, реализуемых в аптечных организациях.</w:t>
      </w:r>
    </w:p>
    <w:bookmarkEnd w:id="6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2" w:id="6169"/>
    <w:p>
      <w:pPr>
        <w:spacing w:after="0"/>
        <w:ind w:left="0"/>
        <w:jc w:val="both"/>
      </w:pPr>
      <w:r>
        <w:rPr>
          <w:rFonts w:ascii="Times New Roman"/>
          <w:b w:val="false"/>
          <w:i w:val="false"/>
          <w:color w:val="000000"/>
          <w:sz w:val="28"/>
        </w:rPr>
        <w:t>
      8. Информация предоставляется пациенту с соблюдением требований профессиональной этики, в доступной и понятной форме.</w:t>
      </w:r>
    </w:p>
    <w:bookmarkEnd w:id="6169"/>
    <w:bookmarkStart w:name="z6323" w:id="6170"/>
    <w:p>
      <w:pPr>
        <w:spacing w:after="0"/>
        <w:ind w:left="0"/>
        <w:jc w:val="both"/>
      </w:pPr>
      <w:r>
        <w:rPr>
          <w:rFonts w:ascii="Times New Roman"/>
          <w:b w:val="false"/>
          <w:i w:val="false"/>
          <w:color w:val="000000"/>
          <w:sz w:val="28"/>
        </w:rPr>
        <w:t>
      9. Все проводимые мероприятия документируются. Ответственность за хранение документации возлагается на лицо, ответственное (уполномоченное) за качество или заведующего аптекой.</w:t>
      </w:r>
    </w:p>
    <w:bookmarkEnd w:id="6170"/>
    <w:bookmarkStart w:name="z6324" w:id="6171"/>
    <w:p>
      <w:pPr>
        <w:spacing w:after="0"/>
        <w:ind w:left="0"/>
        <w:jc w:val="left"/>
      </w:pPr>
      <w:r>
        <w:rPr>
          <w:rFonts w:ascii="Times New Roman"/>
          <w:b/>
          <w:i w:val="false"/>
          <w:color w:val="000000"/>
        </w:rPr>
        <w:t xml:space="preserve"> Глава 3. Обеспечение рационального применения рецептурных лекарственных препаратов</w:t>
      </w:r>
    </w:p>
    <w:bookmarkEnd w:id="6171"/>
    <w:bookmarkStart w:name="z6325" w:id="6172"/>
    <w:p>
      <w:pPr>
        <w:spacing w:after="0"/>
        <w:ind w:left="0"/>
        <w:jc w:val="both"/>
      </w:pPr>
      <w:r>
        <w:rPr>
          <w:rFonts w:ascii="Times New Roman"/>
          <w:b w:val="false"/>
          <w:i w:val="false"/>
          <w:color w:val="000000"/>
          <w:sz w:val="28"/>
        </w:rPr>
        <w:t>
      10. Для обеспечения надлежащего отпуска лекарственные средства поступают в обращение с маркировкой, нанесенной на потребительскую упаковку (первичную, вторичную), хорошо читаемым текстом на казахском и русском языках и инструкцией по медицинскому применению.</w:t>
      </w:r>
    </w:p>
    <w:bookmarkEnd w:id="6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7" w:id="6173"/>
    <w:p>
      <w:pPr>
        <w:spacing w:after="0"/>
        <w:ind w:left="0"/>
        <w:jc w:val="both"/>
      </w:pPr>
      <w:r>
        <w:rPr>
          <w:rFonts w:ascii="Times New Roman"/>
          <w:b w:val="false"/>
          <w:i w:val="false"/>
          <w:color w:val="000000"/>
          <w:sz w:val="28"/>
        </w:rPr>
        <w:t>
      12. Деятельность персонала по обеспечению и рациональному применению лекарственных препаратов включает в себя:</w:t>
      </w:r>
    </w:p>
    <w:bookmarkEnd w:id="6173"/>
    <w:bookmarkStart w:name="z8575" w:id="6174"/>
    <w:p>
      <w:pPr>
        <w:spacing w:after="0"/>
        <w:ind w:left="0"/>
        <w:jc w:val="both"/>
      </w:pPr>
      <w:r>
        <w:rPr>
          <w:rFonts w:ascii="Times New Roman"/>
          <w:b w:val="false"/>
          <w:i w:val="false"/>
          <w:color w:val="000000"/>
          <w:sz w:val="28"/>
        </w:rPr>
        <w:t xml:space="preserve">
      1) наличие квалифицированного персонала; </w:t>
      </w:r>
    </w:p>
    <w:bookmarkEnd w:id="6174"/>
    <w:bookmarkStart w:name="z8576" w:id="6175"/>
    <w:p>
      <w:pPr>
        <w:spacing w:after="0"/>
        <w:ind w:left="0"/>
        <w:jc w:val="both"/>
      </w:pPr>
      <w:r>
        <w:rPr>
          <w:rFonts w:ascii="Times New Roman"/>
          <w:b w:val="false"/>
          <w:i w:val="false"/>
          <w:color w:val="000000"/>
          <w:sz w:val="28"/>
        </w:rPr>
        <w:t xml:space="preserve">
      2) проверку правильности оформления рецептов на получение лекарственных средств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2020 года № ҚР ДСМ-112/2020 "Об утверждении правил выписывания, учета и хранения рецептов" (зарегистрирован в Реестре государственной регистрации нормативных правовых актов под № 21493) (далее – Правила);</w:t>
      </w:r>
    </w:p>
    <w:bookmarkEnd w:id="6175"/>
    <w:bookmarkStart w:name="z8577" w:id="6176"/>
    <w:p>
      <w:pPr>
        <w:spacing w:after="0"/>
        <w:ind w:left="0"/>
        <w:jc w:val="both"/>
      </w:pPr>
      <w:r>
        <w:rPr>
          <w:rFonts w:ascii="Times New Roman"/>
          <w:b w:val="false"/>
          <w:i w:val="false"/>
          <w:color w:val="000000"/>
          <w:sz w:val="28"/>
        </w:rPr>
        <w:t>
      3) проверку на совместимость при непосредственном отпуске (выдаче) пациенту лекарственного средства;</w:t>
      </w:r>
    </w:p>
    <w:bookmarkEnd w:id="6176"/>
    <w:bookmarkStart w:name="z8578" w:id="6177"/>
    <w:p>
      <w:pPr>
        <w:spacing w:after="0"/>
        <w:ind w:left="0"/>
        <w:jc w:val="both"/>
      </w:pPr>
      <w:r>
        <w:rPr>
          <w:rFonts w:ascii="Times New Roman"/>
          <w:b w:val="false"/>
          <w:i w:val="false"/>
          <w:color w:val="000000"/>
          <w:sz w:val="28"/>
        </w:rPr>
        <w:t>
      4) соблюдение технологии изготовления и обеспечение качества лекарственных препаратов в аптеках с правом изготовления;</w:t>
      </w:r>
    </w:p>
    <w:bookmarkEnd w:id="6177"/>
    <w:bookmarkStart w:name="z8579" w:id="6178"/>
    <w:p>
      <w:pPr>
        <w:spacing w:after="0"/>
        <w:ind w:left="0"/>
        <w:jc w:val="both"/>
      </w:pPr>
      <w:r>
        <w:rPr>
          <w:rFonts w:ascii="Times New Roman"/>
          <w:b w:val="false"/>
          <w:i w:val="false"/>
          <w:color w:val="000000"/>
          <w:sz w:val="28"/>
        </w:rPr>
        <w:t>
      5) осуществление отпуска рецептурных препаратов по рецептам врача;</w:t>
      </w:r>
    </w:p>
    <w:bookmarkEnd w:id="6178"/>
    <w:bookmarkStart w:name="z8580" w:id="6179"/>
    <w:p>
      <w:pPr>
        <w:spacing w:after="0"/>
        <w:ind w:left="0"/>
        <w:jc w:val="both"/>
      </w:pPr>
      <w:r>
        <w:rPr>
          <w:rFonts w:ascii="Times New Roman"/>
          <w:b w:val="false"/>
          <w:i w:val="false"/>
          <w:color w:val="000000"/>
          <w:sz w:val="28"/>
        </w:rPr>
        <w:t>
      6) обеспечение надлежащего отпуска лекарственного препарата с соответствующей маркировкой и упаковкой;</w:t>
      </w:r>
    </w:p>
    <w:bookmarkEnd w:id="6179"/>
    <w:bookmarkStart w:name="z8581" w:id="6180"/>
    <w:p>
      <w:pPr>
        <w:spacing w:after="0"/>
        <w:ind w:left="0"/>
        <w:jc w:val="both"/>
      </w:pPr>
      <w:r>
        <w:rPr>
          <w:rFonts w:ascii="Times New Roman"/>
          <w:b w:val="false"/>
          <w:i w:val="false"/>
          <w:color w:val="000000"/>
          <w:sz w:val="28"/>
        </w:rPr>
        <w:t>
      7) предоставление покупателю (пациенту) при отпуске лекарственного средства, имеющиеся в наличии лекарственные препараты, соответствующие выписанному рецепту, с указанием их стоимости;</w:t>
      </w:r>
    </w:p>
    <w:bookmarkEnd w:id="6180"/>
    <w:bookmarkStart w:name="z8582" w:id="6181"/>
    <w:p>
      <w:pPr>
        <w:spacing w:after="0"/>
        <w:ind w:left="0"/>
        <w:jc w:val="both"/>
      </w:pPr>
      <w:r>
        <w:rPr>
          <w:rFonts w:ascii="Times New Roman"/>
          <w:b w:val="false"/>
          <w:i w:val="false"/>
          <w:color w:val="000000"/>
          <w:sz w:val="28"/>
        </w:rPr>
        <w:t>
      8) предоставление покупателю (пациенту) информации об особенностях применения лекарственных средствах безрецептурного отпуска, изделиях медицинского назначения.</w:t>
      </w:r>
    </w:p>
    <w:bookmarkEnd w:id="6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7" w:id="6182"/>
    <w:p>
      <w:pPr>
        <w:spacing w:after="0"/>
        <w:ind w:left="0"/>
        <w:jc w:val="both"/>
      </w:pPr>
      <w:r>
        <w:rPr>
          <w:rFonts w:ascii="Times New Roman"/>
          <w:b w:val="false"/>
          <w:i w:val="false"/>
          <w:color w:val="000000"/>
          <w:sz w:val="28"/>
        </w:rPr>
        <w:t>
      13. Для обеспечения комплекса мероприятий, направленных на обеспечение рационального назначения и применения лекарственных препаратов, фармацевт:</w:t>
      </w:r>
    </w:p>
    <w:bookmarkEnd w:id="6182"/>
    <w:bookmarkStart w:name="z8584" w:id="6183"/>
    <w:p>
      <w:pPr>
        <w:spacing w:after="0"/>
        <w:ind w:left="0"/>
        <w:jc w:val="both"/>
      </w:pPr>
      <w:r>
        <w:rPr>
          <w:rFonts w:ascii="Times New Roman"/>
          <w:b w:val="false"/>
          <w:i w:val="false"/>
          <w:color w:val="000000"/>
          <w:sz w:val="28"/>
        </w:rPr>
        <w:t>
      1) имеет соответствующие знания и навыки по предоставлению достоверной информации и консультативной помощи по применению лекарственных препаратов;</w:t>
      </w:r>
    </w:p>
    <w:bookmarkEnd w:id="6183"/>
    <w:bookmarkStart w:name="z8585" w:id="6184"/>
    <w:p>
      <w:pPr>
        <w:spacing w:after="0"/>
        <w:ind w:left="0"/>
        <w:jc w:val="both"/>
      </w:pPr>
      <w:r>
        <w:rPr>
          <w:rFonts w:ascii="Times New Roman"/>
          <w:b w:val="false"/>
          <w:i w:val="false"/>
          <w:color w:val="000000"/>
          <w:sz w:val="28"/>
        </w:rPr>
        <w:t>
      2) систематически повышает уровень знаний в области фармакотерапии, информации о новых лекарственных средствах, психологии общения;</w:t>
      </w:r>
    </w:p>
    <w:bookmarkEnd w:id="6184"/>
    <w:bookmarkStart w:name="z8586" w:id="6185"/>
    <w:p>
      <w:pPr>
        <w:spacing w:after="0"/>
        <w:ind w:left="0"/>
        <w:jc w:val="both"/>
      </w:pPr>
      <w:r>
        <w:rPr>
          <w:rFonts w:ascii="Times New Roman"/>
          <w:b w:val="false"/>
          <w:i w:val="false"/>
          <w:color w:val="000000"/>
          <w:sz w:val="28"/>
        </w:rPr>
        <w:t>
      3) имеет справочно-информационную литературу по использованию лекарственного средства, медицинских изделий;</w:t>
      </w:r>
    </w:p>
    <w:bookmarkEnd w:id="6185"/>
    <w:bookmarkStart w:name="z8587" w:id="6186"/>
    <w:p>
      <w:pPr>
        <w:spacing w:after="0"/>
        <w:ind w:left="0"/>
        <w:jc w:val="both"/>
      </w:pPr>
      <w:r>
        <w:rPr>
          <w:rFonts w:ascii="Times New Roman"/>
          <w:b w:val="false"/>
          <w:i w:val="false"/>
          <w:color w:val="000000"/>
          <w:sz w:val="28"/>
        </w:rPr>
        <w:t>
      4) осуществляет обратную связь с врачами в случае неправильно выписанных рецептов.</w:t>
      </w:r>
    </w:p>
    <w:bookmarkEnd w:id="6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2" w:id="6187"/>
    <w:p>
      <w:pPr>
        <w:spacing w:after="0"/>
        <w:ind w:left="0"/>
        <w:jc w:val="left"/>
      </w:pPr>
      <w:r>
        <w:rPr>
          <w:rFonts w:ascii="Times New Roman"/>
          <w:b/>
          <w:i w:val="false"/>
          <w:color w:val="000000"/>
        </w:rPr>
        <w:t xml:space="preserve"> Глава 4. Фармаконадзор</w:t>
      </w:r>
    </w:p>
    <w:bookmarkEnd w:id="6187"/>
    <w:p>
      <w:pPr>
        <w:spacing w:after="0"/>
        <w:ind w:left="0"/>
        <w:jc w:val="both"/>
      </w:pPr>
      <w:bookmarkStart w:name="z6343" w:id="6188"/>
      <w:r>
        <w:rPr>
          <w:rFonts w:ascii="Times New Roman"/>
          <w:b w:val="false"/>
          <w:i w:val="false"/>
          <w:color w:val="ff0000"/>
          <w:sz w:val="28"/>
        </w:rPr>
        <w:t xml:space="preserve">
      Сноска. Заголовок главы 4 - в редакции приказа и.о. Министра здравоохранения РК от 03.04.2023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344" w:id="6189"/>
    <w:p>
      <w:pPr>
        <w:spacing w:after="0"/>
        <w:ind w:left="0"/>
        <w:jc w:val="both"/>
      </w:pPr>
      <w:r>
        <w:rPr>
          <w:rFonts w:ascii="Times New Roman"/>
          <w:b w:val="false"/>
          <w:i w:val="false"/>
          <w:color w:val="000000"/>
          <w:sz w:val="28"/>
        </w:rPr>
        <w:t>
      15. Сотрудничество врача и фармацевта направлено на:</w:t>
      </w:r>
    </w:p>
    <w:bookmarkEnd w:id="6189"/>
    <w:bookmarkStart w:name="z8588" w:id="6190"/>
    <w:p>
      <w:pPr>
        <w:spacing w:after="0"/>
        <w:ind w:left="0"/>
        <w:jc w:val="both"/>
      </w:pPr>
      <w:r>
        <w:rPr>
          <w:rFonts w:ascii="Times New Roman"/>
          <w:b w:val="false"/>
          <w:i w:val="false"/>
          <w:color w:val="000000"/>
          <w:sz w:val="28"/>
        </w:rPr>
        <w:t>
      1) выписывание рецептов в соответствии с Правилами";</w:t>
      </w:r>
    </w:p>
    <w:bookmarkEnd w:id="6190"/>
    <w:bookmarkStart w:name="z8589" w:id="6191"/>
    <w:p>
      <w:pPr>
        <w:spacing w:after="0"/>
        <w:ind w:left="0"/>
        <w:jc w:val="both"/>
      </w:pPr>
      <w:r>
        <w:rPr>
          <w:rFonts w:ascii="Times New Roman"/>
          <w:b w:val="false"/>
          <w:i w:val="false"/>
          <w:color w:val="000000"/>
          <w:sz w:val="28"/>
        </w:rPr>
        <w:t>
      2) обеспечение конфиденциальности данных, касающихся пациентов.</w:t>
      </w:r>
    </w:p>
    <w:bookmarkEnd w:id="6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2" w:id="6192"/>
    <w:p>
      <w:pPr>
        <w:spacing w:after="0"/>
        <w:ind w:left="0"/>
        <w:jc w:val="both"/>
      </w:pPr>
      <w:r>
        <w:rPr>
          <w:rFonts w:ascii="Times New Roman"/>
          <w:b w:val="false"/>
          <w:i w:val="false"/>
          <w:color w:val="000000"/>
          <w:sz w:val="28"/>
        </w:rPr>
        <w:t>
      19. Руководителем аптечной организации назначается ответственное лицо за организацию и проведение мониторинга побочных действий лекарственных средств.</w:t>
      </w:r>
    </w:p>
    <w:bookmarkEnd w:id="6192"/>
    <w:bookmarkStart w:name="z6353" w:id="6193"/>
    <w:p>
      <w:pPr>
        <w:spacing w:after="0"/>
        <w:ind w:left="0"/>
        <w:jc w:val="both"/>
      </w:pPr>
      <w:r>
        <w:rPr>
          <w:rFonts w:ascii="Times New Roman"/>
          <w:b w:val="false"/>
          <w:i w:val="false"/>
          <w:color w:val="000000"/>
          <w:sz w:val="28"/>
        </w:rPr>
        <w:t>
      20. В каждой аптечной организации имеются карты-сообщения для заполнения их фармацевтами или пациентами после выявления побочных действий лекарственных средств.</w:t>
      </w:r>
    </w:p>
    <w:bookmarkEnd w:id="6193"/>
    <w:bookmarkStart w:name="z6354" w:id="6194"/>
    <w:p>
      <w:pPr>
        <w:spacing w:after="0"/>
        <w:ind w:left="0"/>
        <w:jc w:val="both"/>
      </w:pPr>
      <w:r>
        <w:rPr>
          <w:rFonts w:ascii="Times New Roman"/>
          <w:b w:val="false"/>
          <w:i w:val="false"/>
          <w:color w:val="000000"/>
          <w:sz w:val="28"/>
        </w:rPr>
        <w:t>
      Карта-сообщение заполняется самим пациентом или фармацевтом после получения информации о выявленном побочном действии лекарственных средств.</w:t>
      </w:r>
    </w:p>
    <w:bookmarkEnd w:id="6194"/>
    <w:bookmarkStart w:name="z6355" w:id="6195"/>
    <w:p>
      <w:pPr>
        <w:spacing w:after="0"/>
        <w:ind w:left="0"/>
        <w:jc w:val="both"/>
      </w:pPr>
      <w:r>
        <w:rPr>
          <w:rFonts w:ascii="Times New Roman"/>
          <w:b w:val="false"/>
          <w:i w:val="false"/>
          <w:color w:val="000000"/>
          <w:sz w:val="28"/>
        </w:rPr>
        <w:t>
      21. Данные карт-сообщений о выявленных побочных действиях лекарственных средств фиксируются в журнале регистрации выявленных побочных действий лекарственных средств лицом, ответственным за мониторинг побочных действий лекарственных средств.</w:t>
      </w:r>
    </w:p>
    <w:bookmarkEnd w:id="6195"/>
    <w:bookmarkStart w:name="z6356" w:id="6196"/>
    <w:p>
      <w:pPr>
        <w:spacing w:after="0"/>
        <w:ind w:left="0"/>
        <w:jc w:val="both"/>
      </w:pPr>
      <w:r>
        <w:rPr>
          <w:rFonts w:ascii="Times New Roman"/>
          <w:b w:val="false"/>
          <w:i w:val="false"/>
          <w:color w:val="000000"/>
          <w:sz w:val="28"/>
        </w:rPr>
        <w:t>
      22. Сообщению подлежат все случаи выявления побочной реакции при осуществлении фармакотерапии.</w:t>
      </w:r>
    </w:p>
    <w:bookmarkEnd w:id="6196"/>
    <w:bookmarkStart w:name="z6357" w:id="6197"/>
    <w:p>
      <w:pPr>
        <w:spacing w:after="0"/>
        <w:ind w:left="0"/>
        <w:jc w:val="both"/>
      </w:pPr>
      <w:r>
        <w:rPr>
          <w:rFonts w:ascii="Times New Roman"/>
          <w:b w:val="false"/>
          <w:i w:val="false"/>
          <w:color w:val="000000"/>
          <w:sz w:val="28"/>
        </w:rPr>
        <w:t>
      23. Мониторингом побочных действий лекарственных средств является комплекс мероприятий, направленный на выявление, сбор, оценку и анализ сообщений о побочных действиях лекарственных средств.</w:t>
      </w:r>
    </w:p>
    <w:bookmarkEnd w:id="6197"/>
    <w:bookmarkStart w:name="z6358" w:id="6198"/>
    <w:p>
      <w:pPr>
        <w:spacing w:after="0"/>
        <w:ind w:left="0"/>
        <w:jc w:val="left"/>
      </w:pPr>
      <w:r>
        <w:rPr>
          <w:rFonts w:ascii="Times New Roman"/>
          <w:b/>
          <w:i w:val="false"/>
          <w:color w:val="000000"/>
        </w:rPr>
        <w:t xml:space="preserve"> Глава 5. Ответственное самолечение</w:t>
      </w:r>
    </w:p>
    <w:bookmarkEnd w:id="6198"/>
    <w:p>
      <w:pPr>
        <w:spacing w:after="0"/>
        <w:ind w:left="0"/>
        <w:jc w:val="both"/>
      </w:pPr>
      <w:r>
        <w:rPr>
          <w:rFonts w:ascii="Times New Roman"/>
          <w:b w:val="false"/>
          <w:i w:val="false"/>
          <w:color w:val="ff0000"/>
          <w:sz w:val="28"/>
        </w:rPr>
        <w:t xml:space="preserve">
      Сноска. Заголовок главы 5 - в редакции приказа и.о. Министра здравоохранения РК от 03.04.2023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59" w:id="6199"/>
    <w:p>
      <w:pPr>
        <w:spacing w:after="0"/>
        <w:ind w:left="0"/>
        <w:jc w:val="both"/>
      </w:pPr>
      <w:r>
        <w:rPr>
          <w:rFonts w:ascii="Times New Roman"/>
          <w:b w:val="false"/>
          <w:i w:val="false"/>
          <w:color w:val="000000"/>
          <w:sz w:val="28"/>
        </w:rPr>
        <w:t>
      24. Деятельность, связанная с самолечением, направлена на консультирование пациента по самостоятельному приему безрецептурных лекарственных препаратов и предоставлении лекарственной помощи для облегчения и устранения симптомов и недомоганий, при лечении заболеваний и состояний, при которых возможно самостоятельное лечение в соответствии инструкцией по медицинскому применению.</w:t>
      </w:r>
    </w:p>
    <w:bookmarkEnd w:id="6199"/>
    <w:bookmarkStart w:name="z6360" w:id="6200"/>
    <w:p>
      <w:pPr>
        <w:spacing w:after="0"/>
        <w:ind w:left="0"/>
        <w:jc w:val="both"/>
      </w:pPr>
      <w:r>
        <w:rPr>
          <w:rFonts w:ascii="Times New Roman"/>
          <w:b w:val="false"/>
          <w:i w:val="false"/>
          <w:color w:val="000000"/>
          <w:sz w:val="28"/>
        </w:rPr>
        <w:t>
      25. Для осуществления деятельности, связанной с ответственным самолечением, аптечной организации необходимо:</w:t>
      </w:r>
    </w:p>
    <w:bookmarkEnd w:id="6200"/>
    <w:bookmarkStart w:name="z8591" w:id="6201"/>
    <w:p>
      <w:pPr>
        <w:spacing w:after="0"/>
        <w:ind w:left="0"/>
        <w:jc w:val="both"/>
      </w:pPr>
      <w:r>
        <w:rPr>
          <w:rFonts w:ascii="Times New Roman"/>
          <w:b w:val="false"/>
          <w:i w:val="false"/>
          <w:color w:val="000000"/>
          <w:sz w:val="28"/>
        </w:rPr>
        <w:t>
      1) соответствующая профессиональная подготовка по предоставлению пациенту надлежащих рекомендаций, относительно применения эффективных и безопасных безрецептурных лекарственных средств;</w:t>
      </w:r>
    </w:p>
    <w:bookmarkEnd w:id="6201"/>
    <w:bookmarkStart w:name="z8592" w:id="6202"/>
    <w:p>
      <w:pPr>
        <w:spacing w:after="0"/>
        <w:ind w:left="0"/>
        <w:jc w:val="both"/>
      </w:pPr>
      <w:r>
        <w:rPr>
          <w:rFonts w:ascii="Times New Roman"/>
          <w:b w:val="false"/>
          <w:i w:val="false"/>
          <w:color w:val="000000"/>
          <w:sz w:val="28"/>
        </w:rPr>
        <w:t>
      2) включение в программы обучения фармацевтов вопросов самолечения и консультирования;</w:t>
      </w:r>
    </w:p>
    <w:bookmarkEnd w:id="6202"/>
    <w:bookmarkStart w:name="z8593" w:id="6203"/>
    <w:p>
      <w:pPr>
        <w:spacing w:after="0"/>
        <w:ind w:left="0"/>
        <w:jc w:val="both"/>
      </w:pPr>
      <w:r>
        <w:rPr>
          <w:rFonts w:ascii="Times New Roman"/>
          <w:b w:val="false"/>
          <w:i w:val="false"/>
          <w:color w:val="000000"/>
          <w:sz w:val="28"/>
        </w:rPr>
        <w:t>
      3) наличие специальной справочной литературы;</w:t>
      </w:r>
    </w:p>
    <w:bookmarkEnd w:id="6203"/>
    <w:bookmarkStart w:name="z8594" w:id="6204"/>
    <w:p>
      <w:pPr>
        <w:spacing w:after="0"/>
        <w:ind w:left="0"/>
        <w:jc w:val="both"/>
      </w:pPr>
      <w:r>
        <w:rPr>
          <w:rFonts w:ascii="Times New Roman"/>
          <w:b w:val="false"/>
          <w:i w:val="false"/>
          <w:color w:val="000000"/>
          <w:sz w:val="28"/>
        </w:rPr>
        <w:t>
      4) наличие СОП по вопросам самолечения;</w:t>
      </w:r>
    </w:p>
    <w:bookmarkEnd w:id="6204"/>
    <w:bookmarkStart w:name="z8595" w:id="6205"/>
    <w:p>
      <w:pPr>
        <w:spacing w:after="0"/>
        <w:ind w:left="0"/>
        <w:jc w:val="both"/>
      </w:pPr>
      <w:r>
        <w:rPr>
          <w:rFonts w:ascii="Times New Roman"/>
          <w:b w:val="false"/>
          <w:i w:val="false"/>
          <w:color w:val="000000"/>
          <w:sz w:val="28"/>
        </w:rPr>
        <w:t>
      5) знание симптомов и недомоганий, излечивающихся самостоятельно;</w:t>
      </w:r>
    </w:p>
    <w:bookmarkEnd w:id="6205"/>
    <w:bookmarkStart w:name="z8596" w:id="6206"/>
    <w:p>
      <w:pPr>
        <w:spacing w:after="0"/>
        <w:ind w:left="0"/>
        <w:jc w:val="both"/>
      </w:pPr>
      <w:r>
        <w:rPr>
          <w:rFonts w:ascii="Times New Roman"/>
          <w:b w:val="false"/>
          <w:i w:val="false"/>
          <w:color w:val="000000"/>
          <w:sz w:val="28"/>
        </w:rPr>
        <w:t>
      6) предоставление консультаций по вопросам самопомощи и самопрофилактики.</w:t>
      </w:r>
    </w:p>
    <w:bookmarkEnd w:id="6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8" w:id="6207"/>
    <w:p>
      <w:pPr>
        <w:spacing w:after="0"/>
        <w:ind w:left="0"/>
        <w:jc w:val="both"/>
      </w:pPr>
      <w:r>
        <w:rPr>
          <w:rFonts w:ascii="Times New Roman"/>
          <w:b w:val="false"/>
          <w:i w:val="false"/>
          <w:color w:val="000000"/>
          <w:sz w:val="28"/>
        </w:rPr>
        <w:t xml:space="preserve">
      26. Деятельность аптечной организации, связанная с самолечением, включает консультации по использованию медицинских изделий, предметов ухода, диагностических средств, средств для ухода за кожей, пищевых добавок, вспомогательных средств и устройств при самолечении, и не относящихся к лекарственным средствам, медицинским изделиям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2022 года № ҚР ДСМ-141 "Об утверждении перечня товаров, не относящихся к лекарственным средствам и медицинским изделиям, разрешенных к оптовой и розничной реализации субъектами в сфере обращения лекарственных средств и медицинских изделий" (зарегистрирован в Реестре государственной регистрации нормативных правовых актов под № 30771).</w:t>
      </w:r>
    </w:p>
    <w:bookmarkEnd w:id="6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2" w:id="6208"/>
    <w:p>
      <w:pPr>
        <w:spacing w:after="0"/>
        <w:ind w:left="0"/>
        <w:jc w:val="both"/>
      </w:pPr>
      <w:r>
        <w:rPr>
          <w:rFonts w:ascii="Times New Roman"/>
          <w:b w:val="false"/>
          <w:i w:val="false"/>
          <w:color w:val="000000"/>
          <w:sz w:val="28"/>
        </w:rPr>
        <w:t>
      27. При рекомендации безрецептурных лекарственных средств фармацевт:</w:t>
      </w:r>
    </w:p>
    <w:bookmarkEnd w:id="6208"/>
    <w:bookmarkStart w:name="z6373" w:id="6209"/>
    <w:p>
      <w:pPr>
        <w:spacing w:after="0"/>
        <w:ind w:left="0"/>
        <w:jc w:val="both"/>
      </w:pPr>
      <w:r>
        <w:rPr>
          <w:rFonts w:ascii="Times New Roman"/>
          <w:b w:val="false"/>
          <w:i w:val="false"/>
          <w:color w:val="000000"/>
          <w:sz w:val="28"/>
        </w:rPr>
        <w:t>
      1) использует профессиональный опыт при выборе безрецептурных лекарственных препаратов с учетом их эффективности, безопасности и качества;</w:t>
      </w:r>
    </w:p>
    <w:bookmarkEnd w:id="6209"/>
    <w:bookmarkStart w:name="z6374" w:id="6210"/>
    <w:p>
      <w:pPr>
        <w:spacing w:after="0"/>
        <w:ind w:left="0"/>
        <w:jc w:val="both"/>
      </w:pPr>
      <w:r>
        <w:rPr>
          <w:rFonts w:ascii="Times New Roman"/>
          <w:b w:val="false"/>
          <w:i w:val="false"/>
          <w:color w:val="000000"/>
          <w:sz w:val="28"/>
        </w:rPr>
        <w:t>
      2) доступно информирует пациента о данном препарате относительно его действия, способа применения, продолжительности лечения, возможных побочных действий, противопоказаний и сочетаемости с другими лекарственными средствами;</w:t>
      </w:r>
    </w:p>
    <w:bookmarkEnd w:id="6210"/>
    <w:bookmarkStart w:name="z6375" w:id="6211"/>
    <w:p>
      <w:pPr>
        <w:spacing w:after="0"/>
        <w:ind w:left="0"/>
        <w:jc w:val="both"/>
      </w:pPr>
      <w:r>
        <w:rPr>
          <w:rFonts w:ascii="Times New Roman"/>
          <w:b w:val="false"/>
          <w:i w:val="false"/>
          <w:color w:val="000000"/>
          <w:sz w:val="28"/>
        </w:rPr>
        <w:t>
      3) предупреждает пациента о необходимости обращения к врачу, в случае возникновения повторных симптомов побочных действий.</w:t>
      </w:r>
    </w:p>
    <w:bookmarkEnd w:id="6211"/>
    <w:bookmarkStart w:name="z6376" w:id="6212"/>
    <w:p>
      <w:pPr>
        <w:spacing w:after="0"/>
        <w:ind w:left="0"/>
        <w:jc w:val="left"/>
      </w:pPr>
      <w:r>
        <w:rPr>
          <w:rFonts w:ascii="Times New Roman"/>
          <w:b/>
          <w:i w:val="false"/>
          <w:color w:val="000000"/>
        </w:rPr>
        <w:t xml:space="preserve"> Глава 6. Помещения и оборудование</w:t>
      </w:r>
    </w:p>
    <w:bookmarkEnd w:id="6212"/>
    <w:bookmarkStart w:name="z6377" w:id="6213"/>
    <w:p>
      <w:pPr>
        <w:spacing w:after="0"/>
        <w:ind w:left="0"/>
        <w:jc w:val="both"/>
      </w:pPr>
      <w:r>
        <w:rPr>
          <w:rFonts w:ascii="Times New Roman"/>
          <w:b w:val="false"/>
          <w:i w:val="false"/>
          <w:color w:val="000000"/>
          <w:sz w:val="28"/>
        </w:rPr>
        <w:t>
      28. Аптечные организации подразделяются на:</w:t>
      </w:r>
    </w:p>
    <w:bookmarkEnd w:id="6213"/>
    <w:bookmarkStart w:name="z6378" w:id="6214"/>
    <w:p>
      <w:pPr>
        <w:spacing w:after="0"/>
        <w:ind w:left="0"/>
        <w:jc w:val="both"/>
      </w:pPr>
      <w:r>
        <w:rPr>
          <w:rFonts w:ascii="Times New Roman"/>
          <w:b w:val="false"/>
          <w:i w:val="false"/>
          <w:color w:val="000000"/>
          <w:sz w:val="28"/>
        </w:rPr>
        <w:t>
      1) аптеку с правом изготовления лекарственных форм по рецептам врачей, по требованиям или заявкам медицинских организаций, организаций просвещения и социального обеспечения, стандартным прописям, внутриаптечной заготовки в соответствии с утвержденными прописями, фасовки лекарственных средств и лекарственного растительного сырья, с приобретением лекарственных субстанций, хранением, контролем качества, оформлением и реализацией изготовленных лекарственных препаратов, в том числе гомеопатических препаратов, медицинских изделий, других товаров аптечного ассортимента населению и не относящихся к лекарственным средствам, медицинским изделиям в соответствии с перечнем, утверждаемым уполномоченным органом;</w:t>
      </w:r>
    </w:p>
    <w:bookmarkEnd w:id="6214"/>
    <w:bookmarkStart w:name="z6379" w:id="6215"/>
    <w:p>
      <w:pPr>
        <w:spacing w:after="0"/>
        <w:ind w:left="0"/>
        <w:jc w:val="both"/>
      </w:pPr>
      <w:r>
        <w:rPr>
          <w:rFonts w:ascii="Times New Roman"/>
          <w:b w:val="false"/>
          <w:i w:val="false"/>
          <w:color w:val="000000"/>
          <w:sz w:val="28"/>
        </w:rPr>
        <w:t>
      2) аптеку готовых лекарственных препаратов, без права изготовления лекарственных препаратов, осуществляющую реализацию населению готовых лекарственных препаратов, в том числе гомеопатических препаратов, медицинских изделий,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w:t>
      </w:r>
    </w:p>
    <w:bookmarkEnd w:id="6215"/>
    <w:bookmarkStart w:name="z6380" w:id="6216"/>
    <w:p>
      <w:pPr>
        <w:spacing w:after="0"/>
        <w:ind w:left="0"/>
        <w:jc w:val="both"/>
      </w:pPr>
      <w:r>
        <w:rPr>
          <w:rFonts w:ascii="Times New Roman"/>
          <w:b w:val="false"/>
          <w:i w:val="false"/>
          <w:color w:val="000000"/>
          <w:sz w:val="28"/>
        </w:rPr>
        <w:t>
      3) аптеку медицинской организации (больничная, межбольничная) с правом изготовления лекарственных препаратов и обеспечения лекарственными средствами.</w:t>
      </w:r>
    </w:p>
    <w:bookmarkEnd w:id="6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84" w:id="6217"/>
    <w:p>
      <w:pPr>
        <w:spacing w:after="0"/>
        <w:ind w:left="0"/>
        <w:jc w:val="both"/>
      </w:pPr>
      <w:r>
        <w:rPr>
          <w:rFonts w:ascii="Times New Roman"/>
          <w:b w:val="false"/>
          <w:i w:val="false"/>
          <w:color w:val="000000"/>
          <w:sz w:val="28"/>
        </w:rPr>
        <w:t>
      30. Аптека с правом изготовления имеет в своей структуре следующие отделы:</w:t>
      </w:r>
    </w:p>
    <w:bookmarkEnd w:id="6217"/>
    <w:bookmarkStart w:name="z6385" w:id="6218"/>
    <w:p>
      <w:pPr>
        <w:spacing w:after="0"/>
        <w:ind w:left="0"/>
        <w:jc w:val="both"/>
      </w:pPr>
      <w:r>
        <w:rPr>
          <w:rFonts w:ascii="Times New Roman"/>
          <w:b w:val="false"/>
          <w:i w:val="false"/>
          <w:color w:val="000000"/>
          <w:sz w:val="28"/>
        </w:rPr>
        <w:t>
      1) отдел рецептурно-производственный;</w:t>
      </w:r>
    </w:p>
    <w:bookmarkEnd w:id="6218"/>
    <w:bookmarkStart w:name="z6386" w:id="6219"/>
    <w:p>
      <w:pPr>
        <w:spacing w:after="0"/>
        <w:ind w:left="0"/>
        <w:jc w:val="both"/>
      </w:pPr>
      <w:r>
        <w:rPr>
          <w:rFonts w:ascii="Times New Roman"/>
          <w:b w:val="false"/>
          <w:i w:val="false"/>
          <w:color w:val="000000"/>
          <w:sz w:val="28"/>
        </w:rPr>
        <w:t>
      2) отдел реализации лекарственных препаратов, отпускаемых по рецептам врача;</w:t>
      </w:r>
    </w:p>
    <w:bookmarkEnd w:id="6219"/>
    <w:bookmarkStart w:name="z6387" w:id="6220"/>
    <w:p>
      <w:pPr>
        <w:spacing w:after="0"/>
        <w:ind w:left="0"/>
        <w:jc w:val="both"/>
      </w:pPr>
      <w:r>
        <w:rPr>
          <w:rFonts w:ascii="Times New Roman"/>
          <w:b w:val="false"/>
          <w:i w:val="false"/>
          <w:color w:val="000000"/>
          <w:sz w:val="28"/>
        </w:rPr>
        <w:t>
      3) отдел реализации медицинских изделий и товаров аптечного ассортимента разрешенных к отпуску из аптеки.</w:t>
      </w:r>
    </w:p>
    <w:bookmarkEnd w:id="6220"/>
    <w:bookmarkStart w:name="z6388" w:id="6221"/>
    <w:p>
      <w:pPr>
        <w:spacing w:after="0"/>
        <w:ind w:left="0"/>
        <w:jc w:val="both"/>
      </w:pPr>
      <w:r>
        <w:rPr>
          <w:rFonts w:ascii="Times New Roman"/>
          <w:b w:val="false"/>
          <w:i w:val="false"/>
          <w:color w:val="000000"/>
          <w:sz w:val="28"/>
        </w:rPr>
        <w:t>
      31. Аптечная организация располагает необходимыми помещениями, оборудованием и инвентарем, обеспечивающими сохранность качества и безопасности лекарственных средств, медицинских изделий при их хранении и реализации.</w:t>
      </w:r>
    </w:p>
    <w:bookmarkEnd w:id="6221"/>
    <w:bookmarkStart w:name="z6389" w:id="6222"/>
    <w:p>
      <w:pPr>
        <w:spacing w:after="0"/>
        <w:ind w:left="0"/>
        <w:jc w:val="both"/>
      </w:pPr>
      <w:r>
        <w:rPr>
          <w:rFonts w:ascii="Times New Roman"/>
          <w:b w:val="false"/>
          <w:i w:val="false"/>
          <w:color w:val="000000"/>
          <w:sz w:val="28"/>
        </w:rPr>
        <w:t>
      32. Все помещения аптечной организации располагаются в здании (строении) и функционально объединены в единый блок, изолированный от других организаций с отдельным входом (выходом).</w:t>
      </w:r>
    </w:p>
    <w:bookmarkEnd w:id="6222"/>
    <w:bookmarkStart w:name="z6390" w:id="6223"/>
    <w:p>
      <w:pPr>
        <w:spacing w:after="0"/>
        <w:ind w:left="0"/>
        <w:jc w:val="both"/>
      </w:pPr>
      <w:r>
        <w:rPr>
          <w:rFonts w:ascii="Times New Roman"/>
          <w:b w:val="false"/>
          <w:i w:val="false"/>
          <w:color w:val="000000"/>
          <w:sz w:val="28"/>
        </w:rPr>
        <w:t>
      Аптечная организация предусматривает возможность входа (выхода) людям с нарушениями функций опорно-двигательного аппарата, при невозможности установления пандуса и (или) подъемного лифта допускается размещение кнопки вызова.</w:t>
      </w:r>
    </w:p>
    <w:bookmarkEnd w:id="6223"/>
    <w:bookmarkStart w:name="z6391" w:id="6224"/>
    <w:p>
      <w:pPr>
        <w:spacing w:after="0"/>
        <w:ind w:left="0"/>
        <w:jc w:val="both"/>
      </w:pPr>
      <w:r>
        <w:rPr>
          <w:rFonts w:ascii="Times New Roman"/>
          <w:b w:val="false"/>
          <w:i w:val="false"/>
          <w:color w:val="000000"/>
          <w:sz w:val="28"/>
        </w:rPr>
        <w:t>
      33. На площадях аптечных организаций не допускается размещение подразделений, функционально не связанных с указанными в лицензиях видами деятельности.</w:t>
      </w:r>
    </w:p>
    <w:bookmarkEnd w:id="6224"/>
    <w:bookmarkStart w:name="z6392" w:id="6225"/>
    <w:p>
      <w:pPr>
        <w:spacing w:after="0"/>
        <w:ind w:left="0"/>
        <w:jc w:val="both"/>
      </w:pPr>
      <w:r>
        <w:rPr>
          <w:rFonts w:ascii="Times New Roman"/>
          <w:b w:val="false"/>
          <w:i w:val="false"/>
          <w:color w:val="000000"/>
          <w:sz w:val="28"/>
        </w:rPr>
        <w:t>
      34. Аптечная организация имеет вывеску с указанием вида аптечной организации (в соответствии с лицензией на фармацевтическую деятельность) на казахском и русском языках, указанием организационно-правовой формы (в соответствии с правоустанавливающими документами), фирменного наименования организации.</w:t>
      </w:r>
    </w:p>
    <w:bookmarkEnd w:id="6225"/>
    <w:bookmarkStart w:name="z6393" w:id="6226"/>
    <w:p>
      <w:pPr>
        <w:spacing w:after="0"/>
        <w:ind w:left="0"/>
        <w:jc w:val="both"/>
      </w:pPr>
      <w:r>
        <w:rPr>
          <w:rFonts w:ascii="Times New Roman"/>
          <w:b w:val="false"/>
          <w:i w:val="false"/>
          <w:color w:val="000000"/>
          <w:sz w:val="28"/>
        </w:rPr>
        <w:t>
      35. Состав, размеры помещений и оборудование аптечной организации соответствуют объему и характеру осуществляемой фармацевтической деятельности, и действующим нормативам, обеспечивающим качество и безопасность лекарственных средств и товаров аптечного ассортимента.</w:t>
      </w:r>
    </w:p>
    <w:bookmarkEnd w:id="6226"/>
    <w:bookmarkStart w:name="z6394" w:id="6227"/>
    <w:p>
      <w:pPr>
        <w:spacing w:after="0"/>
        <w:ind w:left="0"/>
        <w:jc w:val="both"/>
      </w:pPr>
      <w:r>
        <w:rPr>
          <w:rFonts w:ascii="Times New Roman"/>
          <w:b w:val="false"/>
          <w:i w:val="false"/>
          <w:color w:val="000000"/>
          <w:sz w:val="28"/>
        </w:rPr>
        <w:t>
      36. Аптечные организации имеют системы электроснабжения, отопления, водоснабжения, кондиционирования, вентиляции, канализации в соответствии с требованиями санитарных норм и правил.</w:t>
      </w:r>
    </w:p>
    <w:bookmarkEnd w:id="6227"/>
    <w:bookmarkStart w:name="z6395" w:id="6228"/>
    <w:p>
      <w:pPr>
        <w:spacing w:after="0"/>
        <w:ind w:left="0"/>
        <w:jc w:val="both"/>
      </w:pPr>
      <w:r>
        <w:rPr>
          <w:rFonts w:ascii="Times New Roman"/>
          <w:b w:val="false"/>
          <w:i w:val="false"/>
          <w:color w:val="000000"/>
          <w:sz w:val="28"/>
        </w:rPr>
        <w:t>
      37. Общая площадь административно-бытовых помещений аптечных организаций зависит от численности персонала и соответствует действующим нормам и правилам.</w:t>
      </w:r>
    </w:p>
    <w:bookmarkEnd w:id="6228"/>
    <w:bookmarkStart w:name="z6396" w:id="6229"/>
    <w:p>
      <w:pPr>
        <w:spacing w:after="0"/>
        <w:ind w:left="0"/>
        <w:jc w:val="both"/>
      </w:pPr>
      <w:r>
        <w:rPr>
          <w:rFonts w:ascii="Times New Roman"/>
          <w:b w:val="false"/>
          <w:i w:val="false"/>
          <w:color w:val="000000"/>
          <w:sz w:val="28"/>
        </w:rPr>
        <w:t>
      38. Все приборы, аппараты, используемые в аптечной организации, имеют технические паспорта, хранящиеся в течение всего времени эксплуатации. Поверка приборов, аппаратов проводится в соответствии с пунктом 5 статьи 19 Закона Республики Казахстан от 7 июня 2000 года "Об обеспечении единства измерений". Инструкции по эксплуатации и очистке составляются на основании данных паспортов.</w:t>
      </w:r>
    </w:p>
    <w:bookmarkEnd w:id="6229"/>
    <w:bookmarkStart w:name="z6397" w:id="6230"/>
    <w:p>
      <w:pPr>
        <w:spacing w:after="0"/>
        <w:ind w:left="0"/>
        <w:jc w:val="both"/>
      </w:pPr>
      <w:r>
        <w:rPr>
          <w:rFonts w:ascii="Times New Roman"/>
          <w:b w:val="false"/>
          <w:i w:val="false"/>
          <w:color w:val="000000"/>
          <w:sz w:val="28"/>
        </w:rPr>
        <w:t>
      39. В помещениях хранения, в том числе в холодильной комнате (камере) поддерживается температура и влажность, с предварительно проведенным тестированием зон температурных колебаний (зоны в непосредственной близости от системы охлаждения или потоков холодного воздуха), с оформлением документов по его результатам.</w:t>
      </w:r>
    </w:p>
    <w:bookmarkEnd w:id="6230"/>
    <w:p>
      <w:pPr>
        <w:spacing w:after="0"/>
        <w:ind w:left="0"/>
        <w:jc w:val="both"/>
      </w:pPr>
      <w:r>
        <w:rPr>
          <w:rFonts w:ascii="Times New Roman"/>
          <w:b w:val="false"/>
          <w:i w:val="false"/>
          <w:color w:val="000000"/>
          <w:sz w:val="28"/>
        </w:rPr>
        <w:t xml:space="preserve">
      Оборудование, используемое для контроля или мониторинга условий хранения лекарственных средств (средства измерения), калибруется (поверяется)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(зарегистрирован в Реестре государственной регистрации нормативных правовых актов под № 18094).</w:t>
      </w:r>
    </w:p>
    <w:p>
      <w:pPr>
        <w:spacing w:after="0"/>
        <w:ind w:left="0"/>
        <w:jc w:val="both"/>
      </w:pPr>
      <w:r>
        <w:rPr>
          <w:rFonts w:ascii="Times New Roman"/>
          <w:b w:val="false"/>
          <w:i w:val="false"/>
          <w:color w:val="000000"/>
          <w:sz w:val="28"/>
        </w:rPr>
        <w:t>
      Поверка, калибровка, ремонт оборудования, используемого для контроля или мониторинга условий хранения лекарственных средств осуществляется в целях сохранения качества лекарственных средств и исключения негативного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8" w:id="6231"/>
    <w:p>
      <w:pPr>
        <w:spacing w:after="0"/>
        <w:ind w:left="0"/>
        <w:jc w:val="left"/>
      </w:pPr>
      <w:r>
        <w:rPr>
          <w:rFonts w:ascii="Times New Roman"/>
          <w:b/>
          <w:i w:val="false"/>
          <w:color w:val="000000"/>
        </w:rPr>
        <w:t xml:space="preserve"> Параграф 1. Прием, хранение и реализация</w:t>
      </w:r>
    </w:p>
    <w:bookmarkEnd w:id="6231"/>
    <w:bookmarkStart w:name="z6399" w:id="6232"/>
    <w:p>
      <w:pPr>
        <w:spacing w:after="0"/>
        <w:ind w:left="0"/>
        <w:jc w:val="both"/>
      </w:pPr>
      <w:r>
        <w:rPr>
          <w:rFonts w:ascii="Times New Roman"/>
          <w:b w:val="false"/>
          <w:i w:val="false"/>
          <w:color w:val="000000"/>
          <w:sz w:val="28"/>
        </w:rPr>
        <w:t>
      40. В аптечной организации предусматривается отдельное помещение или специально оборудованное рабочее место для приемки товара, обеспечивающее сохранение его качества, количества и не допускающее порчи и смешения с другой однородной продукцией.</w:t>
      </w:r>
    </w:p>
    <w:bookmarkEnd w:id="6232"/>
    <w:bookmarkStart w:name="z6400" w:id="6233"/>
    <w:p>
      <w:pPr>
        <w:spacing w:after="0"/>
        <w:ind w:left="0"/>
        <w:jc w:val="both"/>
      </w:pPr>
      <w:r>
        <w:rPr>
          <w:rFonts w:ascii="Times New Roman"/>
          <w:b w:val="false"/>
          <w:i w:val="false"/>
          <w:color w:val="000000"/>
          <w:sz w:val="28"/>
        </w:rPr>
        <w:t xml:space="preserve">
      41. Аптечная организация получает лекарственные средства и медицинские изделия из организации, имеющие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1" w:id="6234"/>
    <w:p>
      <w:pPr>
        <w:spacing w:after="0"/>
        <w:ind w:left="0"/>
        <w:jc w:val="both"/>
      </w:pPr>
      <w:r>
        <w:rPr>
          <w:rFonts w:ascii="Times New Roman"/>
          <w:b w:val="false"/>
          <w:i w:val="false"/>
          <w:color w:val="000000"/>
          <w:sz w:val="28"/>
        </w:rPr>
        <w:t>
      42. Приемка лекарственных средств, медицинских изделий и товаров аптечного ассортимента производится по количеству, качеству, комплектности, целостности тары, упаковки, наличия маркировки, наличие инструкции по медицинскому применению лекарственного средства, медицинского изделия на казахском и русском языках, и включает следующие этапы:</w:t>
      </w:r>
    </w:p>
    <w:bookmarkEnd w:id="6234"/>
    <w:bookmarkStart w:name="z6402" w:id="6235"/>
    <w:p>
      <w:pPr>
        <w:spacing w:after="0"/>
        <w:ind w:left="0"/>
        <w:jc w:val="both"/>
      </w:pPr>
      <w:r>
        <w:rPr>
          <w:rFonts w:ascii="Times New Roman"/>
          <w:b w:val="false"/>
          <w:i w:val="false"/>
          <w:color w:val="000000"/>
          <w:sz w:val="28"/>
        </w:rPr>
        <w:t>
      1) проверка сопроводительной документации, характеризующей партию продукции (товаротранспортная накладная, счет-фактура, документ, подтверждающий качество продукции, санитарно-гигиеническое заключение);</w:t>
      </w:r>
    </w:p>
    <w:bookmarkEnd w:id="6235"/>
    <w:bookmarkStart w:name="z6403" w:id="6236"/>
    <w:p>
      <w:pPr>
        <w:spacing w:after="0"/>
        <w:ind w:left="0"/>
        <w:jc w:val="both"/>
      </w:pPr>
      <w:r>
        <w:rPr>
          <w:rFonts w:ascii="Times New Roman"/>
          <w:b w:val="false"/>
          <w:i w:val="false"/>
          <w:color w:val="000000"/>
          <w:sz w:val="28"/>
        </w:rPr>
        <w:t>
      2) проверка соответствия серии лекарственного средства с серией, указанной в сопроводительной документации;</w:t>
      </w:r>
    </w:p>
    <w:bookmarkEnd w:id="6236"/>
    <w:bookmarkStart w:name="z6404" w:id="6237"/>
    <w:p>
      <w:pPr>
        <w:spacing w:after="0"/>
        <w:ind w:left="0"/>
        <w:jc w:val="both"/>
      </w:pPr>
      <w:r>
        <w:rPr>
          <w:rFonts w:ascii="Times New Roman"/>
          <w:b w:val="false"/>
          <w:i w:val="false"/>
          <w:color w:val="000000"/>
          <w:sz w:val="28"/>
        </w:rPr>
        <w:t>
      3) визуальная проверка поступившей продукции (бой, брак);</w:t>
      </w:r>
    </w:p>
    <w:bookmarkEnd w:id="6237"/>
    <w:bookmarkStart w:name="z6405" w:id="6238"/>
    <w:p>
      <w:pPr>
        <w:spacing w:after="0"/>
        <w:ind w:left="0"/>
        <w:jc w:val="both"/>
      </w:pPr>
      <w:r>
        <w:rPr>
          <w:rFonts w:ascii="Times New Roman"/>
          <w:b w:val="false"/>
          <w:i w:val="false"/>
          <w:color w:val="000000"/>
          <w:sz w:val="28"/>
        </w:rPr>
        <w:t>
      4) проверка на соответствие маркировки и упаковки лекарственных средств, медицинских изделий в соответствии с правилами, утверждаемыми уполномоченным органом;</w:t>
      </w:r>
    </w:p>
    <w:bookmarkEnd w:id="6238"/>
    <w:bookmarkStart w:name="z6406" w:id="6239"/>
    <w:p>
      <w:pPr>
        <w:spacing w:after="0"/>
        <w:ind w:left="0"/>
        <w:jc w:val="both"/>
      </w:pPr>
      <w:r>
        <w:rPr>
          <w:rFonts w:ascii="Times New Roman"/>
          <w:b w:val="false"/>
          <w:i w:val="false"/>
          <w:color w:val="000000"/>
          <w:sz w:val="28"/>
        </w:rPr>
        <w:t>
      5) проверка соблюдения условий транспортировки.</w:t>
      </w:r>
    </w:p>
    <w:bookmarkEnd w:id="6239"/>
    <w:bookmarkStart w:name="z6407" w:id="6240"/>
    <w:p>
      <w:pPr>
        <w:spacing w:after="0"/>
        <w:ind w:left="0"/>
        <w:jc w:val="both"/>
      </w:pPr>
      <w:r>
        <w:rPr>
          <w:rFonts w:ascii="Times New Roman"/>
          <w:b w:val="false"/>
          <w:i w:val="false"/>
          <w:color w:val="000000"/>
          <w:sz w:val="28"/>
        </w:rPr>
        <w:t>
      43. При приемке медицинских изделий в сопроводительном документе на каждое наименование сверяют модель (марку, модификацию), партию (серию) сведения, необходимые для идентификации медицинского изделия, указанные оптовым поставщиком в сопроводительных документах.</w:t>
      </w:r>
    </w:p>
    <w:bookmarkEnd w:id="6240"/>
    <w:bookmarkStart w:name="z6408" w:id="6241"/>
    <w:p>
      <w:pPr>
        <w:spacing w:after="0"/>
        <w:ind w:left="0"/>
        <w:jc w:val="both"/>
      </w:pPr>
      <w:r>
        <w:rPr>
          <w:rFonts w:ascii="Times New Roman"/>
          <w:b w:val="false"/>
          <w:i w:val="false"/>
          <w:color w:val="000000"/>
          <w:sz w:val="28"/>
        </w:rPr>
        <w:t>
      44. Медицинские изделия поступают в обращение с маркировкой, нанесенной непосредственно на медицинское изделие, и (или) на потребительскую упаковку, и с инструкцией по медицинскому применению на медицинское изделие или эксплуатационным документом на казахском и русском языках.</w:t>
      </w:r>
    </w:p>
    <w:bookmarkEnd w:id="6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9" w:id="6242"/>
    <w:p>
      <w:pPr>
        <w:spacing w:after="0"/>
        <w:ind w:left="0"/>
        <w:jc w:val="both"/>
      </w:pPr>
      <w:r>
        <w:rPr>
          <w:rFonts w:ascii="Times New Roman"/>
          <w:b w:val="false"/>
          <w:i w:val="false"/>
          <w:color w:val="000000"/>
          <w:sz w:val="28"/>
        </w:rPr>
        <w:t>
      45. Результаты приема продукции документируются.</w:t>
      </w:r>
    </w:p>
    <w:bookmarkEnd w:id="6242"/>
    <w:bookmarkStart w:name="z6410" w:id="6243"/>
    <w:p>
      <w:pPr>
        <w:spacing w:after="0"/>
        <w:ind w:left="0"/>
        <w:jc w:val="both"/>
      </w:pPr>
      <w:r>
        <w:rPr>
          <w:rFonts w:ascii="Times New Roman"/>
          <w:b w:val="false"/>
          <w:i w:val="false"/>
          <w:color w:val="000000"/>
          <w:sz w:val="28"/>
        </w:rPr>
        <w:t>
      46. В случае сомнения в качестве лекарственных средств, несоответствия серий, указанных в сопроводительных документах, несоответствия комплектности, упаковки, маркировки или недостачи по количеству, ответственное лицо за приемку продукции составляет претензию оптовой организации в соответствии с законодательством Республики Казахстан.</w:t>
      </w:r>
    </w:p>
    <w:bookmarkEnd w:id="6243"/>
    <w:bookmarkStart w:name="z6411" w:id="6244"/>
    <w:p>
      <w:pPr>
        <w:spacing w:after="0"/>
        <w:ind w:left="0"/>
        <w:jc w:val="both"/>
      </w:pPr>
      <w:r>
        <w:rPr>
          <w:rFonts w:ascii="Times New Roman"/>
          <w:b w:val="false"/>
          <w:i w:val="false"/>
          <w:color w:val="000000"/>
          <w:sz w:val="28"/>
        </w:rPr>
        <w:t>
      47. Не подлежат приемке лекарственные средства, медицинские изделия и товары аптечного ассортимента, с истекшим сроком годности, а также не соответствующие установленным требованиям к их качеству.</w:t>
      </w:r>
    </w:p>
    <w:bookmarkEnd w:id="6244"/>
    <w:bookmarkStart w:name="z6412" w:id="6245"/>
    <w:p>
      <w:pPr>
        <w:spacing w:after="0"/>
        <w:ind w:left="0"/>
        <w:jc w:val="both"/>
      </w:pPr>
      <w:r>
        <w:rPr>
          <w:rFonts w:ascii="Times New Roman"/>
          <w:b w:val="false"/>
          <w:i w:val="false"/>
          <w:color w:val="000000"/>
          <w:sz w:val="28"/>
        </w:rPr>
        <w:t xml:space="preserve">
      48. Лекарственные средства, медицинские изделия, не прошедшие процедуру приема (при повреждении упаковки, не имеющие документа, подтверждающего качество, и (или) необходимой сопроводительной документации) соответствующим образом промаркировываются и размещаются отдельно от других лекарственных средств до их идентификации, возврата поставщику или уничтожению согласно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27 октября 2020 года № ҚР ДСМ-155/2020 "Об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(зарегистрирован в Реестре государственной регистрации нормативных правовых актов под № 21533).</w:t>
      </w:r>
    </w:p>
    <w:bookmarkEnd w:id="6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3" w:id="6246"/>
    <w:p>
      <w:pPr>
        <w:spacing w:after="0"/>
        <w:ind w:left="0"/>
        <w:jc w:val="both"/>
      </w:pPr>
      <w:r>
        <w:rPr>
          <w:rFonts w:ascii="Times New Roman"/>
          <w:b w:val="false"/>
          <w:i w:val="false"/>
          <w:color w:val="000000"/>
          <w:sz w:val="28"/>
        </w:rPr>
        <w:t>
      49. После проведения процедуры приемки, продукция приходуется и разрешается к реализации.</w:t>
      </w:r>
    </w:p>
    <w:bookmarkEnd w:id="6246"/>
    <w:bookmarkStart w:name="z6414" w:id="6247"/>
    <w:p>
      <w:pPr>
        <w:spacing w:after="0"/>
        <w:ind w:left="0"/>
        <w:jc w:val="both"/>
      </w:pPr>
      <w:r>
        <w:rPr>
          <w:rFonts w:ascii="Times New Roman"/>
          <w:b w:val="false"/>
          <w:i w:val="false"/>
          <w:color w:val="000000"/>
          <w:sz w:val="28"/>
        </w:rPr>
        <w:t>
      50. Лекарственные средства, медицинские изделия, товары аптечного ассортимента и не относящиеся к лекарственным средствам, медицинским изделиям в соответствии с перечнем, утверждаемым уполномоченным органом, хранятся в условиях, обеспечивающих сохранение их безопасности и качества.</w:t>
      </w:r>
    </w:p>
    <w:bookmarkEnd w:id="6247"/>
    <w:bookmarkStart w:name="z6415" w:id="6248"/>
    <w:p>
      <w:pPr>
        <w:spacing w:after="0"/>
        <w:ind w:left="0"/>
        <w:jc w:val="both"/>
      </w:pPr>
      <w:r>
        <w:rPr>
          <w:rFonts w:ascii="Times New Roman"/>
          <w:b w:val="false"/>
          <w:i w:val="false"/>
          <w:color w:val="000000"/>
          <w:sz w:val="28"/>
        </w:rPr>
        <w:t>
      51. В аптечной организации предусматриваются меры по исключению случаев хищения, повреждения (разливания, рассыпания, боя) и их контаминации.</w:t>
      </w:r>
    </w:p>
    <w:bookmarkEnd w:id="6248"/>
    <w:bookmarkStart w:name="z6416" w:id="6249"/>
    <w:p>
      <w:pPr>
        <w:spacing w:after="0"/>
        <w:ind w:left="0"/>
        <w:jc w:val="both"/>
      </w:pPr>
      <w:r>
        <w:rPr>
          <w:rFonts w:ascii="Times New Roman"/>
          <w:b w:val="false"/>
          <w:i w:val="false"/>
          <w:color w:val="000000"/>
          <w:sz w:val="28"/>
        </w:rPr>
        <w:t>
      52. При отпуске лекарственного препарата по рецепту врача фармацевт проводит оценку его соответствия установленным требованиям выписывания.</w:t>
      </w:r>
    </w:p>
    <w:bookmarkEnd w:id="6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7" w:id="6250"/>
    <w:p>
      <w:pPr>
        <w:spacing w:after="0"/>
        <w:ind w:left="0"/>
        <w:jc w:val="both"/>
      </w:pPr>
      <w:r>
        <w:rPr>
          <w:rFonts w:ascii="Times New Roman"/>
          <w:b w:val="false"/>
          <w:i w:val="false"/>
          <w:color w:val="000000"/>
          <w:sz w:val="28"/>
        </w:rPr>
        <w:t>
      53. Замена, выписанного в рецепте лекарственного средства на его аналог (генерическую форму), производится с согласия пациента и (или) по согласованию с врачом, при этом на обороте рецепта указывается торговое наименование отпущенного лекарственного средства, ставится подпись и дата отпуска.</w:t>
      </w:r>
    </w:p>
    <w:bookmarkEnd w:id="6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8" w:id="6251"/>
    <w:p>
      <w:pPr>
        <w:spacing w:after="0"/>
        <w:ind w:left="0"/>
        <w:jc w:val="both"/>
      </w:pPr>
      <w:r>
        <w:rPr>
          <w:rFonts w:ascii="Times New Roman"/>
          <w:b w:val="false"/>
          <w:i w:val="false"/>
          <w:color w:val="000000"/>
          <w:sz w:val="28"/>
        </w:rPr>
        <w:t>
      54. Аптечные организации отпускают лекарственные средства только в готовом для употребления виде и количествах, необходимых для выполнения врачебных назначений.</w:t>
      </w:r>
    </w:p>
    <w:bookmarkEnd w:id="6251"/>
    <w:bookmarkStart w:name="z6419" w:id="6252"/>
    <w:p>
      <w:pPr>
        <w:spacing w:after="0"/>
        <w:ind w:left="0"/>
        <w:jc w:val="both"/>
      </w:pPr>
      <w:r>
        <w:rPr>
          <w:rFonts w:ascii="Times New Roman"/>
          <w:b w:val="false"/>
          <w:i w:val="false"/>
          <w:color w:val="000000"/>
          <w:sz w:val="28"/>
        </w:rPr>
        <w:t>
      55. Лекарственное средство отпускается в оригинальной заводской или аптечной упаковке. При необходимости допускается нарушение оригинальной заводской упаковки, за исключением блистерной, с обязательным указанием на аптечной упаковке наименования лекарства, количества, дозировки, серии, срока годности препарата, способа применения, мер предосторожности.</w:t>
      </w:r>
    </w:p>
    <w:bookmarkEnd w:id="6252"/>
    <w:bookmarkStart w:name="z6420" w:id="6253"/>
    <w:p>
      <w:pPr>
        <w:spacing w:after="0"/>
        <w:ind w:left="0"/>
        <w:jc w:val="both"/>
      </w:pPr>
      <w:r>
        <w:rPr>
          <w:rFonts w:ascii="Times New Roman"/>
          <w:b w:val="false"/>
          <w:i w:val="false"/>
          <w:color w:val="000000"/>
          <w:sz w:val="28"/>
        </w:rPr>
        <w:t>
      56. Аптечные организации не принимают от физических лиц лекарственные средства, приобретенные ими ранее.</w:t>
      </w:r>
    </w:p>
    <w:bookmarkEnd w:id="6253"/>
    <w:bookmarkStart w:name="z6421" w:id="6254"/>
    <w:p>
      <w:pPr>
        <w:spacing w:after="0"/>
        <w:ind w:left="0"/>
        <w:jc w:val="both"/>
      </w:pPr>
      <w:r>
        <w:rPr>
          <w:rFonts w:ascii="Times New Roman"/>
          <w:b w:val="false"/>
          <w:i w:val="false"/>
          <w:color w:val="000000"/>
          <w:sz w:val="28"/>
        </w:rPr>
        <w:t>
      57. Реализуемые из аптечных организаций лекарственные средства, медицинские изделия имеют инструкцию по применению (аннотацию-вкладыш) на казахском и русском языках, утвержденную государственным органом, реализуемые средства измерений медицинских изделий имеют сведения об их поверке, в виде оттиска клейма или сертификатов (свидетельств) о поверке.</w:t>
      </w:r>
    </w:p>
    <w:bookmarkEnd w:id="6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3" w:id="6255"/>
    <w:p>
      <w:pPr>
        <w:spacing w:after="0"/>
        <w:ind w:left="0"/>
        <w:jc w:val="both"/>
      </w:pPr>
      <w:r>
        <w:rPr>
          <w:rFonts w:ascii="Times New Roman"/>
          <w:b w:val="false"/>
          <w:i w:val="false"/>
          <w:color w:val="000000"/>
          <w:sz w:val="28"/>
        </w:rPr>
        <w:t>
      59. При отпуске лекарственных препаратов фармацевт информирует пациента о правилах приема лекарственного препарата: режиме приема, разовой и суточной дозе, способе приема (с учетом приема пищи и пр.), правилах хранения, обращает внимание пациента на необходимость внимательного ознакомления с инструкцией по его применению. При отпуске средств измерений медицинских изделий фармацевт информирует пациента о правилах применения. Ответы специалиста являются аргументированными, грамотными, с соблюдением требований профессиональной этики.</w:t>
      </w:r>
    </w:p>
    <w:bookmarkEnd w:id="6255"/>
    <w:bookmarkStart w:name="z6424" w:id="6256"/>
    <w:p>
      <w:pPr>
        <w:spacing w:after="0"/>
        <w:ind w:left="0"/>
        <w:jc w:val="left"/>
      </w:pPr>
      <w:r>
        <w:rPr>
          <w:rFonts w:ascii="Times New Roman"/>
          <w:b/>
          <w:i w:val="false"/>
          <w:color w:val="000000"/>
        </w:rPr>
        <w:t xml:space="preserve"> Глава 7. Персонал</w:t>
      </w:r>
    </w:p>
    <w:bookmarkEnd w:id="6256"/>
    <w:bookmarkStart w:name="z6425" w:id="6257"/>
    <w:p>
      <w:pPr>
        <w:spacing w:after="0"/>
        <w:ind w:left="0"/>
        <w:jc w:val="both"/>
      </w:pPr>
      <w:r>
        <w:rPr>
          <w:rFonts w:ascii="Times New Roman"/>
          <w:b w:val="false"/>
          <w:i w:val="false"/>
          <w:color w:val="000000"/>
          <w:sz w:val="28"/>
        </w:rPr>
        <w:t>
      60. Для выполнения основных функций штат аптечной организации укомплектован достаточным количеством квалифицированного персонала, способного решать профессиональные задачи в соответствии со своими должностными обязанностями, в случае применения приборов назначается ответственное лицо за состояние средств измерений.</w:t>
      </w:r>
    </w:p>
    <w:bookmarkEnd w:id="6257"/>
    <w:bookmarkStart w:name="z6426" w:id="6258"/>
    <w:p>
      <w:pPr>
        <w:spacing w:after="0"/>
        <w:ind w:left="0"/>
        <w:jc w:val="both"/>
      </w:pPr>
      <w:r>
        <w:rPr>
          <w:rFonts w:ascii="Times New Roman"/>
          <w:b w:val="false"/>
          <w:i w:val="false"/>
          <w:color w:val="000000"/>
          <w:sz w:val="28"/>
        </w:rPr>
        <w:t>
      Персонал аптечной организации соответствует квалификационным требованиям в соответствии с требованиями Закона.</w:t>
      </w:r>
    </w:p>
    <w:bookmarkEnd w:id="6258"/>
    <w:bookmarkStart w:name="z6427" w:id="6259"/>
    <w:p>
      <w:pPr>
        <w:spacing w:after="0"/>
        <w:ind w:left="0"/>
        <w:jc w:val="both"/>
      </w:pPr>
      <w:r>
        <w:rPr>
          <w:rFonts w:ascii="Times New Roman"/>
          <w:b w:val="false"/>
          <w:i w:val="false"/>
          <w:color w:val="000000"/>
          <w:sz w:val="28"/>
        </w:rPr>
        <w:t>
      61. Ответственное лицо за качество лекарственных средств, изготовляемых в аптеке, поступающих из аптечного склада, с целью предупреждения поступления в аптечную организацию некачественных лекарственных средств и недопущения снижения их качества в процессе хранения, обработки и отпуска, проводит мероприятия по обеспечению качества лекарственных средств, которые заключаются в проведении предупредительных мероприятий, осуществлении приемочного контроля.</w:t>
      </w:r>
    </w:p>
    <w:bookmarkEnd w:id="6259"/>
    <w:bookmarkStart w:name="z6428" w:id="6260"/>
    <w:p>
      <w:pPr>
        <w:spacing w:after="0"/>
        <w:ind w:left="0"/>
        <w:jc w:val="both"/>
      </w:pPr>
      <w:r>
        <w:rPr>
          <w:rFonts w:ascii="Times New Roman"/>
          <w:b w:val="false"/>
          <w:i w:val="false"/>
          <w:color w:val="000000"/>
          <w:sz w:val="28"/>
        </w:rPr>
        <w:t>
      62. В своей производственной деятельности специалист аптечной организации руководствуется действующими нормативными правовыми актами в области здравоохранения, правилами внутреннего трудового распорядка, требованиями санитарии и гигиены, охраны труда, техники безопасности, должностными инструкциями, настоящим Стандартом.</w:t>
      </w:r>
    </w:p>
    <w:bookmarkEnd w:id="6260"/>
    <w:bookmarkStart w:name="z6429" w:id="6261"/>
    <w:p>
      <w:pPr>
        <w:spacing w:after="0"/>
        <w:ind w:left="0"/>
        <w:jc w:val="both"/>
      </w:pPr>
      <w:r>
        <w:rPr>
          <w:rFonts w:ascii="Times New Roman"/>
          <w:b w:val="false"/>
          <w:i w:val="false"/>
          <w:color w:val="000000"/>
          <w:sz w:val="28"/>
        </w:rPr>
        <w:t>
      63. Все сотрудники знают и выполняют принципы и требования Стандарта, проходят последующее повышение квалификации.</w:t>
      </w:r>
    </w:p>
    <w:bookmarkEnd w:id="6261"/>
    <w:bookmarkStart w:name="z6430" w:id="6262"/>
    <w:p>
      <w:pPr>
        <w:spacing w:after="0"/>
        <w:ind w:left="0"/>
        <w:jc w:val="both"/>
      </w:pPr>
      <w:r>
        <w:rPr>
          <w:rFonts w:ascii="Times New Roman"/>
          <w:b w:val="false"/>
          <w:i w:val="false"/>
          <w:color w:val="000000"/>
          <w:sz w:val="28"/>
        </w:rPr>
        <w:t>
      64. В процессе своей деятельности специалисты аптечной организации соблюдают нормы фармацевтической этики и деонтологии.</w:t>
      </w:r>
    </w:p>
    <w:bookmarkEnd w:id="6262"/>
    <w:bookmarkStart w:name="z6431" w:id="6263"/>
    <w:p>
      <w:pPr>
        <w:spacing w:after="0"/>
        <w:ind w:left="0"/>
        <w:jc w:val="both"/>
      </w:pPr>
      <w:r>
        <w:rPr>
          <w:rFonts w:ascii="Times New Roman"/>
          <w:b w:val="false"/>
          <w:i w:val="false"/>
          <w:color w:val="000000"/>
          <w:sz w:val="28"/>
        </w:rPr>
        <w:t>
      65. Все сотрудники обеспечиваются достаточным количеством санитарно-гигиенической и специальной одежды и обуви, проходят медицинское обследование в соответствии с установленным законодательством порядке.</w:t>
      </w:r>
    </w:p>
    <w:bookmarkEnd w:id="6263"/>
    <w:bookmarkStart w:name="z6432" w:id="6264"/>
    <w:p>
      <w:pPr>
        <w:spacing w:after="0"/>
        <w:ind w:left="0"/>
        <w:jc w:val="left"/>
      </w:pPr>
      <w:r>
        <w:rPr>
          <w:rFonts w:ascii="Times New Roman"/>
          <w:b/>
          <w:i w:val="false"/>
          <w:color w:val="000000"/>
        </w:rPr>
        <w:t xml:space="preserve"> Глава 8. Стандартные операционные процедуры</w:t>
      </w:r>
    </w:p>
    <w:bookmarkEnd w:id="6264"/>
    <w:bookmarkStart w:name="z6433" w:id="6265"/>
    <w:p>
      <w:pPr>
        <w:spacing w:after="0"/>
        <w:ind w:left="0"/>
        <w:jc w:val="both"/>
      </w:pPr>
      <w:r>
        <w:rPr>
          <w:rFonts w:ascii="Times New Roman"/>
          <w:b w:val="false"/>
          <w:i w:val="false"/>
          <w:color w:val="000000"/>
          <w:sz w:val="28"/>
        </w:rPr>
        <w:t>
      66. На все виды работ, влияющих на качество лекарственных средств, медицинских изделий, а также качество деятельности аптечной организации в целом, составляются СОП.</w:t>
      </w:r>
    </w:p>
    <w:bookmarkEnd w:id="6265"/>
    <w:bookmarkStart w:name="z6434" w:id="6266"/>
    <w:p>
      <w:pPr>
        <w:spacing w:after="0"/>
        <w:ind w:left="0"/>
        <w:jc w:val="both"/>
      </w:pPr>
      <w:r>
        <w:rPr>
          <w:rFonts w:ascii="Times New Roman"/>
          <w:b w:val="false"/>
          <w:i w:val="false"/>
          <w:color w:val="000000"/>
          <w:sz w:val="28"/>
        </w:rPr>
        <w:t>
      67. СОП разрабатывается на получение и проверку поставок продукции, безопасное хранение лекарственных средств, медицинских изделий и товаров аптечного ассортимента, очистку (обработку) оборудования и уборку помещений (включая борьбу с вредителями), регистрацию параметров условий хранения, применения и содержания применяемых средств измерений, ведение и хранение документов, в том числе документов учета лекарственных препаратов, заказов, возврата, проведение обучения персонала.</w:t>
      </w:r>
    </w:p>
    <w:bookmarkEnd w:id="6266"/>
    <w:bookmarkStart w:name="z6435" w:id="6267"/>
    <w:p>
      <w:pPr>
        <w:spacing w:after="0"/>
        <w:ind w:left="0"/>
        <w:jc w:val="both"/>
      </w:pPr>
      <w:r>
        <w:rPr>
          <w:rFonts w:ascii="Times New Roman"/>
          <w:b w:val="false"/>
          <w:i w:val="false"/>
          <w:color w:val="000000"/>
          <w:sz w:val="28"/>
        </w:rPr>
        <w:t>
      68. СОП датируются и подписываются лицом, ответственным (уполномоченным) за качество или заведующей аптекой и утверждены руководителем аптечной организации.</w:t>
      </w:r>
    </w:p>
    <w:bookmarkEnd w:id="6267"/>
    <w:bookmarkStart w:name="z6436" w:id="6268"/>
    <w:p>
      <w:pPr>
        <w:spacing w:after="0"/>
        <w:ind w:left="0"/>
        <w:jc w:val="left"/>
      </w:pPr>
      <w:r>
        <w:rPr>
          <w:rFonts w:ascii="Times New Roman"/>
          <w:b/>
          <w:i w:val="false"/>
          <w:color w:val="000000"/>
        </w:rPr>
        <w:t xml:space="preserve"> Глава 9. Документация</w:t>
      </w:r>
    </w:p>
    <w:bookmarkEnd w:id="6268"/>
    <w:bookmarkStart w:name="z6437" w:id="6269"/>
    <w:p>
      <w:pPr>
        <w:spacing w:after="0"/>
        <w:ind w:left="0"/>
        <w:jc w:val="both"/>
      </w:pPr>
      <w:r>
        <w:rPr>
          <w:rFonts w:ascii="Times New Roman"/>
          <w:b w:val="false"/>
          <w:i w:val="false"/>
          <w:color w:val="000000"/>
          <w:sz w:val="28"/>
        </w:rPr>
        <w:t>
      69. Форма и содержание документации, в зависимости от ее категории и вида, регламентируется руководителем организации.</w:t>
      </w:r>
    </w:p>
    <w:bookmarkEnd w:id="6269"/>
    <w:bookmarkStart w:name="z6438" w:id="6270"/>
    <w:p>
      <w:pPr>
        <w:spacing w:after="0"/>
        <w:ind w:left="0"/>
        <w:jc w:val="both"/>
      </w:pPr>
      <w:r>
        <w:rPr>
          <w:rFonts w:ascii="Times New Roman"/>
          <w:b w:val="false"/>
          <w:i w:val="false"/>
          <w:color w:val="000000"/>
          <w:sz w:val="28"/>
        </w:rPr>
        <w:t>
      70. Хранение документов осуществляется на бумажных и (или) на электронных (магнитных) носителях.</w:t>
      </w:r>
    </w:p>
    <w:bookmarkEnd w:id="6270"/>
    <w:bookmarkStart w:name="z6439" w:id="6271"/>
    <w:p>
      <w:pPr>
        <w:spacing w:after="0"/>
        <w:ind w:left="0"/>
        <w:jc w:val="both"/>
      </w:pPr>
      <w:r>
        <w:rPr>
          <w:rFonts w:ascii="Times New Roman"/>
          <w:b w:val="false"/>
          <w:i w:val="false"/>
          <w:color w:val="000000"/>
          <w:sz w:val="28"/>
        </w:rPr>
        <w:t>
      71. Система документации аптечной организации обеспечивает:</w:t>
      </w:r>
    </w:p>
    <w:bookmarkEnd w:id="6271"/>
    <w:bookmarkStart w:name="z6440" w:id="6272"/>
    <w:p>
      <w:pPr>
        <w:spacing w:after="0"/>
        <w:ind w:left="0"/>
        <w:jc w:val="both"/>
      </w:pPr>
      <w:r>
        <w:rPr>
          <w:rFonts w:ascii="Times New Roman"/>
          <w:b w:val="false"/>
          <w:i w:val="false"/>
          <w:color w:val="000000"/>
          <w:sz w:val="28"/>
        </w:rPr>
        <w:t>
      1) полную регламентацию выполняемых функций аптечной организации;</w:t>
      </w:r>
    </w:p>
    <w:bookmarkEnd w:id="6272"/>
    <w:bookmarkStart w:name="z6441" w:id="6273"/>
    <w:p>
      <w:pPr>
        <w:spacing w:after="0"/>
        <w:ind w:left="0"/>
        <w:jc w:val="both"/>
      </w:pPr>
      <w:r>
        <w:rPr>
          <w:rFonts w:ascii="Times New Roman"/>
          <w:b w:val="false"/>
          <w:i w:val="false"/>
          <w:color w:val="000000"/>
          <w:sz w:val="28"/>
        </w:rPr>
        <w:t>
      2) доступность к соответствующей документации сотрудниками;</w:t>
      </w:r>
    </w:p>
    <w:bookmarkEnd w:id="6273"/>
    <w:bookmarkStart w:name="z6442" w:id="6274"/>
    <w:p>
      <w:pPr>
        <w:spacing w:after="0"/>
        <w:ind w:left="0"/>
        <w:jc w:val="both"/>
      </w:pPr>
      <w:r>
        <w:rPr>
          <w:rFonts w:ascii="Times New Roman"/>
          <w:b w:val="false"/>
          <w:i w:val="false"/>
          <w:color w:val="000000"/>
          <w:sz w:val="28"/>
        </w:rPr>
        <w:t>
      3) однозначное толкование требований, изложенных в документах;</w:t>
      </w:r>
    </w:p>
    <w:bookmarkEnd w:id="6274"/>
    <w:bookmarkStart w:name="z6443" w:id="6275"/>
    <w:p>
      <w:pPr>
        <w:spacing w:after="0"/>
        <w:ind w:left="0"/>
        <w:jc w:val="both"/>
      </w:pPr>
      <w:r>
        <w:rPr>
          <w:rFonts w:ascii="Times New Roman"/>
          <w:b w:val="false"/>
          <w:i w:val="false"/>
          <w:color w:val="000000"/>
          <w:sz w:val="28"/>
        </w:rPr>
        <w:t>
      4) своевременный пересмотр документации аптечной организации.</w:t>
      </w:r>
    </w:p>
    <w:bookmarkEnd w:id="6275"/>
    <w:bookmarkStart w:name="z6444" w:id="6276"/>
    <w:p>
      <w:pPr>
        <w:spacing w:after="0"/>
        <w:ind w:left="0"/>
        <w:jc w:val="both"/>
      </w:pPr>
      <w:r>
        <w:rPr>
          <w:rFonts w:ascii="Times New Roman"/>
          <w:b w:val="false"/>
          <w:i w:val="false"/>
          <w:color w:val="000000"/>
          <w:sz w:val="28"/>
        </w:rPr>
        <w:t>
      72. Документы доступны государственным органам для проверок в течение сроков, установленных Предпринимательским Кодексом Республики Казахстан. Документация представляется по запросу государственного органа в полном объеме.</w:t>
      </w:r>
    </w:p>
    <w:bookmarkEnd w:id="6276"/>
    <w:bookmarkStart w:name="z6445" w:id="6277"/>
    <w:p>
      <w:pPr>
        <w:spacing w:after="0"/>
        <w:ind w:left="0"/>
        <w:jc w:val="both"/>
      </w:pPr>
      <w:r>
        <w:rPr>
          <w:rFonts w:ascii="Times New Roman"/>
          <w:b w:val="false"/>
          <w:i w:val="false"/>
          <w:color w:val="000000"/>
          <w:sz w:val="28"/>
        </w:rPr>
        <w:t>
      73. Документы хранятся в условиях, обеспечивающих их сохранность, в течение сроков, прописанных в СОП.</w:t>
      </w:r>
    </w:p>
    <w:bookmarkEnd w:id="6277"/>
    <w:bookmarkStart w:name="z6446" w:id="6278"/>
    <w:p>
      <w:pPr>
        <w:spacing w:after="0"/>
        <w:ind w:left="0"/>
        <w:jc w:val="left"/>
      </w:pPr>
      <w:r>
        <w:rPr>
          <w:rFonts w:ascii="Times New Roman"/>
          <w:b/>
          <w:i w:val="false"/>
          <w:color w:val="000000"/>
        </w:rPr>
        <w:t xml:space="preserve"> Глава 10. Самоинспекция</w:t>
      </w:r>
    </w:p>
    <w:bookmarkEnd w:id="6278"/>
    <w:bookmarkStart w:name="z6447" w:id="6279"/>
    <w:p>
      <w:pPr>
        <w:spacing w:after="0"/>
        <w:ind w:left="0"/>
        <w:jc w:val="both"/>
      </w:pPr>
      <w:r>
        <w:rPr>
          <w:rFonts w:ascii="Times New Roman"/>
          <w:b w:val="false"/>
          <w:i w:val="false"/>
          <w:color w:val="000000"/>
          <w:sz w:val="28"/>
        </w:rPr>
        <w:t>
      74. Аптечной организацией регулярно проводятся самоинспекции (внутренние проверки) на соответствие требованиям действующего законодательства Республики Казахстан и настоящего Стандарта.</w:t>
      </w:r>
    </w:p>
    <w:bookmarkEnd w:id="6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8" w:id="6280"/>
    <w:p>
      <w:pPr>
        <w:spacing w:after="0"/>
        <w:ind w:left="0"/>
        <w:jc w:val="both"/>
      </w:pPr>
      <w:r>
        <w:rPr>
          <w:rFonts w:ascii="Times New Roman"/>
          <w:b w:val="false"/>
          <w:i w:val="false"/>
          <w:color w:val="000000"/>
          <w:sz w:val="28"/>
        </w:rPr>
        <w:t>
      75. Самоинспекция проводится с целью выявления недостатков по выполнению требований действующего законодательства по фармацевтической деятельности и надлежащей аптечной практики, и вынесения рекомендаций проведения корректирующих действий.</w:t>
      </w:r>
    </w:p>
    <w:bookmarkEnd w:id="6280"/>
    <w:bookmarkStart w:name="z6449" w:id="6281"/>
    <w:p>
      <w:pPr>
        <w:spacing w:after="0"/>
        <w:ind w:left="0"/>
        <w:jc w:val="both"/>
      </w:pPr>
      <w:r>
        <w:rPr>
          <w:rFonts w:ascii="Times New Roman"/>
          <w:b w:val="false"/>
          <w:i w:val="false"/>
          <w:color w:val="000000"/>
          <w:sz w:val="28"/>
        </w:rPr>
        <w:t>
      76. Самоинспекция проводится лицом или независимой группой из числа сотрудников данной аптечной организации, независимыми от лиц, непосредственно осуществляющих проверяемую деятельность. Группа объективно оценивает выполнение требований GPP и контроль за осуществлением корректирующих и предупреждающих действий.</w:t>
      </w:r>
    </w:p>
    <w:bookmarkEnd w:id="6281"/>
    <w:bookmarkStart w:name="z6450" w:id="6282"/>
    <w:p>
      <w:pPr>
        <w:spacing w:after="0"/>
        <w:ind w:left="0"/>
        <w:jc w:val="both"/>
      </w:pPr>
      <w:r>
        <w:rPr>
          <w:rFonts w:ascii="Times New Roman"/>
          <w:b w:val="false"/>
          <w:i w:val="false"/>
          <w:color w:val="000000"/>
          <w:sz w:val="28"/>
        </w:rPr>
        <w:t>
      77. Программа по самоинспекции разрабатывается в виде СОП, обеспечивающих минимальные и единообразные типовые требования, охватывающие сведения по персоналу, помещениям, включая помещения для персонала, содержанию зданий и обслуживанию оборудования, хранению продукции, оборудованию, документации, санитарным и гигиеническим требованиям, технике безопасности и охране труда, результаты предыдущих самоинспекций и предпринятых корректирующих действий.</w:t>
      </w:r>
    </w:p>
    <w:bookmarkEnd w:id="6282"/>
    <w:bookmarkStart w:name="z6451" w:id="6283"/>
    <w:p>
      <w:pPr>
        <w:spacing w:after="0"/>
        <w:ind w:left="0"/>
        <w:jc w:val="both"/>
      </w:pPr>
      <w:r>
        <w:rPr>
          <w:rFonts w:ascii="Times New Roman"/>
          <w:b w:val="false"/>
          <w:i w:val="false"/>
          <w:color w:val="000000"/>
          <w:sz w:val="28"/>
        </w:rPr>
        <w:t>
      78. После завершения самоинспекции составляется отчет, содержащий результаты самоинспекции, оценку и заключения, проведенные вовремя самоинспекции и при необходимости, рекомендации корректирующих действий и доводится до сведения персонала, ответственного за проверяемый участок работы, и руководства аптечной организации.</w:t>
      </w:r>
    </w:p>
    <w:bookmarkEnd w:id="6283"/>
    <w:bookmarkStart w:name="z6452" w:id="6284"/>
    <w:p>
      <w:pPr>
        <w:spacing w:after="0"/>
        <w:ind w:left="0"/>
        <w:jc w:val="both"/>
      </w:pPr>
      <w:r>
        <w:rPr>
          <w:rFonts w:ascii="Times New Roman"/>
          <w:b w:val="false"/>
          <w:i w:val="false"/>
          <w:color w:val="000000"/>
          <w:sz w:val="28"/>
        </w:rPr>
        <w:t>
      79. При последующих проверках контролируется выполнение рекомендаций и их эффективность.</w:t>
      </w:r>
    </w:p>
    <w:bookmarkEnd w:id="6284"/>
    <w:bookmarkStart w:name="z6453" w:id="6285"/>
    <w:p>
      <w:pPr>
        <w:spacing w:after="0"/>
        <w:ind w:left="0"/>
        <w:jc w:val="left"/>
      </w:pPr>
      <w:r>
        <w:rPr>
          <w:rFonts w:ascii="Times New Roman"/>
          <w:b/>
          <w:i w:val="false"/>
          <w:color w:val="000000"/>
        </w:rPr>
        <w:t xml:space="preserve"> Глава 11. Система обеспечения качества в аптечной практике</w:t>
      </w:r>
    </w:p>
    <w:bookmarkEnd w:id="6285"/>
    <w:bookmarkStart w:name="z6454" w:id="6286"/>
    <w:p>
      <w:pPr>
        <w:spacing w:after="0"/>
        <w:ind w:left="0"/>
        <w:jc w:val="both"/>
      </w:pPr>
      <w:r>
        <w:rPr>
          <w:rFonts w:ascii="Times New Roman"/>
          <w:b w:val="false"/>
          <w:i w:val="false"/>
          <w:color w:val="000000"/>
          <w:sz w:val="28"/>
        </w:rPr>
        <w:t>
      80. Система обеспечения качества в аптечной практике представляет совокупность организационных мероприятий, предпринимаемых в целях гарантии соответствия качества готовых лекарственных средств, медицинских изделий их применению, обеспечения хранения, отпуска лекарственных средств и медицинских изделий, обучения персонала, ведения и хранения документации, проведения самоинспекции.</w:t>
      </w:r>
    </w:p>
    <w:bookmarkEnd w:id="6286"/>
    <w:bookmarkStart w:name="z6455" w:id="6287"/>
    <w:p>
      <w:pPr>
        <w:spacing w:after="0"/>
        <w:ind w:left="0"/>
        <w:jc w:val="both"/>
      </w:pPr>
      <w:r>
        <w:rPr>
          <w:rFonts w:ascii="Times New Roman"/>
          <w:b w:val="false"/>
          <w:i w:val="false"/>
          <w:color w:val="000000"/>
          <w:sz w:val="28"/>
        </w:rPr>
        <w:t>
      81. Система качества документируется, а ее эффективность контролируется.</w:t>
      </w:r>
    </w:p>
    <w:bookmarkEnd w:id="6287"/>
    <w:bookmarkStart w:name="z6456" w:id="6288"/>
    <w:p>
      <w:pPr>
        <w:spacing w:after="0"/>
        <w:ind w:left="0"/>
        <w:jc w:val="both"/>
      </w:pPr>
      <w:r>
        <w:rPr>
          <w:rFonts w:ascii="Times New Roman"/>
          <w:b w:val="false"/>
          <w:i w:val="false"/>
          <w:color w:val="000000"/>
          <w:sz w:val="28"/>
        </w:rPr>
        <w:t>
      82. Система обеспечения качества, предназначенная для розничной реализации лекарственных средств и медицинских изделий, гарантирует, что:</w:t>
      </w:r>
    </w:p>
    <w:bookmarkEnd w:id="6288"/>
    <w:bookmarkStart w:name="z6457" w:id="6289"/>
    <w:p>
      <w:pPr>
        <w:spacing w:after="0"/>
        <w:ind w:left="0"/>
        <w:jc w:val="both"/>
      </w:pPr>
      <w:r>
        <w:rPr>
          <w:rFonts w:ascii="Times New Roman"/>
          <w:b w:val="false"/>
          <w:i w:val="false"/>
          <w:color w:val="000000"/>
          <w:sz w:val="28"/>
        </w:rPr>
        <w:t>
      1) лекарственное средство, медицинское изделие соответствуют требованиям нормативного документа по качеству;</w:t>
      </w:r>
    </w:p>
    <w:bookmarkEnd w:id="6289"/>
    <w:bookmarkStart w:name="z6458" w:id="6290"/>
    <w:p>
      <w:pPr>
        <w:spacing w:after="0"/>
        <w:ind w:left="0"/>
        <w:jc w:val="both"/>
      </w:pPr>
      <w:r>
        <w:rPr>
          <w:rFonts w:ascii="Times New Roman"/>
          <w:b w:val="false"/>
          <w:i w:val="false"/>
          <w:color w:val="000000"/>
          <w:sz w:val="28"/>
        </w:rPr>
        <w:t>
      2) лекарственные средства и медицинские изделия приобретены и доставлены согласно договору между дистрибьютором и аптечной организацией;</w:t>
      </w:r>
    </w:p>
    <w:bookmarkEnd w:id="6290"/>
    <w:bookmarkStart w:name="z6459" w:id="6291"/>
    <w:p>
      <w:pPr>
        <w:spacing w:after="0"/>
        <w:ind w:left="0"/>
        <w:jc w:val="both"/>
      </w:pPr>
      <w:r>
        <w:rPr>
          <w:rFonts w:ascii="Times New Roman"/>
          <w:b w:val="false"/>
          <w:i w:val="false"/>
          <w:color w:val="000000"/>
          <w:sz w:val="28"/>
        </w:rPr>
        <w:t>
      3) осуществлены соответствующие мероприятия по закупу, приему, контролю, хранению;</w:t>
      </w:r>
    </w:p>
    <w:bookmarkEnd w:id="6291"/>
    <w:bookmarkStart w:name="z6460" w:id="6292"/>
    <w:p>
      <w:pPr>
        <w:spacing w:after="0"/>
        <w:ind w:left="0"/>
        <w:jc w:val="both"/>
      </w:pPr>
      <w:r>
        <w:rPr>
          <w:rFonts w:ascii="Times New Roman"/>
          <w:b w:val="false"/>
          <w:i w:val="false"/>
          <w:color w:val="000000"/>
          <w:sz w:val="28"/>
        </w:rPr>
        <w:t>
      4) четко определены ответственность и обязанности руководства, а также персонала;</w:t>
      </w:r>
    </w:p>
    <w:bookmarkEnd w:id="6292"/>
    <w:bookmarkStart w:name="z6461" w:id="6293"/>
    <w:p>
      <w:pPr>
        <w:spacing w:after="0"/>
        <w:ind w:left="0"/>
        <w:jc w:val="both"/>
      </w:pPr>
      <w:r>
        <w:rPr>
          <w:rFonts w:ascii="Times New Roman"/>
          <w:b w:val="false"/>
          <w:i w:val="false"/>
          <w:color w:val="000000"/>
          <w:sz w:val="28"/>
        </w:rPr>
        <w:t>
      5) осуществлены достаточные мероприятия для обеспечения качества лекарственных средств и медицинских изделий в течение всего срока годности при их хранении, распространении и реализации;</w:t>
      </w:r>
    </w:p>
    <w:bookmarkEnd w:id="6293"/>
    <w:bookmarkStart w:name="z6462" w:id="6294"/>
    <w:p>
      <w:pPr>
        <w:spacing w:after="0"/>
        <w:ind w:left="0"/>
        <w:jc w:val="both"/>
      </w:pPr>
      <w:r>
        <w:rPr>
          <w:rFonts w:ascii="Times New Roman"/>
          <w:b w:val="false"/>
          <w:i w:val="false"/>
          <w:color w:val="000000"/>
          <w:sz w:val="28"/>
        </w:rPr>
        <w:t>
      6) имеется методика проведения самоинспекции и (или) аудита качества, по которым регулярно оценивают эффективность и пригодность системы обеспечения качества в аптечной практике.</w:t>
      </w:r>
    </w:p>
    <w:bookmarkEnd w:id="6294"/>
    <w:bookmarkStart w:name="z6463" w:id="6295"/>
    <w:p>
      <w:pPr>
        <w:spacing w:after="0"/>
        <w:ind w:left="0"/>
        <w:jc w:val="both"/>
      </w:pPr>
      <w:r>
        <w:rPr>
          <w:rFonts w:ascii="Times New Roman"/>
          <w:b w:val="false"/>
          <w:i w:val="false"/>
          <w:color w:val="000000"/>
          <w:sz w:val="28"/>
        </w:rPr>
        <w:t>
      83. Для осуществления системы качества имеется компетентный персонал, достаточное количество соответствующих помещений, оборудования и технических средств.</w:t>
      </w:r>
    </w:p>
    <w:bookmarkEnd w:id="6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2021 года</w:t>
            </w:r>
            <w:r>
              <w:br/>
            </w:r>
            <w:r>
              <w:rPr>
                <w:rFonts w:ascii="Times New Roman"/>
                <w:b w:val="false"/>
                <w:i w:val="false"/>
                <w:color w:val="000000"/>
                <w:sz w:val="20"/>
              </w:rPr>
              <w:t>№ ҚР ДСМ-15</w:t>
            </w:r>
          </w:p>
        </w:tc>
      </w:tr>
    </w:tbl>
    <w:bookmarkStart w:name="z6465" w:id="6296"/>
    <w:p>
      <w:pPr>
        <w:spacing w:after="0"/>
        <w:ind w:left="0"/>
        <w:jc w:val="left"/>
      </w:pPr>
      <w:r>
        <w:rPr>
          <w:rFonts w:ascii="Times New Roman"/>
          <w:b/>
          <w:i w:val="false"/>
          <w:color w:val="000000"/>
        </w:rPr>
        <w:t xml:space="preserve"> Стандарт надлежащей практики фармаконадзора (GVP)</w:t>
      </w:r>
    </w:p>
    <w:bookmarkEnd w:id="6296"/>
    <w:bookmarkStart w:name="z6466" w:id="6297"/>
    <w:p>
      <w:pPr>
        <w:spacing w:after="0"/>
        <w:ind w:left="0"/>
        <w:jc w:val="left"/>
      </w:pPr>
      <w:r>
        <w:rPr>
          <w:rFonts w:ascii="Times New Roman"/>
          <w:b/>
          <w:i w:val="false"/>
          <w:color w:val="000000"/>
        </w:rPr>
        <w:t xml:space="preserve"> Раздел I. Основные требования</w:t>
      </w:r>
    </w:p>
    <w:bookmarkEnd w:id="6297"/>
    <w:bookmarkStart w:name="z6467" w:id="6298"/>
    <w:p>
      <w:pPr>
        <w:spacing w:after="0"/>
        <w:ind w:left="0"/>
        <w:jc w:val="left"/>
      </w:pPr>
      <w:r>
        <w:rPr>
          <w:rFonts w:ascii="Times New Roman"/>
          <w:b/>
          <w:i w:val="false"/>
          <w:color w:val="000000"/>
        </w:rPr>
        <w:t xml:space="preserve"> Глава 1. Общие положения</w:t>
      </w:r>
    </w:p>
    <w:bookmarkEnd w:id="6298"/>
    <w:bookmarkStart w:name="z6468" w:id="6299"/>
    <w:p>
      <w:pPr>
        <w:spacing w:after="0"/>
        <w:ind w:left="0"/>
        <w:jc w:val="both"/>
      </w:pPr>
      <w:r>
        <w:rPr>
          <w:rFonts w:ascii="Times New Roman"/>
          <w:b w:val="false"/>
          <w:i w:val="false"/>
          <w:color w:val="000000"/>
          <w:sz w:val="28"/>
        </w:rPr>
        <w:t>
      1. Стандарт Надлежащей практики фармаконадзора Республики Казахстан (далее - Стандарт) является этическим и научным стандартом проведения фармаконадзора зарегистрированных лекарственных препаратов, документального оформления и представления результатов мониторинга безопасности лекарственных препаратов.</w:t>
      </w:r>
    </w:p>
    <w:bookmarkEnd w:id="6299"/>
    <w:bookmarkStart w:name="z6469" w:id="6300"/>
    <w:p>
      <w:pPr>
        <w:spacing w:after="0"/>
        <w:ind w:left="0"/>
        <w:jc w:val="both"/>
      </w:pPr>
      <w:r>
        <w:rPr>
          <w:rFonts w:ascii="Times New Roman"/>
          <w:b w:val="false"/>
          <w:i w:val="false"/>
          <w:color w:val="000000"/>
          <w:sz w:val="28"/>
        </w:rPr>
        <w:t>
      Настоящий Стандарт разработан с целью гармонизации действующего законодательства Республики Казахстан по фармаконадзору с международными требованиями в этой области.</w:t>
      </w:r>
    </w:p>
    <w:bookmarkEnd w:id="6300"/>
    <w:bookmarkStart w:name="z6470" w:id="6301"/>
    <w:p>
      <w:pPr>
        <w:spacing w:after="0"/>
        <w:ind w:left="0"/>
        <w:jc w:val="both"/>
      </w:pPr>
      <w:r>
        <w:rPr>
          <w:rFonts w:ascii="Times New Roman"/>
          <w:b w:val="false"/>
          <w:i w:val="false"/>
          <w:color w:val="000000"/>
          <w:sz w:val="28"/>
        </w:rPr>
        <w:t xml:space="preserve">
      Целью настоящего Стандарта является: </w:t>
      </w:r>
    </w:p>
    <w:bookmarkEnd w:id="6301"/>
    <w:bookmarkStart w:name="z6471" w:id="6302"/>
    <w:p>
      <w:pPr>
        <w:spacing w:after="0"/>
        <w:ind w:left="0"/>
        <w:jc w:val="both"/>
      </w:pPr>
      <w:r>
        <w:rPr>
          <w:rFonts w:ascii="Times New Roman"/>
          <w:b w:val="false"/>
          <w:i w:val="false"/>
          <w:color w:val="000000"/>
          <w:sz w:val="28"/>
        </w:rPr>
        <w:t xml:space="preserve">
      предотвращение вреда от нежелательных реакций, возникающих в результате использования зарегистрированных лекарственных препаратов в рамках инструкции по медицинскому применению; </w:t>
      </w:r>
    </w:p>
    <w:bookmarkEnd w:id="6302"/>
    <w:bookmarkStart w:name="z6472" w:id="6303"/>
    <w:p>
      <w:pPr>
        <w:spacing w:after="0"/>
        <w:ind w:left="0"/>
        <w:jc w:val="both"/>
      </w:pPr>
      <w:r>
        <w:rPr>
          <w:rFonts w:ascii="Times New Roman"/>
          <w:b w:val="false"/>
          <w:i w:val="false"/>
          <w:color w:val="000000"/>
          <w:sz w:val="28"/>
        </w:rPr>
        <w:t>
      содействие безопасному и эффективному использованию лекарственных препаратов путем предоставления своевременной информации о безопасности лекарственных препаратов пациентам и медицинским работникам.</w:t>
      </w:r>
    </w:p>
    <w:bookmarkEnd w:id="6303"/>
    <w:bookmarkStart w:name="z6473" w:id="6304"/>
    <w:p>
      <w:pPr>
        <w:spacing w:after="0"/>
        <w:ind w:left="0"/>
        <w:jc w:val="both"/>
      </w:pPr>
      <w:r>
        <w:rPr>
          <w:rFonts w:ascii="Times New Roman"/>
          <w:b w:val="false"/>
          <w:i w:val="false"/>
          <w:color w:val="000000"/>
          <w:sz w:val="28"/>
        </w:rPr>
        <w:t>
      Соблюдение требований настоящего Стандарта способствует безопасности и эффективности лекарственных препаратов.</w:t>
      </w:r>
    </w:p>
    <w:bookmarkEnd w:id="6304"/>
    <w:bookmarkStart w:name="z6474" w:id="6305"/>
    <w:p>
      <w:pPr>
        <w:spacing w:after="0"/>
        <w:ind w:left="0"/>
        <w:jc w:val="both"/>
      </w:pPr>
      <w:r>
        <w:rPr>
          <w:rFonts w:ascii="Times New Roman"/>
          <w:b w:val="false"/>
          <w:i w:val="false"/>
          <w:color w:val="000000"/>
          <w:sz w:val="28"/>
        </w:rPr>
        <w:t>
      Настоящий Стандарт подготовлен на основе Надлежащей практики фармаконадзора Евразийского Союза, с учетом требований директивы Европейского Союза 2010/84/EU от 15 декабря 2010 года, Правил по фармаконадзору лекарственных средств для человека 726/2004, 1235/2010 Европейского парламента и Совета ЕС от 6 ноября 2001 г. "О своде законов сообщества в отношении лекарственных препаратов для человека".</w:t>
      </w:r>
    </w:p>
    <w:bookmarkEnd w:id="6305"/>
    <w:bookmarkStart w:name="z6475" w:id="6306"/>
    <w:p>
      <w:pPr>
        <w:spacing w:after="0"/>
        <w:ind w:left="0"/>
        <w:jc w:val="both"/>
      </w:pPr>
      <w:r>
        <w:rPr>
          <w:rFonts w:ascii="Times New Roman"/>
          <w:b w:val="false"/>
          <w:i w:val="false"/>
          <w:color w:val="000000"/>
          <w:sz w:val="28"/>
        </w:rPr>
        <w:t>
      Настоящий Стандарт распространяется на уполномоченный орган в сфере обращения лекарственных средств и медицинских изделий (далее - уполномоченный орган), государственную экспертную организацию в сфере обращения лекарственных средств и медицинских изделий (далее - уполномоченная организация), держателя регистрационного удостоверения лекарственных препаратов, медицинские и фармацевтические организации независимо от форм собственности, медицинских и фармацевтических работников.</w:t>
      </w:r>
    </w:p>
    <w:bookmarkEnd w:id="6306"/>
    <w:bookmarkStart w:name="z6476" w:id="6307"/>
    <w:p>
      <w:pPr>
        <w:spacing w:after="0"/>
        <w:ind w:left="0"/>
        <w:jc w:val="both"/>
      </w:pPr>
      <w:r>
        <w:rPr>
          <w:rFonts w:ascii="Times New Roman"/>
          <w:b w:val="false"/>
          <w:i w:val="false"/>
          <w:color w:val="000000"/>
          <w:sz w:val="28"/>
        </w:rPr>
        <w:t>
      Настоящий Стандарт пересматривается на регулярной основе с учетом опыта его применения в Республике Казахстан и в случае изменения положений международных норм проведения фармаконадзора с внесением необходимых изменений и дополнений не реже 1 раза в 5 лет.</w:t>
      </w:r>
    </w:p>
    <w:bookmarkEnd w:id="6307"/>
    <w:bookmarkStart w:name="z6477" w:id="6308"/>
    <w:p>
      <w:pPr>
        <w:spacing w:after="0"/>
        <w:ind w:left="0"/>
        <w:jc w:val="both"/>
      </w:pPr>
      <w:r>
        <w:rPr>
          <w:rFonts w:ascii="Times New Roman"/>
          <w:b w:val="false"/>
          <w:i w:val="false"/>
          <w:color w:val="000000"/>
          <w:sz w:val="28"/>
        </w:rPr>
        <w:t>
      2. В настоящем Стандарте используются следующие термины и определения:</w:t>
      </w:r>
    </w:p>
    <w:bookmarkEnd w:id="6308"/>
    <w:bookmarkStart w:name="z6478" w:id="6309"/>
    <w:p>
      <w:pPr>
        <w:spacing w:after="0"/>
        <w:ind w:left="0"/>
        <w:jc w:val="both"/>
      </w:pPr>
      <w:r>
        <w:rPr>
          <w:rFonts w:ascii="Times New Roman"/>
          <w:b w:val="false"/>
          <w:i w:val="false"/>
          <w:color w:val="000000"/>
          <w:sz w:val="28"/>
        </w:rPr>
        <w:t>
      1) применение "вне инструкции" - намеренное применение лекарственного препарата с медицинской целью не в соответствии с инструкцией по медицинскому применению;</w:t>
      </w:r>
    </w:p>
    <w:bookmarkEnd w:id="6309"/>
    <w:bookmarkStart w:name="z6479" w:id="6310"/>
    <w:p>
      <w:pPr>
        <w:spacing w:after="0"/>
        <w:ind w:left="0"/>
        <w:jc w:val="both"/>
      </w:pPr>
      <w:r>
        <w:rPr>
          <w:rFonts w:ascii="Times New Roman"/>
          <w:b w:val="false"/>
          <w:i w:val="false"/>
          <w:color w:val="000000"/>
          <w:sz w:val="28"/>
        </w:rPr>
        <w:t>
      2)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6310"/>
    <w:bookmarkStart w:name="z6480" w:id="6311"/>
    <w:p>
      <w:pPr>
        <w:spacing w:after="0"/>
        <w:ind w:left="0"/>
        <w:jc w:val="both"/>
      </w:pPr>
      <w:r>
        <w:rPr>
          <w:rFonts w:ascii="Times New Roman"/>
          <w:b w:val="false"/>
          <w:i w:val="false"/>
          <w:color w:val="000000"/>
          <w:sz w:val="28"/>
        </w:rPr>
        <w:t>
      3) передозировка - применение лекарственного препарата за один прием либо в течение дня в количестве, которое превышает рекомендуемую максимальную суточную дозу в соответствии с одобренной инструкцией по медицинскому применению;</w:t>
      </w:r>
    </w:p>
    <w:bookmarkEnd w:id="6311"/>
    <w:bookmarkStart w:name="z6481" w:id="6312"/>
    <w:p>
      <w:pPr>
        <w:spacing w:after="0"/>
        <w:ind w:left="0"/>
        <w:jc w:val="both"/>
      </w:pPr>
      <w:r>
        <w:rPr>
          <w:rFonts w:ascii="Times New Roman"/>
          <w:b w:val="false"/>
          <w:i w:val="false"/>
          <w:color w:val="000000"/>
          <w:sz w:val="28"/>
        </w:rPr>
        <w:t>
      4) завершенное клиническое исследование (испытание) - испытание (исследование), по которому подготовлен заключительный отчет о клиническом испытании (исследовании);</w:t>
      </w:r>
    </w:p>
    <w:bookmarkEnd w:id="6312"/>
    <w:bookmarkStart w:name="z6482" w:id="6313"/>
    <w:p>
      <w:pPr>
        <w:spacing w:after="0"/>
        <w:ind w:left="0"/>
        <w:jc w:val="both"/>
      </w:pPr>
      <w:r>
        <w:rPr>
          <w:rFonts w:ascii="Times New Roman"/>
          <w:b w:val="false"/>
          <w:i w:val="false"/>
          <w:color w:val="000000"/>
          <w:sz w:val="28"/>
        </w:rPr>
        <w:t>
      5) непредвиденная нежелательная реакция - нежелательная реакция, характер, степень тяжести или исход которой не соответствует информации в действующей инструкции по медицинскому применению лекарственного препарата или в брошюре исследователя для незарегистрированного лекарственного препарата;</w:t>
      </w:r>
    </w:p>
    <w:bookmarkEnd w:id="6313"/>
    <w:bookmarkStart w:name="z6483" w:id="6314"/>
    <w:p>
      <w:pPr>
        <w:spacing w:after="0"/>
        <w:ind w:left="0"/>
        <w:jc w:val="both"/>
      </w:pPr>
      <w:r>
        <w:rPr>
          <w:rFonts w:ascii="Times New Roman"/>
          <w:b w:val="false"/>
          <w:i w:val="false"/>
          <w:color w:val="000000"/>
          <w:sz w:val="28"/>
        </w:rPr>
        <w:t>
      6) валидированный сигнал - сигнал, для которого в процессе выполнения валидации и оценке подтверждающих данных установлено, что имеющаяся документация достаточна для предположения о наличии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комплекса дальнейших действий по оценке сигнала;</w:t>
      </w:r>
    </w:p>
    <w:bookmarkEnd w:id="6314"/>
    <w:bookmarkStart w:name="z6484" w:id="6315"/>
    <w:p>
      <w:pPr>
        <w:spacing w:after="0"/>
        <w:ind w:left="0"/>
        <w:jc w:val="both"/>
      </w:pPr>
      <w:r>
        <w:rPr>
          <w:rFonts w:ascii="Times New Roman"/>
          <w:b w:val="false"/>
          <w:i w:val="false"/>
          <w:color w:val="000000"/>
          <w:sz w:val="28"/>
        </w:rPr>
        <w:t>
      7)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bookmarkEnd w:id="6315"/>
    <w:bookmarkStart w:name="z6485" w:id="6316"/>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w:t>
      </w:r>
    </w:p>
    <w:bookmarkEnd w:id="6316"/>
    <w:bookmarkStart w:name="z6486" w:id="6317"/>
    <w:p>
      <w:pPr>
        <w:spacing w:after="0"/>
        <w:ind w:left="0"/>
        <w:jc w:val="both"/>
      </w:pPr>
      <w:r>
        <w:rPr>
          <w:rFonts w:ascii="Times New Roman"/>
          <w:b w:val="false"/>
          <w:i w:val="false"/>
          <w:color w:val="000000"/>
          <w:sz w:val="28"/>
        </w:rPr>
        <w:t>
      9) дата окончания сбора данных - дата завершения сбора данных для включения в периодический отчет по безопасности;</w:t>
      </w:r>
    </w:p>
    <w:bookmarkEnd w:id="6317"/>
    <w:bookmarkStart w:name="z6487" w:id="6318"/>
    <w:p>
      <w:pPr>
        <w:spacing w:after="0"/>
        <w:ind w:left="0"/>
        <w:jc w:val="both"/>
      </w:pPr>
      <w:r>
        <w:rPr>
          <w:rFonts w:ascii="Times New Roman"/>
          <w:b w:val="false"/>
          <w:i w:val="false"/>
          <w:color w:val="000000"/>
          <w:sz w:val="28"/>
        </w:rPr>
        <w:t>
      10)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bookmarkEnd w:id="6318"/>
    <w:bookmarkStart w:name="z6488" w:id="6319"/>
    <w:p>
      <w:pPr>
        <w:spacing w:after="0"/>
        <w:ind w:left="0"/>
        <w:jc w:val="both"/>
      </w:pPr>
      <w:r>
        <w:rPr>
          <w:rFonts w:ascii="Times New Roman"/>
          <w:b w:val="false"/>
          <w:i w:val="false"/>
          <w:color w:val="000000"/>
          <w:sz w:val="28"/>
        </w:rPr>
        <w:t>
      11) фармаконадзор лекарственных средств - система наблюдения, анализа и оценки информации о безопасности зарегистрированных лекарственных средств;</w:t>
      </w:r>
    </w:p>
    <w:bookmarkEnd w:id="6319"/>
    <w:bookmarkStart w:name="z6489" w:id="6320"/>
    <w:p>
      <w:pPr>
        <w:spacing w:after="0"/>
        <w:ind w:left="0"/>
        <w:jc w:val="both"/>
      </w:pPr>
      <w:r>
        <w:rPr>
          <w:rFonts w:ascii="Times New Roman"/>
          <w:b w:val="false"/>
          <w:i w:val="false"/>
          <w:color w:val="000000"/>
          <w:sz w:val="28"/>
        </w:rPr>
        <w:t>
      12) лекарственный препарат - лекарственное средство в определенной лекарственной форме;</w:t>
      </w:r>
    </w:p>
    <w:bookmarkEnd w:id="6320"/>
    <w:bookmarkStart w:name="z6490" w:id="6321"/>
    <w:p>
      <w:pPr>
        <w:spacing w:after="0"/>
        <w:ind w:left="0"/>
        <w:jc w:val="both"/>
      </w:pPr>
      <w:r>
        <w:rPr>
          <w:rFonts w:ascii="Times New Roman"/>
          <w:b w:val="false"/>
          <w:i w:val="false"/>
          <w:color w:val="000000"/>
          <w:sz w:val="28"/>
        </w:rPr>
        <w:t>
      13) справочная информация по безопасности лекарственного препарата - информация, включенная в основную информацию по безопасности держателя регистрационного удостоверения;</w:t>
      </w:r>
    </w:p>
    <w:bookmarkEnd w:id="6321"/>
    <w:bookmarkStart w:name="z6491" w:id="6322"/>
    <w:p>
      <w:pPr>
        <w:spacing w:after="0"/>
        <w:ind w:left="0"/>
        <w:jc w:val="both"/>
      </w:pPr>
      <w:r>
        <w:rPr>
          <w:rFonts w:ascii="Times New Roman"/>
          <w:b w:val="false"/>
          <w:i w:val="false"/>
          <w:color w:val="000000"/>
          <w:sz w:val="28"/>
        </w:rPr>
        <w:t>
      14) индивидуальное сообщение о нежелательной реакции (отчет о нежелательной реакции) на лекарственный препарат - форма и содержание отчета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bookmarkEnd w:id="6322"/>
    <w:bookmarkStart w:name="z6492" w:id="6323"/>
    <w:p>
      <w:pPr>
        <w:spacing w:after="0"/>
        <w:ind w:left="0"/>
        <w:jc w:val="both"/>
      </w:pPr>
      <w:r>
        <w:rPr>
          <w:rFonts w:ascii="Times New Roman"/>
          <w:b w:val="false"/>
          <w:i w:val="false"/>
          <w:color w:val="000000"/>
          <w:sz w:val="28"/>
        </w:rPr>
        <w:t>
      15) ошибка применения лекарственного препарата - любая непреднамеренная ошибка работника системы здравоохранения, пациента или потребителя в назначении, отпуске, дозировке или введении (приеме) лекарственного препарата;</w:t>
      </w:r>
    </w:p>
    <w:bookmarkEnd w:id="6323"/>
    <w:bookmarkStart w:name="z6493" w:id="6324"/>
    <w:p>
      <w:pPr>
        <w:spacing w:after="0"/>
        <w:ind w:left="0"/>
        <w:jc w:val="both"/>
      </w:pPr>
      <w:r>
        <w:rPr>
          <w:rFonts w:ascii="Times New Roman"/>
          <w:b w:val="false"/>
          <w:i w:val="false"/>
          <w:color w:val="000000"/>
          <w:sz w:val="28"/>
        </w:rPr>
        <w:t>
      16)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bookmarkEnd w:id="6324"/>
    <w:bookmarkStart w:name="z6494" w:id="6325"/>
    <w:p>
      <w:pPr>
        <w:spacing w:after="0"/>
        <w:ind w:left="0"/>
        <w:jc w:val="both"/>
      </w:pPr>
      <w:r>
        <w:rPr>
          <w:rFonts w:ascii="Times New Roman"/>
          <w:b w:val="false"/>
          <w:i w:val="false"/>
          <w:color w:val="000000"/>
          <w:sz w:val="28"/>
        </w:rPr>
        <w:t>
      17) злоупотребление лекарственным препаратом - постоянное или разовое чрезмерное употребление лекарственного препарата, которое сопровождается неблагоприятными физиологическими или психологическими эффектами;</w:t>
      </w:r>
    </w:p>
    <w:bookmarkEnd w:id="6325"/>
    <w:bookmarkStart w:name="z6495" w:id="6326"/>
    <w:p>
      <w:pPr>
        <w:spacing w:after="0"/>
        <w:ind w:left="0"/>
        <w:jc w:val="both"/>
      </w:pPr>
      <w:r>
        <w:rPr>
          <w:rFonts w:ascii="Times New Roman"/>
          <w:b w:val="false"/>
          <w:i w:val="false"/>
          <w:color w:val="000000"/>
          <w:sz w:val="28"/>
        </w:rPr>
        <w:t>
      18) неправильное применение - намеренное и ненадлежащее применение лекарственного препарата, которое не соответствует одобренному в инструкции по медицинскому применению;</w:t>
      </w:r>
    </w:p>
    <w:bookmarkEnd w:id="6326"/>
    <w:bookmarkStart w:name="z6496" w:id="6327"/>
    <w:p>
      <w:pPr>
        <w:spacing w:after="0"/>
        <w:ind w:left="0"/>
        <w:jc w:val="both"/>
      </w:pPr>
      <w:r>
        <w:rPr>
          <w:rFonts w:ascii="Times New Roman"/>
          <w:b w:val="false"/>
          <w:i w:val="false"/>
          <w:color w:val="000000"/>
          <w:sz w:val="28"/>
        </w:rPr>
        <w:t>
      19) отчет по безопасности разрабатываемого лекарственного препарата - формат и содержание периодического отчета по безопасности лекарственного препарата, находящегося на разработке;</w:t>
      </w:r>
    </w:p>
    <w:bookmarkEnd w:id="6327"/>
    <w:bookmarkStart w:name="z6497" w:id="6328"/>
    <w:p>
      <w:pPr>
        <w:spacing w:after="0"/>
        <w:ind w:left="0"/>
        <w:jc w:val="both"/>
      </w:pPr>
      <w:r>
        <w:rPr>
          <w:rFonts w:ascii="Times New Roman"/>
          <w:b w:val="false"/>
          <w:i w:val="false"/>
          <w:color w:val="000000"/>
          <w:sz w:val="28"/>
        </w:rPr>
        <w:t>
      20) международная дата одобрения разрабатываемого лекарственного препарата - дата первого одобрения (или авторизации) для проведения интервенционного клинического исследования (испытания) лекарственного препарата в любой из стран мира;</w:t>
      </w:r>
    </w:p>
    <w:bookmarkEnd w:id="6328"/>
    <w:bookmarkStart w:name="z6498" w:id="6329"/>
    <w:p>
      <w:pPr>
        <w:spacing w:after="0"/>
        <w:ind w:left="0"/>
        <w:jc w:val="both"/>
      </w:pPr>
      <w:r>
        <w:rPr>
          <w:rFonts w:ascii="Times New Roman"/>
          <w:b w:val="false"/>
          <w:i w:val="false"/>
          <w:color w:val="000000"/>
          <w:sz w:val="28"/>
        </w:rPr>
        <w:t>
      21) потенциальный риск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bookmarkEnd w:id="6329"/>
    <w:bookmarkStart w:name="z6499" w:id="6330"/>
    <w:p>
      <w:pPr>
        <w:spacing w:after="0"/>
        <w:ind w:left="0"/>
        <w:jc w:val="both"/>
      </w:pPr>
      <w:r>
        <w:rPr>
          <w:rFonts w:ascii="Times New Roman"/>
          <w:b w:val="false"/>
          <w:i w:val="false"/>
          <w:color w:val="000000"/>
          <w:sz w:val="28"/>
        </w:rPr>
        <w:t>
      22) закрытый сигнал - сигнал, оценка которого завершена в отчетный период составления периодического отчета по безопасности;</w:t>
      </w:r>
    </w:p>
    <w:bookmarkEnd w:id="6330"/>
    <w:bookmarkStart w:name="z6500" w:id="6331"/>
    <w:p>
      <w:pPr>
        <w:spacing w:after="0"/>
        <w:ind w:left="0"/>
        <w:jc w:val="both"/>
      </w:pPr>
      <w:r>
        <w:rPr>
          <w:rFonts w:ascii="Times New Roman"/>
          <w:b w:val="false"/>
          <w:i w:val="false"/>
          <w:color w:val="000000"/>
          <w:sz w:val="28"/>
        </w:rPr>
        <w:t>
      23) нежелательное явление - любое неблагоприятное изменение в состоянии здоровья пациента или субъекта клинического исследования (испытания), которому назначался лекарственный (исследуемый) препарат, независимо от причинно-следственной связи с его применением;</w:t>
      </w:r>
    </w:p>
    <w:bookmarkEnd w:id="6331"/>
    <w:bookmarkStart w:name="z6501" w:id="6332"/>
    <w:p>
      <w:pPr>
        <w:spacing w:after="0"/>
        <w:ind w:left="0"/>
        <w:jc w:val="both"/>
      </w:pPr>
      <w:r>
        <w:rPr>
          <w:rFonts w:ascii="Times New Roman"/>
          <w:b w:val="false"/>
          <w:i w:val="false"/>
          <w:color w:val="000000"/>
          <w:sz w:val="28"/>
        </w:rPr>
        <w:t>
      24)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как минимум, возможной взаимосвязи с применением подозреваемого лекарственного (исследуемого) препарата;</w:t>
      </w:r>
    </w:p>
    <w:bookmarkEnd w:id="6332"/>
    <w:bookmarkStart w:name="z6502" w:id="6333"/>
    <w:p>
      <w:pPr>
        <w:spacing w:after="0"/>
        <w:ind w:left="0"/>
        <w:jc w:val="both"/>
      </w:pPr>
      <w:r>
        <w:rPr>
          <w:rFonts w:ascii="Times New Roman"/>
          <w:b w:val="false"/>
          <w:i w:val="false"/>
          <w:color w:val="000000"/>
          <w:sz w:val="28"/>
        </w:rPr>
        <w:t>
      25) новый идентифицированный сигнал - сигнал, впервые идентифицированный в течение отчетного периода периодического отчета по безопасности, с указаниями дальнейших действий для его оценки;</w:t>
      </w:r>
    </w:p>
    <w:bookmarkEnd w:id="6333"/>
    <w:bookmarkStart w:name="z6503" w:id="6334"/>
    <w:p>
      <w:pPr>
        <w:spacing w:after="0"/>
        <w:ind w:left="0"/>
        <w:jc w:val="both"/>
      </w:pPr>
      <w:r>
        <w:rPr>
          <w:rFonts w:ascii="Times New Roman"/>
          <w:b w:val="false"/>
          <w:i w:val="false"/>
          <w:color w:val="000000"/>
          <w:sz w:val="28"/>
        </w:rPr>
        <w:t>
      26) сигнал, по которому выполняется работа - сигнал, который был выявлен до отчетного периода периодического отчета по безопасности и на дату окончания сбора данных находился в процессе оценки;</w:t>
      </w:r>
    </w:p>
    <w:bookmarkEnd w:id="6334"/>
    <w:bookmarkStart w:name="z6504" w:id="6335"/>
    <w:p>
      <w:pPr>
        <w:spacing w:after="0"/>
        <w:ind w:left="0"/>
        <w:jc w:val="both"/>
      </w:pPr>
      <w:r>
        <w:rPr>
          <w:rFonts w:ascii="Times New Roman"/>
          <w:b w:val="false"/>
          <w:i w:val="false"/>
          <w:color w:val="000000"/>
          <w:sz w:val="28"/>
        </w:rPr>
        <w:t>
      27) воздействие, связанное с родом занятий - воздействие лекарственного препарата, которому подвергся человек в результате выполнения деятельности как профессионального характера, так и не связанного с профессиональной деятельностью;</w:t>
      </w:r>
    </w:p>
    <w:bookmarkEnd w:id="6335"/>
    <w:bookmarkStart w:name="z6505" w:id="6336"/>
    <w:p>
      <w:pPr>
        <w:spacing w:after="0"/>
        <w:ind w:left="0"/>
        <w:jc w:val="both"/>
      </w:pPr>
      <w:r>
        <w:rPr>
          <w:rFonts w:ascii="Times New Roman"/>
          <w:b w:val="false"/>
          <w:i w:val="false"/>
          <w:color w:val="000000"/>
          <w:sz w:val="28"/>
        </w:rPr>
        <w:t>
      28) клиническое исследование (испытание) - любое исследование (испытание), проводимое с участием человека в качестве субъекта для выявления или подтверждения клинических и (или) фармакологических эффектов исследуемых препаратов и (или) выявления нежелательных реакций на исследуемые препараты, и (или) изучения их всасывания, распределения, метаболизма и выведения с целью выполнения оценки безопасности и (или) эффективности;</w:t>
      </w:r>
    </w:p>
    <w:bookmarkEnd w:id="6336"/>
    <w:bookmarkStart w:name="z6506" w:id="6337"/>
    <w:p>
      <w:pPr>
        <w:spacing w:after="0"/>
        <w:ind w:left="0"/>
        <w:jc w:val="both"/>
      </w:pPr>
      <w:r>
        <w:rPr>
          <w:rFonts w:ascii="Times New Roman"/>
          <w:b w:val="false"/>
          <w:i w:val="false"/>
          <w:color w:val="000000"/>
          <w:sz w:val="28"/>
        </w:rPr>
        <w:t>
      29)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
    <w:bookmarkEnd w:id="6337"/>
    <w:bookmarkStart w:name="z6507" w:id="6338"/>
    <w:p>
      <w:pPr>
        <w:spacing w:after="0"/>
        <w:ind w:left="0"/>
        <w:jc w:val="both"/>
      </w:pPr>
      <w:r>
        <w:rPr>
          <w:rFonts w:ascii="Times New Roman"/>
          <w:b w:val="false"/>
          <w:i w:val="false"/>
          <w:color w:val="000000"/>
          <w:sz w:val="28"/>
        </w:rPr>
        <w:t>
      30) надлежащая практика фармаконадзора Республики Казахстан - руководство по осуществлению фармаконадзора в Республике Казахстан, разработанное уполномоченным органом Республики Казахстан;</w:t>
      </w:r>
    </w:p>
    <w:bookmarkEnd w:id="6338"/>
    <w:bookmarkStart w:name="z6508" w:id="6339"/>
    <w:p>
      <w:pPr>
        <w:spacing w:after="0"/>
        <w:ind w:left="0"/>
        <w:jc w:val="both"/>
      </w:pPr>
      <w:r>
        <w:rPr>
          <w:rFonts w:ascii="Times New Roman"/>
          <w:b w:val="false"/>
          <w:i w:val="false"/>
          <w:color w:val="000000"/>
          <w:sz w:val="28"/>
        </w:rPr>
        <w:t>
      31) соотношение польза-риск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bookmarkEnd w:id="6339"/>
    <w:bookmarkStart w:name="z6509" w:id="6340"/>
    <w:p>
      <w:pPr>
        <w:spacing w:after="0"/>
        <w:ind w:left="0"/>
        <w:jc w:val="both"/>
      </w:pPr>
      <w:r>
        <w:rPr>
          <w:rFonts w:ascii="Times New Roman"/>
          <w:b w:val="false"/>
          <w:i w:val="false"/>
          <w:color w:val="000000"/>
          <w:sz w:val="28"/>
        </w:rPr>
        <w:t>
      32) периодический отчет по безопасности (далее - ПОБ) - форма и содержание отчета для представления оценки соотношения польза-риск лекарственного препарата держателем регистрационного удостоверения в определенные периоды времени в течение пострегистрационного этапа;</w:t>
      </w:r>
    </w:p>
    <w:bookmarkEnd w:id="6340"/>
    <w:bookmarkStart w:name="z6510" w:id="6341"/>
    <w:p>
      <w:pPr>
        <w:spacing w:after="0"/>
        <w:ind w:left="0"/>
        <w:jc w:val="both"/>
      </w:pPr>
      <w:r>
        <w:rPr>
          <w:rFonts w:ascii="Times New Roman"/>
          <w:b w:val="false"/>
          <w:i w:val="false"/>
          <w:color w:val="000000"/>
          <w:sz w:val="28"/>
        </w:rPr>
        <w:t>
      33) проблема по безопасности - важный идентифицируемый риск, важный потенциальный риск или важная отсутствующая информация;</w:t>
      </w:r>
    </w:p>
    <w:bookmarkEnd w:id="6341"/>
    <w:bookmarkStart w:name="z6511" w:id="6342"/>
    <w:p>
      <w:pPr>
        <w:spacing w:after="0"/>
        <w:ind w:left="0"/>
        <w:jc w:val="both"/>
      </w:pPr>
      <w:r>
        <w:rPr>
          <w:rFonts w:ascii="Times New Roman"/>
          <w:b w:val="false"/>
          <w:i w:val="false"/>
          <w:color w:val="000000"/>
          <w:sz w:val="28"/>
        </w:rPr>
        <w:t>
      34) план управления рисками - подробное описание системы управления рисками;</w:t>
      </w:r>
    </w:p>
    <w:bookmarkEnd w:id="6342"/>
    <w:bookmarkStart w:name="z6512" w:id="6343"/>
    <w:p>
      <w:pPr>
        <w:spacing w:after="0"/>
        <w:ind w:left="0"/>
        <w:jc w:val="both"/>
      </w:pPr>
      <w:r>
        <w:rPr>
          <w:rFonts w:ascii="Times New Roman"/>
          <w:b w:val="false"/>
          <w:i w:val="false"/>
          <w:color w:val="000000"/>
          <w:sz w:val="28"/>
        </w:rPr>
        <w:t>
      35) система управления рисками - комплекс действий и мероприятий по фармаконадзору, направленных на выявление, характеристику, предотвращение или минимизацию рисков, связанных с лекарственными препаратами, включая оценку эффективности данных мероприятий и деятельности;</w:t>
      </w:r>
    </w:p>
    <w:bookmarkEnd w:id="6343"/>
    <w:bookmarkStart w:name="z6513" w:id="6344"/>
    <w:p>
      <w:pPr>
        <w:spacing w:after="0"/>
        <w:ind w:left="0"/>
        <w:jc w:val="both"/>
      </w:pPr>
      <w:r>
        <w:rPr>
          <w:rFonts w:ascii="Times New Roman"/>
          <w:b w:val="false"/>
          <w:i w:val="false"/>
          <w:color w:val="000000"/>
          <w:sz w:val="28"/>
        </w:rPr>
        <w:t>
      36)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bookmarkEnd w:id="6344"/>
    <w:bookmarkStart w:name="z6514" w:id="6345"/>
    <w:p>
      <w:pPr>
        <w:spacing w:after="0"/>
        <w:ind w:left="0"/>
        <w:jc w:val="both"/>
      </w:pPr>
      <w:r>
        <w:rPr>
          <w:rFonts w:ascii="Times New Roman"/>
          <w:b w:val="false"/>
          <w:i w:val="false"/>
          <w:color w:val="000000"/>
          <w:sz w:val="28"/>
        </w:rPr>
        <w:t>
      37) целевая популяция (лечение) (лечение целевой популяции) - пациенты, которым назначается лекарственный препарат в соответствии с одобренными показаниями к применению и противопоказаниями в действующей редакции инструкции по медицинскому применению.</w:t>
      </w:r>
    </w:p>
    <w:bookmarkEnd w:id="6345"/>
    <w:bookmarkStart w:name="z6515" w:id="6346"/>
    <w:p>
      <w:pPr>
        <w:spacing w:after="0"/>
        <w:ind w:left="0"/>
        <w:jc w:val="both"/>
      </w:pPr>
      <w:r>
        <w:rPr>
          <w:rFonts w:ascii="Times New Roman"/>
          <w:b w:val="false"/>
          <w:i w:val="false"/>
          <w:color w:val="000000"/>
          <w:sz w:val="28"/>
        </w:rPr>
        <w:t>
      38) важная отсутствующая информация - значимые пробелы в имеющихся знаниях по определенным аспектам безопасности лекарственного препарата или групп пациентов, которым назначается лекарственный препарат;</w:t>
      </w:r>
    </w:p>
    <w:bookmarkEnd w:id="6346"/>
    <w:bookmarkStart w:name="z6516" w:id="6347"/>
    <w:p>
      <w:pPr>
        <w:spacing w:after="0"/>
        <w:ind w:left="0"/>
        <w:jc w:val="both"/>
      </w:pPr>
      <w:r>
        <w:rPr>
          <w:rFonts w:ascii="Times New Roman"/>
          <w:b w:val="false"/>
          <w:i w:val="false"/>
          <w:color w:val="000000"/>
          <w:sz w:val="28"/>
        </w:rPr>
        <w:t>
      39) важный идентифицированный риск и важный потенциальный риск - идентифицированный риск или потенциальный риск, оказывающий влияние на соотношение польза-риск лекарственного препарата или имеющий последствия для общественного здравоохранения;</w:t>
      </w:r>
    </w:p>
    <w:bookmarkEnd w:id="6347"/>
    <w:bookmarkStart w:name="z6517" w:id="6348"/>
    <w:p>
      <w:pPr>
        <w:spacing w:after="0"/>
        <w:ind w:left="0"/>
        <w:jc w:val="both"/>
      </w:pPr>
      <w:r>
        <w:rPr>
          <w:rFonts w:ascii="Times New Roman"/>
          <w:b w:val="false"/>
          <w:i w:val="false"/>
          <w:color w:val="000000"/>
          <w:sz w:val="28"/>
        </w:rPr>
        <w:t>
      40) существенные изменения показаний к медицинскому применению - изменения показаний к применению, которые включают изменение разрешенного показания к применению лекарственного препарата, при котором новая целевая популяция существенно отличается от той, для которой первоначально было разрешено применение лекарственного препарата; включение нового нозологического показания к применению, новой возрастной группы (педиатрические показания), изменение степени тяжести показания от более тяжелого состояния к менее тяжелому; переход от второй линии терапии к первой линии и иные изменения, существенно влияющие на соотношение польза-риск лекарственного препарата;</w:t>
      </w:r>
    </w:p>
    <w:bookmarkEnd w:id="6348"/>
    <w:bookmarkStart w:name="z6518" w:id="6349"/>
    <w:p>
      <w:pPr>
        <w:spacing w:after="0"/>
        <w:ind w:left="0"/>
        <w:jc w:val="both"/>
      </w:pPr>
      <w:r>
        <w:rPr>
          <w:rFonts w:ascii="Times New Roman"/>
          <w:b w:val="false"/>
          <w:i w:val="false"/>
          <w:color w:val="000000"/>
          <w:sz w:val="28"/>
        </w:rPr>
        <w:t>
      41) спонтанное сообщение (спонтанное извещение) - добровольная передача данных работником сферы здравоохранения или потребителем уполномоченному органу, уполномоченной организации, держателю регистрационного удостоверения или другой организации (региональным центрам фармаконадзора, токсикологическим центрам), которые содержат описание одной или нескольких нежелательных реакций у пациента, принимавшего один или несколько лекарственных препаратов, и которые не были получены в ходе проведения клинического исследования или любого иного метода организованного сбора данных;</w:t>
      </w:r>
    </w:p>
    <w:bookmarkEnd w:id="6349"/>
    <w:bookmarkStart w:name="z6519" w:id="6350"/>
    <w:p>
      <w:pPr>
        <w:spacing w:after="0"/>
        <w:ind w:left="0"/>
        <w:jc w:val="both"/>
      </w:pPr>
      <w:r>
        <w:rPr>
          <w:rFonts w:ascii="Times New Roman"/>
          <w:b w:val="false"/>
          <w:i w:val="false"/>
          <w:color w:val="000000"/>
          <w:sz w:val="28"/>
        </w:rPr>
        <w:t>
      42) требования к уровню качества - характеристики системы качества, которые с определенной вероятностью приводят к достижению требуемых результатов или целей;</w:t>
      </w:r>
    </w:p>
    <w:bookmarkEnd w:id="6350"/>
    <w:bookmarkStart w:name="z6520" w:id="6351"/>
    <w:p>
      <w:pPr>
        <w:spacing w:after="0"/>
        <w:ind w:left="0"/>
        <w:jc w:val="both"/>
      </w:pPr>
      <w:r>
        <w:rPr>
          <w:rFonts w:ascii="Times New Roman"/>
          <w:b w:val="false"/>
          <w:i w:val="false"/>
          <w:color w:val="000000"/>
          <w:sz w:val="28"/>
        </w:rPr>
        <w:t>
      43) идентифицированный риск - 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bookmarkEnd w:id="6351"/>
    <w:bookmarkStart w:name="z6521" w:id="6352"/>
    <w:p>
      <w:pPr>
        <w:spacing w:after="0"/>
        <w:ind w:left="0"/>
        <w:jc w:val="both"/>
      </w:pPr>
      <w:r>
        <w:rPr>
          <w:rFonts w:ascii="Times New Roman"/>
          <w:b w:val="false"/>
          <w:i w:val="false"/>
          <w:color w:val="000000"/>
          <w:sz w:val="28"/>
        </w:rPr>
        <w:t>
      44) источники получения индивидуальных сообщений о нежелательных реакциях лекарственного препарата по запросу - организованные системы по сбору данных, включающие клинические исследования (испытания), реестры, пострегистрационные программы персонализированного использования лекарственного препарата, другие программы по поддержке пациентов и мониторингу заболеваний, опросу пациентов или лечащих врачей, или сбор информации об эффективности терапии и приверженности пациентов лечению;</w:t>
      </w:r>
    </w:p>
    <w:bookmarkEnd w:id="6352"/>
    <w:bookmarkStart w:name="z6522" w:id="6353"/>
    <w:p>
      <w:pPr>
        <w:spacing w:after="0"/>
        <w:ind w:left="0"/>
        <w:jc w:val="both"/>
      </w:pPr>
      <w:r>
        <w:rPr>
          <w:rFonts w:ascii="Times New Roman"/>
          <w:b w:val="false"/>
          <w:i w:val="false"/>
          <w:color w:val="000000"/>
          <w:sz w:val="28"/>
        </w:rPr>
        <w:t>
      45) перечень основных данных по лекарственному препарату держателя регистрационного удостоверения - документ, разработанный держателем регистрационного удостоверения, наряду c информацией о безопасности, содержит материал, имеющий отношение к указаниям по применению, дозировке, фармакологическим свойствам и другой информации, касающейся лекарственного препарата;</w:t>
      </w:r>
    </w:p>
    <w:bookmarkEnd w:id="6353"/>
    <w:bookmarkStart w:name="z6523" w:id="6354"/>
    <w:p>
      <w:pPr>
        <w:spacing w:after="0"/>
        <w:ind w:left="0"/>
        <w:jc w:val="both"/>
      </w:pPr>
      <w:r>
        <w:rPr>
          <w:rFonts w:ascii="Times New Roman"/>
          <w:b w:val="false"/>
          <w:i w:val="false"/>
          <w:color w:val="000000"/>
          <w:sz w:val="28"/>
        </w:rPr>
        <w:t>
      46) основная информация по безопасности держателя регистрационного удостоверения - вся информация, имеющая отношение к безопасности лекарственного препарата и содержащаяся в перечне основных данных по лекарственному препарату держателя регистрационного удостоверения, разработанная держателем регистрационного удостоверения, и которая, по заявлению держателя регистрационного удостоверения представляется в уполномоченный орган;</w:t>
      </w:r>
    </w:p>
    <w:bookmarkEnd w:id="6354"/>
    <w:bookmarkStart w:name="z6524" w:id="6355"/>
    <w:p>
      <w:pPr>
        <w:spacing w:after="0"/>
        <w:ind w:left="0"/>
        <w:jc w:val="both"/>
      </w:pPr>
      <w:r>
        <w:rPr>
          <w:rFonts w:ascii="Times New Roman"/>
          <w:b w:val="false"/>
          <w:i w:val="false"/>
          <w:color w:val="000000"/>
          <w:sz w:val="28"/>
        </w:rPr>
        <w:t>
      47) пострегистрационное исследование безопасности (далее - ПРИБ) - любое исследование (испытание),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bookmarkEnd w:id="6355"/>
    <w:bookmarkStart w:name="z6525" w:id="6356"/>
    <w:p>
      <w:pPr>
        <w:spacing w:after="0"/>
        <w:ind w:left="0"/>
        <w:jc w:val="both"/>
      </w:pPr>
      <w:r>
        <w:rPr>
          <w:rFonts w:ascii="Times New Roman"/>
          <w:b w:val="false"/>
          <w:i w:val="false"/>
          <w:color w:val="000000"/>
          <w:sz w:val="28"/>
        </w:rPr>
        <w:t>
      48) потребитель - лицо, не являющееся работником системы здравоохранения, в частности, пациент, адвокат, друг или родственник (родитель (ребенок) пациента);</w:t>
      </w:r>
    </w:p>
    <w:bookmarkEnd w:id="6356"/>
    <w:bookmarkStart w:name="z6526" w:id="6357"/>
    <w:p>
      <w:pPr>
        <w:spacing w:after="0"/>
        <w:ind w:left="0"/>
        <w:jc w:val="both"/>
      </w:pPr>
      <w:r>
        <w:rPr>
          <w:rFonts w:ascii="Times New Roman"/>
          <w:b w:val="false"/>
          <w:i w:val="false"/>
          <w:color w:val="000000"/>
          <w:sz w:val="28"/>
        </w:rPr>
        <w:t>
      49) уполномоченная организация - организация, уполномоченная государственным органом в сфере обращения лекарственных средств и медицинских изделий на осуществление мониторинга безопасности лекарственных препаратов;</w:t>
      </w:r>
    </w:p>
    <w:bookmarkEnd w:id="6357"/>
    <w:bookmarkStart w:name="z6527" w:id="6358"/>
    <w:p>
      <w:pPr>
        <w:spacing w:after="0"/>
        <w:ind w:left="0"/>
        <w:jc w:val="both"/>
      </w:pPr>
      <w:r>
        <w:rPr>
          <w:rFonts w:ascii="Times New Roman"/>
          <w:b w:val="false"/>
          <w:i w:val="false"/>
          <w:color w:val="000000"/>
          <w:sz w:val="28"/>
        </w:rPr>
        <w:t>
      50) продолжающееся клиническое исследование - исследование (испытание), в которое началось включение пациентов, либо исследование (испытание) проводится на текущий момент времени, либо завершен анализ, но финального отчета о клиническом исследовании (испытании) не имеется;</w:t>
      </w:r>
    </w:p>
    <w:bookmarkEnd w:id="6358"/>
    <w:bookmarkStart w:name="z6528" w:id="6359"/>
    <w:p>
      <w:pPr>
        <w:spacing w:after="0"/>
        <w:ind w:left="0"/>
        <w:jc w:val="both"/>
      </w:pPr>
      <w:r>
        <w:rPr>
          <w:rFonts w:ascii="Times New Roman"/>
          <w:b w:val="false"/>
          <w:i w:val="false"/>
          <w:color w:val="000000"/>
          <w:sz w:val="28"/>
        </w:rPr>
        <w:t>
      51) система фармаконадзора - система, организуемая держателем регистрационного удостоверения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6359"/>
    <w:bookmarkStart w:name="z6529" w:id="6360"/>
    <w:p>
      <w:pPr>
        <w:spacing w:after="0"/>
        <w:ind w:left="0"/>
        <w:jc w:val="both"/>
      </w:pPr>
      <w:r>
        <w:rPr>
          <w:rFonts w:ascii="Times New Roman"/>
          <w:b w:val="false"/>
          <w:i w:val="false"/>
          <w:color w:val="000000"/>
          <w:sz w:val="28"/>
        </w:rPr>
        <w:t>
      52) мастер-файл системы фармаконадзора - подробное описание системы фармаконадзора, применяемой держателем регистрационного удостоверения по отношению к данным об одном или нескольких зарегистрированных лекарственных препаратах;</w:t>
      </w:r>
    </w:p>
    <w:bookmarkEnd w:id="6360"/>
    <w:bookmarkStart w:name="z6530" w:id="6361"/>
    <w:p>
      <w:pPr>
        <w:spacing w:after="0"/>
        <w:ind w:left="0"/>
        <w:jc w:val="both"/>
      </w:pPr>
      <w:r>
        <w:rPr>
          <w:rFonts w:ascii="Times New Roman"/>
          <w:b w:val="false"/>
          <w:i w:val="false"/>
          <w:color w:val="000000"/>
          <w:sz w:val="28"/>
        </w:rPr>
        <w:t>
      53) система качества системы фармаконадзора - организационная структура, обязанности, процедуры, процессы и ресурсы системы фармаконадзора, включая надлежащее управление ресурсами, документацией и соответствие требованиям законодательства Республики Казахстан;</w:t>
      </w:r>
    </w:p>
    <w:bookmarkEnd w:id="6361"/>
    <w:bookmarkStart w:name="z6531" w:id="6362"/>
    <w:p>
      <w:pPr>
        <w:spacing w:after="0"/>
        <w:ind w:left="0"/>
        <w:jc w:val="both"/>
      </w:pPr>
      <w:r>
        <w:rPr>
          <w:rFonts w:ascii="Times New Roman"/>
          <w:b w:val="false"/>
          <w:i w:val="false"/>
          <w:color w:val="000000"/>
          <w:sz w:val="28"/>
        </w:rPr>
        <w:t>
      54) качество системы фармаконадзора - все характеристики системы фармаконадзора, которые, в соответствии с оценкой вероятности, приводят к результатам, соответствующим целям системы фармаконадзора;</w:t>
      </w:r>
    </w:p>
    <w:bookmarkEnd w:id="6362"/>
    <w:bookmarkStart w:name="z6532" w:id="6363"/>
    <w:p>
      <w:pPr>
        <w:spacing w:after="0"/>
        <w:ind w:left="0"/>
        <w:jc w:val="both"/>
      </w:pPr>
      <w:r>
        <w:rPr>
          <w:rFonts w:ascii="Times New Roman"/>
          <w:b w:val="false"/>
          <w:i w:val="false"/>
          <w:color w:val="000000"/>
          <w:sz w:val="28"/>
        </w:rPr>
        <w:t>
      55) контроль и обеспечение качества системы фармаконадзора - мониторинг, оценка, обеспечение эффективности и соответствия установленным требованиям структурных элементов и процессов системы фармаконадзора;</w:t>
      </w:r>
    </w:p>
    <w:bookmarkEnd w:id="6363"/>
    <w:bookmarkStart w:name="z6533" w:id="6364"/>
    <w:p>
      <w:pPr>
        <w:spacing w:after="0"/>
        <w:ind w:left="0"/>
        <w:jc w:val="both"/>
      </w:pPr>
      <w:r>
        <w:rPr>
          <w:rFonts w:ascii="Times New Roman"/>
          <w:b w:val="false"/>
          <w:i w:val="false"/>
          <w:color w:val="000000"/>
          <w:sz w:val="28"/>
        </w:rPr>
        <w:t>
      56) международная дата регистрации - дата первой регистрации (одобрения к применению) в любой стране мира лекарственного препарата, содержащего определенное действующее вещество;</w:t>
      </w:r>
    </w:p>
    <w:bookmarkEnd w:id="6364"/>
    <w:bookmarkStart w:name="z6534" w:id="6365"/>
    <w:p>
      <w:pPr>
        <w:spacing w:after="0"/>
        <w:ind w:left="0"/>
        <w:jc w:val="both"/>
      </w:pPr>
      <w:r>
        <w:rPr>
          <w:rFonts w:ascii="Times New Roman"/>
          <w:b w:val="false"/>
          <w:i w:val="false"/>
          <w:color w:val="000000"/>
          <w:sz w:val="28"/>
        </w:rPr>
        <w:t>
      57) 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bookmarkEnd w:id="6365"/>
    <w:bookmarkStart w:name="z6535" w:id="6366"/>
    <w:p>
      <w:pPr>
        <w:spacing w:after="0"/>
        <w:ind w:left="0"/>
        <w:jc w:val="left"/>
      </w:pPr>
      <w:r>
        <w:rPr>
          <w:rFonts w:ascii="Times New Roman"/>
          <w:b/>
          <w:i w:val="false"/>
          <w:color w:val="000000"/>
        </w:rPr>
        <w:t xml:space="preserve"> Глава 2. Требования к системе качества</w:t>
      </w:r>
    </w:p>
    <w:bookmarkEnd w:id="6366"/>
    <w:bookmarkStart w:name="z6536" w:id="6367"/>
    <w:p>
      <w:pPr>
        <w:spacing w:after="0"/>
        <w:ind w:left="0"/>
        <w:jc w:val="left"/>
      </w:pPr>
      <w:r>
        <w:rPr>
          <w:rFonts w:ascii="Times New Roman"/>
          <w:b/>
          <w:i w:val="false"/>
          <w:color w:val="000000"/>
        </w:rPr>
        <w:t xml:space="preserve"> Параграф 1. Система качества</w:t>
      </w:r>
    </w:p>
    <w:bookmarkEnd w:id="6367"/>
    <w:bookmarkStart w:name="z6537" w:id="6368"/>
    <w:p>
      <w:pPr>
        <w:spacing w:after="0"/>
        <w:ind w:left="0"/>
        <w:jc w:val="both"/>
      </w:pPr>
      <w:r>
        <w:rPr>
          <w:rFonts w:ascii="Times New Roman"/>
          <w:b w:val="false"/>
          <w:i w:val="false"/>
          <w:color w:val="000000"/>
          <w:sz w:val="28"/>
        </w:rPr>
        <w:t>
      3. Система качества является неотъемлемой составляющей системы фармаконадзора. Система качества охватывает организационную структуру, область, процедуры, процессы и ресурсы системы фармаконадзора. Система качества направлена на обеспечение надлежащего управления ресурсами, контроль соответствия нормативным требованиям (нормам регулирования) и управления документацией.</w:t>
      </w:r>
    </w:p>
    <w:bookmarkEnd w:id="6368"/>
    <w:bookmarkStart w:name="z6538" w:id="6369"/>
    <w:p>
      <w:pPr>
        <w:spacing w:after="0"/>
        <w:ind w:left="0"/>
        <w:jc w:val="both"/>
      </w:pPr>
      <w:r>
        <w:rPr>
          <w:rFonts w:ascii="Times New Roman"/>
          <w:b w:val="false"/>
          <w:i w:val="false"/>
          <w:color w:val="000000"/>
          <w:sz w:val="28"/>
        </w:rPr>
        <w:t>
      4. Система качества предусматривает:</w:t>
      </w:r>
    </w:p>
    <w:bookmarkEnd w:id="6369"/>
    <w:bookmarkStart w:name="z6539" w:id="6370"/>
    <w:p>
      <w:pPr>
        <w:spacing w:after="0"/>
        <w:ind w:left="0"/>
        <w:jc w:val="both"/>
      </w:pPr>
      <w:r>
        <w:rPr>
          <w:rFonts w:ascii="Times New Roman"/>
          <w:b w:val="false"/>
          <w:i w:val="false"/>
          <w:color w:val="000000"/>
          <w:sz w:val="28"/>
        </w:rPr>
        <w:t>
      1) создание структуры системы и планирование интегрированных и согласованных процессов (планирование качества);</w:t>
      </w:r>
    </w:p>
    <w:bookmarkEnd w:id="6370"/>
    <w:bookmarkStart w:name="z6540" w:id="6371"/>
    <w:p>
      <w:pPr>
        <w:spacing w:after="0"/>
        <w:ind w:left="0"/>
        <w:jc w:val="both"/>
      </w:pPr>
      <w:r>
        <w:rPr>
          <w:rFonts w:ascii="Times New Roman"/>
          <w:b w:val="false"/>
          <w:i w:val="false"/>
          <w:color w:val="000000"/>
          <w:sz w:val="28"/>
        </w:rPr>
        <w:t>
      2) выполнение задач и обязанностей системы качества (контроль качества);</w:t>
      </w:r>
    </w:p>
    <w:bookmarkEnd w:id="6371"/>
    <w:bookmarkStart w:name="z6541" w:id="6372"/>
    <w:p>
      <w:pPr>
        <w:spacing w:after="0"/>
        <w:ind w:left="0"/>
        <w:jc w:val="both"/>
      </w:pPr>
      <w:r>
        <w:rPr>
          <w:rFonts w:ascii="Times New Roman"/>
          <w:b w:val="false"/>
          <w:i w:val="false"/>
          <w:color w:val="000000"/>
          <w:sz w:val="28"/>
        </w:rPr>
        <w:t>
      3) контроль и оценку эффективности работы структур и процессов системы качества (обеспечение качества);</w:t>
      </w:r>
    </w:p>
    <w:bookmarkEnd w:id="6372"/>
    <w:bookmarkStart w:name="z6542" w:id="6373"/>
    <w:p>
      <w:pPr>
        <w:spacing w:after="0"/>
        <w:ind w:left="0"/>
        <w:jc w:val="both"/>
      </w:pPr>
      <w:r>
        <w:rPr>
          <w:rFonts w:ascii="Times New Roman"/>
          <w:b w:val="false"/>
          <w:i w:val="false"/>
          <w:color w:val="000000"/>
          <w:sz w:val="28"/>
        </w:rPr>
        <w:t>
      4) корректировку и улучшение структуры и процессов системы качества (улучшение качества).</w:t>
      </w:r>
    </w:p>
    <w:bookmarkEnd w:id="6373"/>
    <w:bookmarkStart w:name="z6543" w:id="6374"/>
    <w:p>
      <w:pPr>
        <w:spacing w:after="0"/>
        <w:ind w:left="0"/>
        <w:jc w:val="both"/>
      </w:pPr>
      <w:r>
        <w:rPr>
          <w:rFonts w:ascii="Times New Roman"/>
          <w:b w:val="false"/>
          <w:i w:val="false"/>
          <w:color w:val="000000"/>
          <w:sz w:val="28"/>
        </w:rPr>
        <w:t>
      5. Общими целями системы качества в системе фармаконадзора являются:</w:t>
      </w:r>
    </w:p>
    <w:bookmarkEnd w:id="6374"/>
    <w:bookmarkStart w:name="z6544" w:id="6375"/>
    <w:p>
      <w:pPr>
        <w:spacing w:after="0"/>
        <w:ind w:left="0"/>
        <w:jc w:val="both"/>
      </w:pPr>
      <w:r>
        <w:rPr>
          <w:rFonts w:ascii="Times New Roman"/>
          <w:b w:val="false"/>
          <w:i w:val="false"/>
          <w:color w:val="000000"/>
          <w:sz w:val="28"/>
        </w:rPr>
        <w:t>
      1) выполнение нормативных требований (норм регулирования) и обязанностей по фармаконадзору;</w:t>
      </w:r>
    </w:p>
    <w:bookmarkEnd w:id="6375"/>
    <w:bookmarkStart w:name="z6545" w:id="6376"/>
    <w:p>
      <w:pPr>
        <w:spacing w:after="0"/>
        <w:ind w:left="0"/>
        <w:jc w:val="both"/>
      </w:pPr>
      <w:r>
        <w:rPr>
          <w:rFonts w:ascii="Times New Roman"/>
          <w:b w:val="false"/>
          <w:i w:val="false"/>
          <w:color w:val="000000"/>
          <w:sz w:val="28"/>
        </w:rPr>
        <w:t>
      2) предотвращение нежелательных последствий применения зарегистрированных лекарственных препаратов;</w:t>
      </w:r>
    </w:p>
    <w:bookmarkEnd w:id="6376"/>
    <w:bookmarkStart w:name="z6546" w:id="6377"/>
    <w:p>
      <w:pPr>
        <w:spacing w:after="0"/>
        <w:ind w:left="0"/>
        <w:jc w:val="both"/>
      </w:pPr>
      <w:r>
        <w:rPr>
          <w:rFonts w:ascii="Times New Roman"/>
          <w:b w:val="false"/>
          <w:i w:val="false"/>
          <w:color w:val="000000"/>
          <w:sz w:val="28"/>
        </w:rPr>
        <w:t>
      3) обеспечение применения лекарственных препаратов при превышении пользы над риском;</w:t>
      </w:r>
    </w:p>
    <w:bookmarkEnd w:id="6377"/>
    <w:bookmarkStart w:name="z6547" w:id="6378"/>
    <w:p>
      <w:pPr>
        <w:spacing w:after="0"/>
        <w:ind w:left="0"/>
        <w:jc w:val="both"/>
      </w:pPr>
      <w:r>
        <w:rPr>
          <w:rFonts w:ascii="Times New Roman"/>
          <w:b w:val="false"/>
          <w:i w:val="false"/>
          <w:color w:val="000000"/>
          <w:sz w:val="28"/>
        </w:rPr>
        <w:t>
      4) содействие защите здоровья пациентов и общественного здоровья.</w:t>
      </w:r>
    </w:p>
    <w:bookmarkEnd w:id="6378"/>
    <w:bookmarkStart w:name="z6548" w:id="6379"/>
    <w:p>
      <w:pPr>
        <w:spacing w:after="0"/>
        <w:ind w:left="0"/>
        <w:jc w:val="left"/>
      </w:pPr>
      <w:r>
        <w:rPr>
          <w:rFonts w:ascii="Times New Roman"/>
          <w:b/>
          <w:i w:val="false"/>
          <w:color w:val="000000"/>
        </w:rPr>
        <w:t xml:space="preserve"> Параграф 2. Принципы надлежащей практики фармаконадзора</w:t>
      </w:r>
    </w:p>
    <w:bookmarkEnd w:id="6379"/>
    <w:bookmarkStart w:name="z6549" w:id="6380"/>
    <w:p>
      <w:pPr>
        <w:spacing w:after="0"/>
        <w:ind w:left="0"/>
        <w:jc w:val="both"/>
      </w:pPr>
      <w:r>
        <w:rPr>
          <w:rFonts w:ascii="Times New Roman"/>
          <w:b w:val="false"/>
          <w:i w:val="false"/>
          <w:color w:val="000000"/>
          <w:sz w:val="28"/>
        </w:rPr>
        <w:t>
      6. Для выполнения общих целей качества, изложенных в пункте 5, при разработке систем и процессов, а также выполнения всех задач и обязанностей используются принципы:</w:t>
      </w:r>
    </w:p>
    <w:bookmarkEnd w:id="6380"/>
    <w:bookmarkStart w:name="z6550" w:id="6381"/>
    <w:p>
      <w:pPr>
        <w:spacing w:after="0"/>
        <w:ind w:left="0"/>
        <w:jc w:val="both"/>
      </w:pPr>
      <w:r>
        <w:rPr>
          <w:rFonts w:ascii="Times New Roman"/>
          <w:b w:val="false"/>
          <w:i w:val="false"/>
          <w:color w:val="000000"/>
          <w:sz w:val="28"/>
        </w:rPr>
        <w:t>
      1) обеспечения удовлетворения требований пациентов, медицинских работников и общества в целом в отношении безопасности лекарственных препаратов;</w:t>
      </w:r>
    </w:p>
    <w:bookmarkEnd w:id="6381"/>
    <w:bookmarkStart w:name="z6551" w:id="6382"/>
    <w:p>
      <w:pPr>
        <w:spacing w:after="0"/>
        <w:ind w:left="0"/>
        <w:jc w:val="both"/>
      </w:pPr>
      <w:r>
        <w:rPr>
          <w:rFonts w:ascii="Times New Roman"/>
          <w:b w:val="false"/>
          <w:i w:val="false"/>
          <w:color w:val="000000"/>
          <w:sz w:val="28"/>
        </w:rPr>
        <w:t>
      2) обеспечения эффективного руководства по внедрению системы качества и мотивации персонала;</w:t>
      </w:r>
    </w:p>
    <w:bookmarkEnd w:id="6382"/>
    <w:bookmarkStart w:name="z6552" w:id="6383"/>
    <w:p>
      <w:pPr>
        <w:spacing w:after="0"/>
        <w:ind w:left="0"/>
        <w:jc w:val="both"/>
      </w:pPr>
      <w:r>
        <w:rPr>
          <w:rFonts w:ascii="Times New Roman"/>
          <w:b w:val="false"/>
          <w:i w:val="false"/>
          <w:color w:val="000000"/>
          <w:sz w:val="28"/>
        </w:rPr>
        <w:t>
      3) вовлечения всех сотрудников организации (предприятия) в процесс поддержки системы фармаконадзора на уровне возложенных на них обязанностей;</w:t>
      </w:r>
    </w:p>
    <w:bookmarkEnd w:id="6383"/>
    <w:bookmarkStart w:name="z6553" w:id="6384"/>
    <w:p>
      <w:pPr>
        <w:spacing w:after="0"/>
        <w:ind w:left="0"/>
        <w:jc w:val="both"/>
      </w:pPr>
      <w:r>
        <w:rPr>
          <w:rFonts w:ascii="Times New Roman"/>
          <w:b w:val="false"/>
          <w:i w:val="false"/>
          <w:color w:val="000000"/>
          <w:sz w:val="28"/>
        </w:rPr>
        <w:t>
      4) вовлечения всех сотрудников организации (предприятия) в постоянный процесс повышения качества системы фармаконадзора;</w:t>
      </w:r>
    </w:p>
    <w:bookmarkEnd w:id="6384"/>
    <w:bookmarkStart w:name="z6554" w:id="6385"/>
    <w:p>
      <w:pPr>
        <w:spacing w:after="0"/>
        <w:ind w:left="0"/>
        <w:jc w:val="both"/>
      </w:pPr>
      <w:r>
        <w:rPr>
          <w:rFonts w:ascii="Times New Roman"/>
          <w:b w:val="false"/>
          <w:i w:val="false"/>
          <w:color w:val="000000"/>
          <w:sz w:val="28"/>
        </w:rPr>
        <w:t>
      5) организации ресурсной базы и поставленных перед системой фармаконадзора задач в форму структур и процессов для обеспечения активной, соответствующей уровню риска, непрерывной работы по фармаконадзору;</w:t>
      </w:r>
    </w:p>
    <w:bookmarkEnd w:id="6385"/>
    <w:bookmarkStart w:name="z6555" w:id="6386"/>
    <w:p>
      <w:pPr>
        <w:spacing w:after="0"/>
        <w:ind w:left="0"/>
        <w:jc w:val="both"/>
      </w:pPr>
      <w:r>
        <w:rPr>
          <w:rFonts w:ascii="Times New Roman"/>
          <w:b w:val="false"/>
          <w:i w:val="false"/>
          <w:color w:val="000000"/>
          <w:sz w:val="28"/>
        </w:rPr>
        <w:t>
      6) учета, рассмотрения и оценки всех имеющихся доказательных данных по соотношению польза-риск и всех данных, оказывающих влияние на данное соотношение и применение лекарственного препарата для принятия дальнейших решений;</w:t>
      </w:r>
    </w:p>
    <w:bookmarkEnd w:id="6386"/>
    <w:bookmarkStart w:name="z6556" w:id="6387"/>
    <w:p>
      <w:pPr>
        <w:spacing w:after="0"/>
        <w:ind w:left="0"/>
        <w:jc w:val="both"/>
      </w:pPr>
      <w:r>
        <w:rPr>
          <w:rFonts w:ascii="Times New Roman"/>
          <w:b w:val="false"/>
          <w:i w:val="false"/>
          <w:color w:val="000000"/>
          <w:sz w:val="28"/>
        </w:rPr>
        <w:t>
      7) содействия развитию эффективного сотрудничества между разработчиками, держателем регистрационного удостоверения, уполномоченным органом, уполномоченной организацией, учреждениями здравоохранения, пациентами, медицинскими работниками, научными организациями и другими государствами в соответствии с условиями действующего законодательства.</w:t>
      </w:r>
    </w:p>
    <w:bookmarkEnd w:id="6387"/>
    <w:bookmarkStart w:name="z6557" w:id="6388"/>
    <w:p>
      <w:pPr>
        <w:spacing w:after="0"/>
        <w:ind w:left="0"/>
        <w:jc w:val="left"/>
      </w:pPr>
      <w:r>
        <w:rPr>
          <w:rFonts w:ascii="Times New Roman"/>
          <w:b/>
          <w:i w:val="false"/>
          <w:color w:val="000000"/>
        </w:rPr>
        <w:t xml:space="preserve"> Глава 3. Персонал</w:t>
      </w:r>
    </w:p>
    <w:bookmarkEnd w:id="6388"/>
    <w:bookmarkStart w:name="z6558" w:id="6389"/>
    <w:p>
      <w:pPr>
        <w:spacing w:after="0"/>
        <w:ind w:left="0"/>
        <w:jc w:val="left"/>
      </w:pPr>
      <w:r>
        <w:rPr>
          <w:rFonts w:ascii="Times New Roman"/>
          <w:b/>
          <w:i w:val="false"/>
          <w:color w:val="000000"/>
        </w:rPr>
        <w:t xml:space="preserve"> Параграф 1. Лица, осуществляющие работу по системе качества</w:t>
      </w:r>
    </w:p>
    <w:bookmarkEnd w:id="6389"/>
    <w:bookmarkStart w:name="z6559" w:id="6390"/>
    <w:p>
      <w:pPr>
        <w:spacing w:after="0"/>
        <w:ind w:left="0"/>
        <w:jc w:val="both"/>
      </w:pPr>
      <w:r>
        <w:rPr>
          <w:rFonts w:ascii="Times New Roman"/>
          <w:b w:val="false"/>
          <w:i w:val="false"/>
          <w:color w:val="000000"/>
          <w:sz w:val="28"/>
        </w:rPr>
        <w:t xml:space="preserve">
      7. Обеспечение работы системы фармаконадзора в соответствии с требованиями к системе качества осуществляется всеми специалистами, выполняющими работу по организации системы качества. Организация (предприятие) обеспечивает достаточное количество компетентных и обученных специалистов, имеющих соответствующую профессиональную подготовку, для выполнения требуемого объема работ по фармаконадзору на надлежащем уровне. </w:t>
      </w:r>
    </w:p>
    <w:bookmarkEnd w:id="6390"/>
    <w:bookmarkStart w:name="z6560" w:id="6391"/>
    <w:p>
      <w:pPr>
        <w:spacing w:after="0"/>
        <w:ind w:left="0"/>
        <w:jc w:val="both"/>
      </w:pPr>
      <w:r>
        <w:rPr>
          <w:rFonts w:ascii="Times New Roman"/>
          <w:b w:val="false"/>
          <w:i w:val="false"/>
          <w:color w:val="000000"/>
          <w:sz w:val="28"/>
        </w:rPr>
        <w:t>
      8. Руководство организации (предприятия):</w:t>
      </w:r>
    </w:p>
    <w:bookmarkEnd w:id="6391"/>
    <w:bookmarkStart w:name="z6561" w:id="6392"/>
    <w:p>
      <w:pPr>
        <w:spacing w:after="0"/>
        <w:ind w:left="0"/>
        <w:jc w:val="both"/>
      </w:pPr>
      <w:r>
        <w:rPr>
          <w:rFonts w:ascii="Times New Roman"/>
          <w:b w:val="false"/>
          <w:i w:val="false"/>
          <w:color w:val="000000"/>
          <w:sz w:val="28"/>
        </w:rPr>
        <w:t>
      1) обеспечивает документирование системы качества в соответствии с настоящим Стандартом;</w:t>
      </w:r>
    </w:p>
    <w:bookmarkEnd w:id="6392"/>
    <w:bookmarkStart w:name="z6562" w:id="6393"/>
    <w:p>
      <w:pPr>
        <w:spacing w:after="0"/>
        <w:ind w:left="0"/>
        <w:jc w:val="both"/>
      </w:pPr>
      <w:r>
        <w:rPr>
          <w:rFonts w:ascii="Times New Roman"/>
          <w:b w:val="false"/>
          <w:i w:val="false"/>
          <w:color w:val="000000"/>
          <w:sz w:val="28"/>
        </w:rPr>
        <w:t>
      2) обеспечивает надлежащий контроль и документирование всех изменений в системе фармаконадзора и системе качества фармаконадзора;</w:t>
      </w:r>
    </w:p>
    <w:bookmarkEnd w:id="6393"/>
    <w:bookmarkStart w:name="z6563" w:id="6394"/>
    <w:p>
      <w:pPr>
        <w:spacing w:after="0"/>
        <w:ind w:left="0"/>
        <w:jc w:val="both"/>
      </w:pPr>
      <w:r>
        <w:rPr>
          <w:rFonts w:ascii="Times New Roman"/>
          <w:b w:val="false"/>
          <w:i w:val="false"/>
          <w:color w:val="000000"/>
          <w:sz w:val="28"/>
        </w:rPr>
        <w:t>
      3) обеспечивает возможность обучения;</w:t>
      </w:r>
    </w:p>
    <w:bookmarkEnd w:id="6394"/>
    <w:bookmarkStart w:name="z6564" w:id="6395"/>
    <w:p>
      <w:pPr>
        <w:spacing w:after="0"/>
        <w:ind w:left="0"/>
        <w:jc w:val="both"/>
      </w:pPr>
      <w:r>
        <w:rPr>
          <w:rFonts w:ascii="Times New Roman"/>
          <w:b w:val="false"/>
          <w:i w:val="false"/>
          <w:color w:val="000000"/>
          <w:sz w:val="28"/>
        </w:rPr>
        <w:t>
      4) обеспечивает требуемыми ресурсами (необходимыми помещениями, оборудованием);</w:t>
      </w:r>
    </w:p>
    <w:bookmarkEnd w:id="6395"/>
    <w:bookmarkStart w:name="z6565" w:id="6396"/>
    <w:p>
      <w:pPr>
        <w:spacing w:after="0"/>
        <w:ind w:left="0"/>
        <w:jc w:val="both"/>
      </w:pPr>
      <w:r>
        <w:rPr>
          <w:rFonts w:ascii="Times New Roman"/>
          <w:b w:val="false"/>
          <w:i w:val="false"/>
          <w:color w:val="000000"/>
          <w:sz w:val="28"/>
        </w:rPr>
        <w:t>
      5) выполняет регулярную оценку работы системы фармаконадзора, включая интегрированную систему качества, с подтверждением ее эффективности. По мере необходимости реализуются требуемые корректирующие и предупреждающие мероприятия;</w:t>
      </w:r>
    </w:p>
    <w:bookmarkEnd w:id="6396"/>
    <w:bookmarkStart w:name="z6566" w:id="6397"/>
    <w:p>
      <w:pPr>
        <w:spacing w:after="0"/>
        <w:ind w:left="0"/>
        <w:jc w:val="both"/>
      </w:pPr>
      <w:r>
        <w:rPr>
          <w:rFonts w:ascii="Times New Roman"/>
          <w:b w:val="false"/>
          <w:i w:val="false"/>
          <w:color w:val="000000"/>
          <w:sz w:val="28"/>
        </w:rPr>
        <w:t>
      6) обеспечивает наличие эффективного механизма реализации соответствующих мер в случае выявления изменений профиля безопасности разрабатываемых (выпускаемых) лекарственных препаратов;</w:t>
      </w:r>
    </w:p>
    <w:bookmarkEnd w:id="6397"/>
    <w:bookmarkStart w:name="z6567" w:id="6398"/>
    <w:p>
      <w:pPr>
        <w:spacing w:after="0"/>
        <w:ind w:left="0"/>
        <w:jc w:val="both"/>
      </w:pPr>
      <w:r>
        <w:rPr>
          <w:rFonts w:ascii="Times New Roman"/>
          <w:b w:val="false"/>
          <w:i w:val="false"/>
          <w:color w:val="000000"/>
          <w:sz w:val="28"/>
        </w:rPr>
        <w:t>
      7) обеспечивает своевременное выявление и принятие по мере необходимости корректирующих и предупреждающих мер в случае несоблюдения требований к качеству системы фармаконадзора;</w:t>
      </w:r>
    </w:p>
    <w:bookmarkEnd w:id="6398"/>
    <w:bookmarkStart w:name="z6568" w:id="6399"/>
    <w:p>
      <w:pPr>
        <w:spacing w:after="0"/>
        <w:ind w:left="0"/>
        <w:jc w:val="both"/>
      </w:pPr>
      <w:r>
        <w:rPr>
          <w:rFonts w:ascii="Times New Roman"/>
          <w:b w:val="false"/>
          <w:i w:val="false"/>
          <w:color w:val="000000"/>
          <w:sz w:val="28"/>
        </w:rPr>
        <w:t>
      8) обеспечивает проведение регулярных аудитов системы.</w:t>
      </w:r>
    </w:p>
    <w:bookmarkEnd w:id="6399"/>
    <w:bookmarkStart w:name="z6569" w:id="6400"/>
    <w:p>
      <w:pPr>
        <w:spacing w:after="0"/>
        <w:ind w:left="0"/>
        <w:jc w:val="left"/>
      </w:pPr>
      <w:r>
        <w:rPr>
          <w:rFonts w:ascii="Times New Roman"/>
          <w:b/>
          <w:i w:val="false"/>
          <w:color w:val="000000"/>
        </w:rPr>
        <w:t xml:space="preserve"> Параграф 2. Обучение персонала</w:t>
      </w:r>
    </w:p>
    <w:bookmarkEnd w:id="6400"/>
    <w:bookmarkStart w:name="z6570" w:id="6401"/>
    <w:p>
      <w:pPr>
        <w:spacing w:after="0"/>
        <w:ind w:left="0"/>
        <w:jc w:val="both"/>
      </w:pPr>
      <w:r>
        <w:rPr>
          <w:rFonts w:ascii="Times New Roman"/>
          <w:b w:val="false"/>
          <w:i w:val="false"/>
          <w:color w:val="000000"/>
          <w:sz w:val="28"/>
        </w:rPr>
        <w:t>
      9. Возможность обеспечения требуемого качества выполнения процессов по фармаконадзору и получаемых результатов непосредственно связана с наличием достаточного количества компетентного, квалифицированного и обученного персонала.</w:t>
      </w:r>
    </w:p>
    <w:bookmarkEnd w:id="6401"/>
    <w:bookmarkStart w:name="z6571" w:id="6402"/>
    <w:p>
      <w:pPr>
        <w:spacing w:after="0"/>
        <w:ind w:left="0"/>
        <w:jc w:val="both"/>
      </w:pPr>
      <w:r>
        <w:rPr>
          <w:rFonts w:ascii="Times New Roman"/>
          <w:b w:val="false"/>
          <w:i w:val="false"/>
          <w:color w:val="000000"/>
          <w:sz w:val="28"/>
        </w:rPr>
        <w:t>
      10. Организация (предприятие) разрабатывает и выполняет план обучения специалистов по фармаконадзору. Обучение включает вводное обучение и последующее обучение на протяжении всего периода работы в соответствии с выполняемыми функциями и поставленными задачами. Обучение предусматривает повышение соответствующих профессиональных навыков, внедрение научных достижений в практику и выполняемые процедуры, обеспечение соответствия всех специалистов требованиям к квалификации, профессиональным навыкам, знаниям и пониманию выполняемых процедур по фармаконадзору. Все специалисты обучаются выполнению процедур, предусмотренных при выявлении изменений профиля безопасности лекарственных препаратов.</w:t>
      </w:r>
    </w:p>
    <w:bookmarkEnd w:id="6402"/>
    <w:bookmarkStart w:name="z6572" w:id="6403"/>
    <w:p>
      <w:pPr>
        <w:spacing w:after="0"/>
        <w:ind w:left="0"/>
        <w:jc w:val="both"/>
      </w:pPr>
      <w:r>
        <w:rPr>
          <w:rFonts w:ascii="Times New Roman"/>
          <w:b w:val="false"/>
          <w:i w:val="false"/>
          <w:color w:val="000000"/>
          <w:sz w:val="28"/>
        </w:rPr>
        <w:t>
      11. Действующие в организации (предприятии) процессы по проведению обучения предусматривают обеспечение контроля результатов обучения по достижению требуемого понимания и выполнения функций по фармаконадзору.</w:t>
      </w:r>
    </w:p>
    <w:bookmarkEnd w:id="6403"/>
    <w:bookmarkStart w:name="z6573" w:id="6404"/>
    <w:p>
      <w:pPr>
        <w:spacing w:after="0"/>
        <w:ind w:left="0"/>
        <w:jc w:val="both"/>
      </w:pPr>
      <w:r>
        <w:rPr>
          <w:rFonts w:ascii="Times New Roman"/>
          <w:b w:val="false"/>
          <w:i w:val="false"/>
          <w:color w:val="000000"/>
          <w:sz w:val="28"/>
        </w:rPr>
        <w:t>
      12. В организации (предприятии) обеспечивается проведение соответствующего обучения определенным аспектам фармаконадзора специалистов других подразделений, деятельность которых оказывает влияние на показатели системы фармаконадзора и выполнение функций по фармаконадзору. Указанная деятельность включает, но не ограничивается следующими видами: проведение клинических исследований (испытаний), работа с жалобами, подготовка медицинской информации, продажа и маркетинг, подготовка регистрационных документов, правовые вопросы и аудит.</w:t>
      </w:r>
    </w:p>
    <w:bookmarkEnd w:id="6404"/>
    <w:bookmarkStart w:name="z6574" w:id="6405"/>
    <w:p>
      <w:pPr>
        <w:spacing w:after="0"/>
        <w:ind w:left="0"/>
        <w:jc w:val="left"/>
      </w:pPr>
      <w:r>
        <w:rPr>
          <w:rFonts w:ascii="Times New Roman"/>
          <w:b/>
          <w:i w:val="false"/>
          <w:color w:val="000000"/>
        </w:rPr>
        <w:t xml:space="preserve"> Глава 4. Средства и оборудование для фармаконадзора</w:t>
      </w:r>
    </w:p>
    <w:bookmarkEnd w:id="6405"/>
    <w:bookmarkStart w:name="z6575" w:id="6406"/>
    <w:p>
      <w:pPr>
        <w:spacing w:after="0"/>
        <w:ind w:left="0"/>
        <w:jc w:val="both"/>
      </w:pPr>
      <w:r>
        <w:rPr>
          <w:rFonts w:ascii="Times New Roman"/>
          <w:b w:val="false"/>
          <w:i w:val="false"/>
          <w:color w:val="000000"/>
          <w:sz w:val="28"/>
        </w:rPr>
        <w:t xml:space="preserve">
      13. Достижение требуемого уровня качества в осуществлении процессов фармаконадзора и получаемых результатах связано и с обеспечением системы необходимыми средствами и оборудованием, используемыми в этих процессах. </w:t>
      </w:r>
    </w:p>
    <w:bookmarkEnd w:id="6406"/>
    <w:bookmarkStart w:name="z6576" w:id="6407"/>
    <w:p>
      <w:pPr>
        <w:spacing w:after="0"/>
        <w:ind w:left="0"/>
        <w:jc w:val="both"/>
      </w:pPr>
      <w:r>
        <w:rPr>
          <w:rFonts w:ascii="Times New Roman"/>
          <w:b w:val="false"/>
          <w:i w:val="false"/>
          <w:color w:val="000000"/>
          <w:sz w:val="28"/>
        </w:rPr>
        <w:t>
      14. Средства и оборудование располагаются, конструируются, адаптируются и обслуживаются в соответствии с поставленными целями в фармаконадзоре. Средства, оборудование и их функциональные свойства, важные для осуществления фармаконадзора, подлежат проверке, квалификации и (или) валидации для подтверждения соответствия предназначенной цели. Для определения масштаба проверки, квалификации или валидации использует документированную оценку риска. Этот метод управления рисками применяют в течение всего срока эксплуатации средств и оборудования, с учетом таких факторов, как влияние на безопасность пациента и качество данных, а также сложность соответствующих средств и оборудования.</w:t>
      </w:r>
    </w:p>
    <w:bookmarkEnd w:id="6407"/>
    <w:bookmarkStart w:name="z6577" w:id="6408"/>
    <w:p>
      <w:pPr>
        <w:spacing w:after="0"/>
        <w:ind w:left="0"/>
        <w:jc w:val="left"/>
      </w:pPr>
      <w:r>
        <w:rPr>
          <w:rFonts w:ascii="Times New Roman"/>
          <w:b/>
          <w:i w:val="false"/>
          <w:color w:val="000000"/>
        </w:rPr>
        <w:t xml:space="preserve"> Глава 5. Обеспечение соответствия нормативным требованиям</w:t>
      </w:r>
    </w:p>
    <w:bookmarkEnd w:id="6408"/>
    <w:bookmarkStart w:name="z6578" w:id="6409"/>
    <w:p>
      <w:pPr>
        <w:spacing w:after="0"/>
        <w:ind w:left="0"/>
        <w:jc w:val="left"/>
      </w:pPr>
      <w:r>
        <w:rPr>
          <w:rFonts w:ascii="Times New Roman"/>
          <w:b/>
          <w:i w:val="false"/>
          <w:color w:val="000000"/>
        </w:rPr>
        <w:t xml:space="preserve"> Параграф 1. Обеспечение соответствия нормативным требованиям держателем регистрационного удостоверения</w:t>
      </w:r>
    </w:p>
    <w:bookmarkEnd w:id="6409"/>
    <w:bookmarkStart w:name="z6579" w:id="6410"/>
    <w:p>
      <w:pPr>
        <w:spacing w:after="0"/>
        <w:ind w:left="0"/>
        <w:jc w:val="both"/>
      </w:pPr>
      <w:r>
        <w:rPr>
          <w:rFonts w:ascii="Times New Roman"/>
          <w:b w:val="false"/>
          <w:i w:val="false"/>
          <w:color w:val="000000"/>
          <w:sz w:val="28"/>
        </w:rPr>
        <w:t>
      15. В целях обеспечения соответствия нормативным требованиям держателем регистрационного удостоверения выполняются процессы по обеспечению качества системы, целью которых является:</w:t>
      </w:r>
    </w:p>
    <w:bookmarkEnd w:id="6410"/>
    <w:bookmarkStart w:name="z6580" w:id="6411"/>
    <w:p>
      <w:pPr>
        <w:spacing w:after="0"/>
        <w:ind w:left="0"/>
        <w:jc w:val="both"/>
      </w:pPr>
      <w:r>
        <w:rPr>
          <w:rFonts w:ascii="Times New Roman"/>
          <w:b w:val="false"/>
          <w:i w:val="false"/>
          <w:color w:val="000000"/>
          <w:sz w:val="28"/>
        </w:rPr>
        <w:t>
      1) выполнение постоянного мониторинга данных по фармаконадзору, разработка и внедрение мер минимизации риска при определении их необходимости, надлежащая оценка данных по безопасности вне зависимости от источника их получения (со стороны пациентов, медицинских и фармацевтических работников, опубликованных в медицинской литературе, выявленных в ходе пострегистрационных исследований);</w:t>
      </w:r>
    </w:p>
    <w:bookmarkEnd w:id="6411"/>
    <w:bookmarkStart w:name="z6581" w:id="6412"/>
    <w:p>
      <w:pPr>
        <w:spacing w:after="0"/>
        <w:ind w:left="0"/>
        <w:jc w:val="both"/>
      </w:pPr>
      <w:r>
        <w:rPr>
          <w:rFonts w:ascii="Times New Roman"/>
          <w:b w:val="false"/>
          <w:i w:val="false"/>
          <w:color w:val="000000"/>
          <w:sz w:val="28"/>
        </w:rPr>
        <w:t>
      2) выполнение научной оценки всей информации по профилю безопасности лекарственного препарата, включая информацию о нежелательных реакциях, развившихся при применении не в соответствии с утвержденной инструкцией по медицинскому применению;</w:t>
      </w:r>
    </w:p>
    <w:bookmarkEnd w:id="6412"/>
    <w:bookmarkStart w:name="z6582" w:id="6413"/>
    <w:p>
      <w:pPr>
        <w:spacing w:after="0"/>
        <w:ind w:left="0"/>
        <w:jc w:val="both"/>
      </w:pPr>
      <w:r>
        <w:rPr>
          <w:rFonts w:ascii="Times New Roman"/>
          <w:b w:val="false"/>
          <w:i w:val="false"/>
          <w:color w:val="000000"/>
          <w:sz w:val="28"/>
        </w:rPr>
        <w:t>
      3) выполнение требований законодательства Республики Казахстан по представлению в уполномоченную организацию информации о нежелательных реакциях и иной информации по безопасности. С целью надлежащего выполнения данной функции и обеспечения качества, целостности и полноты представляемой информации, надлежащей валидации сигналов, а также исключения дублирования сообщений, разрабатываются и внедряются соответствующие стандартные операционные процедуры;</w:t>
      </w:r>
    </w:p>
    <w:bookmarkEnd w:id="6413"/>
    <w:bookmarkStart w:name="z6583" w:id="6414"/>
    <w:p>
      <w:pPr>
        <w:spacing w:after="0"/>
        <w:ind w:left="0"/>
        <w:jc w:val="both"/>
      </w:pPr>
      <w:r>
        <w:rPr>
          <w:rFonts w:ascii="Times New Roman"/>
          <w:b w:val="false"/>
          <w:i w:val="false"/>
          <w:color w:val="000000"/>
          <w:sz w:val="28"/>
        </w:rPr>
        <w:t>
      4) обеспечение эффективной взаимосвязи с уполномоченным органом, уполномоченной организацией, включая информирование об изменениях профиля безопасности лекарственных препаратов и новых рисках, мастер-файле системы фармаконадзора, системы управления рисками, мер минимизации риска, ПОБ, корректирующих и предупреждающих мерах, пострегистрационных исследованиях по безопасности;</w:t>
      </w:r>
    </w:p>
    <w:bookmarkEnd w:id="6414"/>
    <w:bookmarkStart w:name="z6584" w:id="6415"/>
    <w:p>
      <w:pPr>
        <w:spacing w:after="0"/>
        <w:ind w:left="0"/>
        <w:jc w:val="both"/>
      </w:pPr>
      <w:r>
        <w:rPr>
          <w:rFonts w:ascii="Times New Roman"/>
          <w:b w:val="false"/>
          <w:i w:val="false"/>
          <w:color w:val="000000"/>
          <w:sz w:val="28"/>
        </w:rPr>
        <w:t>
      5) обеспечение соответствия информации по лекарственным препаратам (инструкции по медицинскому применению, листка-вкладыша) современному уровню научных знаний;</w:t>
      </w:r>
    </w:p>
    <w:bookmarkEnd w:id="6415"/>
    <w:bookmarkStart w:name="z6585" w:id="6416"/>
    <w:p>
      <w:pPr>
        <w:spacing w:after="0"/>
        <w:ind w:left="0"/>
        <w:jc w:val="both"/>
      </w:pPr>
      <w:r>
        <w:rPr>
          <w:rFonts w:ascii="Times New Roman"/>
          <w:b w:val="false"/>
          <w:i w:val="false"/>
          <w:color w:val="000000"/>
          <w:sz w:val="28"/>
        </w:rPr>
        <w:t>
      6) обеспечение медицинских работников и пациентов соответствующей информацией по безопасности.</w:t>
      </w:r>
    </w:p>
    <w:bookmarkEnd w:id="6416"/>
    <w:bookmarkStart w:name="z6586" w:id="6417"/>
    <w:p>
      <w:pPr>
        <w:spacing w:after="0"/>
        <w:ind w:left="0"/>
        <w:jc w:val="left"/>
      </w:pPr>
      <w:r>
        <w:rPr>
          <w:rFonts w:ascii="Times New Roman"/>
          <w:b/>
          <w:i w:val="false"/>
          <w:color w:val="000000"/>
        </w:rPr>
        <w:t xml:space="preserve"> Параграф 2. Обеспечение соответствия нормативным требованиям уполномоченным органом, уполномоченной организацией</w:t>
      </w:r>
    </w:p>
    <w:bookmarkEnd w:id="6417"/>
    <w:bookmarkStart w:name="z6587" w:id="6418"/>
    <w:p>
      <w:pPr>
        <w:spacing w:after="0"/>
        <w:ind w:left="0"/>
        <w:jc w:val="both"/>
      </w:pPr>
      <w:r>
        <w:rPr>
          <w:rFonts w:ascii="Times New Roman"/>
          <w:b w:val="false"/>
          <w:i w:val="false"/>
          <w:color w:val="000000"/>
          <w:sz w:val="28"/>
        </w:rPr>
        <w:t>
      16. Уполномоченный орган, уполномоченная организация обеспечивают соответствующую систему обеспечения качества процессов с целью осуществления:</w:t>
      </w:r>
    </w:p>
    <w:bookmarkEnd w:id="6418"/>
    <w:bookmarkStart w:name="z6588" w:id="6419"/>
    <w:p>
      <w:pPr>
        <w:spacing w:after="0"/>
        <w:ind w:left="0"/>
        <w:jc w:val="both"/>
      </w:pPr>
      <w:r>
        <w:rPr>
          <w:rFonts w:ascii="Times New Roman"/>
          <w:b w:val="false"/>
          <w:i w:val="false"/>
          <w:color w:val="000000"/>
          <w:sz w:val="28"/>
        </w:rPr>
        <w:t>
      1) оценки качества представляемых данных по фармаконадзору;</w:t>
      </w:r>
    </w:p>
    <w:bookmarkEnd w:id="6419"/>
    <w:bookmarkStart w:name="z6589" w:id="6420"/>
    <w:p>
      <w:pPr>
        <w:spacing w:after="0"/>
        <w:ind w:left="0"/>
        <w:jc w:val="both"/>
      </w:pPr>
      <w:r>
        <w:rPr>
          <w:rFonts w:ascii="Times New Roman"/>
          <w:b w:val="false"/>
          <w:i w:val="false"/>
          <w:color w:val="000000"/>
          <w:sz w:val="28"/>
        </w:rPr>
        <w:t>
      2) оценки и обработки данных по фармаконадзору в соответствии с действующим законодательством Республики Казахстан;</w:t>
      </w:r>
    </w:p>
    <w:bookmarkEnd w:id="6420"/>
    <w:bookmarkStart w:name="z6590" w:id="6421"/>
    <w:p>
      <w:pPr>
        <w:spacing w:after="0"/>
        <w:ind w:left="0"/>
        <w:jc w:val="both"/>
      </w:pPr>
      <w:r>
        <w:rPr>
          <w:rFonts w:ascii="Times New Roman"/>
          <w:b w:val="false"/>
          <w:i w:val="false"/>
          <w:color w:val="000000"/>
          <w:sz w:val="28"/>
        </w:rPr>
        <w:t>
      3) гарантированной независимости в выполнении деятельности по фармаконадзору;</w:t>
      </w:r>
    </w:p>
    <w:bookmarkEnd w:id="6421"/>
    <w:bookmarkStart w:name="z6591" w:id="6422"/>
    <w:p>
      <w:pPr>
        <w:spacing w:after="0"/>
        <w:ind w:left="0"/>
        <w:jc w:val="both"/>
      </w:pPr>
      <w:r>
        <w:rPr>
          <w:rFonts w:ascii="Times New Roman"/>
          <w:b w:val="false"/>
          <w:i w:val="false"/>
          <w:color w:val="000000"/>
          <w:sz w:val="28"/>
        </w:rPr>
        <w:t>
      4) эффективного информирования пациентов, медицинских работников, держателей регистрационных удостоверений и общества в целом;</w:t>
      </w:r>
    </w:p>
    <w:bookmarkEnd w:id="6422"/>
    <w:bookmarkStart w:name="z6592" w:id="6423"/>
    <w:p>
      <w:pPr>
        <w:spacing w:after="0"/>
        <w:ind w:left="0"/>
        <w:jc w:val="both"/>
      </w:pPr>
      <w:r>
        <w:rPr>
          <w:rFonts w:ascii="Times New Roman"/>
          <w:b w:val="false"/>
          <w:i w:val="false"/>
          <w:color w:val="000000"/>
          <w:sz w:val="28"/>
        </w:rPr>
        <w:t>
      5) проведения инспекций, включая дорегистрационное инспектирование.</w:t>
      </w:r>
    </w:p>
    <w:bookmarkEnd w:id="6423"/>
    <w:bookmarkStart w:name="z6593" w:id="6424"/>
    <w:p>
      <w:pPr>
        <w:spacing w:after="0"/>
        <w:ind w:left="0"/>
        <w:jc w:val="both"/>
      </w:pPr>
      <w:r>
        <w:rPr>
          <w:rFonts w:ascii="Times New Roman"/>
          <w:b w:val="false"/>
          <w:i w:val="false"/>
          <w:color w:val="000000"/>
          <w:sz w:val="28"/>
        </w:rPr>
        <w:t>
      17. Независимость в выполнении деятельности по фармаконадзору определяется принятием всех уполномоченных решений только в интересах здоровья пациента и общественного здоровья.</w:t>
      </w:r>
    </w:p>
    <w:bookmarkEnd w:id="6424"/>
    <w:bookmarkStart w:name="z6594" w:id="6425"/>
    <w:p>
      <w:pPr>
        <w:spacing w:after="0"/>
        <w:ind w:left="0"/>
        <w:jc w:val="left"/>
      </w:pPr>
      <w:r>
        <w:rPr>
          <w:rFonts w:ascii="Times New Roman"/>
          <w:b/>
          <w:i w:val="false"/>
          <w:color w:val="000000"/>
        </w:rPr>
        <w:t xml:space="preserve"> Глава 6. Документация</w:t>
      </w:r>
    </w:p>
    <w:bookmarkEnd w:id="6425"/>
    <w:bookmarkStart w:name="z6595" w:id="6426"/>
    <w:p>
      <w:pPr>
        <w:spacing w:after="0"/>
        <w:ind w:left="0"/>
        <w:jc w:val="left"/>
      </w:pPr>
      <w:r>
        <w:rPr>
          <w:rFonts w:ascii="Times New Roman"/>
          <w:b/>
          <w:i w:val="false"/>
          <w:color w:val="000000"/>
        </w:rPr>
        <w:t xml:space="preserve"> Параграф 1. Управление документацией</w:t>
      </w:r>
    </w:p>
    <w:bookmarkEnd w:id="6426"/>
    <w:bookmarkStart w:name="z6596" w:id="6427"/>
    <w:p>
      <w:pPr>
        <w:spacing w:after="0"/>
        <w:ind w:left="0"/>
        <w:jc w:val="both"/>
      </w:pPr>
      <w:r>
        <w:rPr>
          <w:rFonts w:ascii="Times New Roman"/>
          <w:b w:val="false"/>
          <w:i w:val="false"/>
          <w:color w:val="000000"/>
          <w:sz w:val="28"/>
        </w:rPr>
        <w:t xml:space="preserve">
      18. Система управления документацией является частью системы качества, распространяется на все документы системы фармаконадзора и обеспечивает возможность поиска данных и прослеживаемость выполняемых процедур, включая процедуры по оценке новых данных по безопасности в отношении времени выполнения оценки и принятых решений. </w:t>
      </w:r>
    </w:p>
    <w:bookmarkEnd w:id="6427"/>
    <w:bookmarkStart w:name="z6597" w:id="6428"/>
    <w:p>
      <w:pPr>
        <w:spacing w:after="0"/>
        <w:ind w:left="0"/>
        <w:jc w:val="both"/>
      </w:pPr>
      <w:r>
        <w:rPr>
          <w:rFonts w:ascii="Times New Roman"/>
          <w:b w:val="false"/>
          <w:i w:val="false"/>
          <w:color w:val="000000"/>
          <w:sz w:val="28"/>
        </w:rPr>
        <w:t>
      19. Система управления документацией обеспечивает:</w:t>
      </w:r>
    </w:p>
    <w:bookmarkEnd w:id="6428"/>
    <w:bookmarkStart w:name="z6598" w:id="6429"/>
    <w:p>
      <w:pPr>
        <w:spacing w:after="0"/>
        <w:ind w:left="0"/>
        <w:jc w:val="both"/>
      </w:pPr>
      <w:r>
        <w:rPr>
          <w:rFonts w:ascii="Times New Roman"/>
          <w:b w:val="false"/>
          <w:i w:val="false"/>
          <w:color w:val="000000"/>
          <w:sz w:val="28"/>
        </w:rPr>
        <w:t>
      1) качество данных по фармаконадзору, включая полноту, точность и целостность;</w:t>
      </w:r>
    </w:p>
    <w:bookmarkEnd w:id="6429"/>
    <w:bookmarkStart w:name="z6599" w:id="6430"/>
    <w:p>
      <w:pPr>
        <w:spacing w:after="0"/>
        <w:ind w:left="0"/>
        <w:jc w:val="both"/>
      </w:pPr>
      <w:r>
        <w:rPr>
          <w:rFonts w:ascii="Times New Roman"/>
          <w:b w:val="false"/>
          <w:i w:val="false"/>
          <w:color w:val="000000"/>
          <w:sz w:val="28"/>
        </w:rPr>
        <w:t>
      2) эффективную внутреннюю и внешнюю передачу данных;</w:t>
      </w:r>
    </w:p>
    <w:bookmarkEnd w:id="6430"/>
    <w:bookmarkStart w:name="z6600" w:id="6431"/>
    <w:p>
      <w:pPr>
        <w:spacing w:after="0"/>
        <w:ind w:left="0"/>
        <w:jc w:val="both"/>
      </w:pPr>
      <w:r>
        <w:rPr>
          <w:rFonts w:ascii="Times New Roman"/>
          <w:b w:val="false"/>
          <w:i w:val="false"/>
          <w:color w:val="000000"/>
          <w:sz w:val="28"/>
        </w:rPr>
        <w:t>
      3) сохранение документов, имеющих отношение к системам фармаконадзора и осуществления фармаконадзора по каждому из лекарственных препаратов, согласно применимым срокам хранения.</w:t>
      </w:r>
    </w:p>
    <w:bookmarkEnd w:id="6431"/>
    <w:bookmarkStart w:name="z6601" w:id="6432"/>
    <w:p>
      <w:pPr>
        <w:spacing w:after="0"/>
        <w:ind w:left="0"/>
        <w:jc w:val="both"/>
      </w:pPr>
      <w:r>
        <w:rPr>
          <w:rFonts w:ascii="Times New Roman"/>
          <w:b w:val="false"/>
          <w:i w:val="false"/>
          <w:color w:val="000000"/>
          <w:sz w:val="28"/>
        </w:rPr>
        <w:t>
      20. Держатель регистрационного удостоверения обеспечивает надлежащее документирование, обращение и хранение всей информации по фармаконадзору с целью выполнения процедур репортирования, интерпретации и верификации данных. Держателем регистрационного удостоверения обеспечивается функционирование системы прослеживаемости и последующей оценки сообщений о нежелательных реакциях.</w:t>
      </w:r>
    </w:p>
    <w:bookmarkEnd w:id="6432"/>
    <w:bookmarkStart w:name="z6602" w:id="6433"/>
    <w:p>
      <w:pPr>
        <w:spacing w:after="0"/>
        <w:ind w:left="0"/>
        <w:jc w:val="both"/>
      </w:pPr>
      <w:r>
        <w:rPr>
          <w:rFonts w:ascii="Times New Roman"/>
          <w:b w:val="false"/>
          <w:i w:val="false"/>
          <w:color w:val="000000"/>
          <w:sz w:val="28"/>
        </w:rPr>
        <w:t xml:space="preserve">
      21. Система управления документацией включает комплекс мер по обеспечению безопасности и конфиденциальности данных в целях выполнения требований по защите персональных данных пациентов в соответствии с действующими требованиями законодательства. Указанные меры включают строгое ограничение доступа к документации и базам данных только уполномоченных лиц. </w:t>
      </w:r>
    </w:p>
    <w:bookmarkEnd w:id="6433"/>
    <w:bookmarkStart w:name="z6603" w:id="6434"/>
    <w:p>
      <w:pPr>
        <w:spacing w:after="0"/>
        <w:ind w:left="0"/>
        <w:jc w:val="both"/>
      </w:pPr>
      <w:r>
        <w:rPr>
          <w:rFonts w:ascii="Times New Roman"/>
          <w:b w:val="false"/>
          <w:i w:val="false"/>
          <w:color w:val="000000"/>
          <w:sz w:val="28"/>
        </w:rPr>
        <w:t>
      22. Система управления документацией включают процессы обеспечения защиты информации по фармаконадзору от потери и разрушения.</w:t>
      </w:r>
    </w:p>
    <w:bookmarkEnd w:id="6434"/>
    <w:bookmarkStart w:name="z6604" w:id="6435"/>
    <w:p>
      <w:pPr>
        <w:spacing w:after="0"/>
        <w:ind w:left="0"/>
        <w:jc w:val="left"/>
      </w:pPr>
      <w:r>
        <w:rPr>
          <w:rFonts w:ascii="Times New Roman"/>
          <w:b/>
          <w:i w:val="false"/>
          <w:color w:val="000000"/>
        </w:rPr>
        <w:t xml:space="preserve"> Параграф 2. Документация системы качества</w:t>
      </w:r>
    </w:p>
    <w:bookmarkEnd w:id="6435"/>
    <w:bookmarkStart w:name="z6605" w:id="6436"/>
    <w:p>
      <w:pPr>
        <w:spacing w:after="0"/>
        <w:ind w:left="0"/>
        <w:jc w:val="both"/>
      </w:pPr>
      <w:r>
        <w:rPr>
          <w:rFonts w:ascii="Times New Roman"/>
          <w:b w:val="false"/>
          <w:i w:val="false"/>
          <w:color w:val="000000"/>
          <w:sz w:val="28"/>
        </w:rPr>
        <w:t>
      23. Все элементы, требования и положения системы качества документируются и систематизируются соответствующим образом в форме письменных руководств и процедур (план по качеству, руководство по качеству и отчеты по качеству).</w:t>
      </w:r>
    </w:p>
    <w:bookmarkEnd w:id="6436"/>
    <w:bookmarkStart w:name="z6606" w:id="6437"/>
    <w:p>
      <w:pPr>
        <w:spacing w:after="0"/>
        <w:ind w:left="0"/>
        <w:jc w:val="both"/>
      </w:pPr>
      <w:r>
        <w:rPr>
          <w:rFonts w:ascii="Times New Roman"/>
          <w:b w:val="false"/>
          <w:i w:val="false"/>
          <w:color w:val="000000"/>
          <w:sz w:val="28"/>
        </w:rPr>
        <w:t>
      24. План по качеству определяет основные цели системы качества и процессы, которые направлены для достижения поставленных целей. Процедуры по качеству представляют собой описание установленного порядка выполнения процессов и имеют форму стандартных операционных процедур и других форм рабочих инструкций или руководств. Руководство по качеству определяет область распространения системы качества, процессы системы качества и их взаимосвязь. Отчеты по качеству включают полученные результаты работы системы либо подтверждения выполняемой деятельности.</w:t>
      </w:r>
    </w:p>
    <w:bookmarkEnd w:id="6437"/>
    <w:bookmarkStart w:name="z6607" w:id="6438"/>
    <w:p>
      <w:pPr>
        <w:spacing w:after="0"/>
        <w:ind w:left="0"/>
        <w:jc w:val="both"/>
      </w:pPr>
      <w:r>
        <w:rPr>
          <w:rFonts w:ascii="Times New Roman"/>
          <w:b w:val="false"/>
          <w:i w:val="false"/>
          <w:color w:val="000000"/>
          <w:sz w:val="28"/>
        </w:rPr>
        <w:t>
      25. Система качества отражается в следующих документах:</w:t>
      </w:r>
    </w:p>
    <w:bookmarkEnd w:id="6438"/>
    <w:bookmarkStart w:name="z6608" w:id="6439"/>
    <w:p>
      <w:pPr>
        <w:spacing w:after="0"/>
        <w:ind w:left="0"/>
        <w:jc w:val="both"/>
      </w:pPr>
      <w:r>
        <w:rPr>
          <w:rFonts w:ascii="Times New Roman"/>
          <w:b w:val="false"/>
          <w:i w:val="false"/>
          <w:color w:val="000000"/>
          <w:sz w:val="28"/>
        </w:rPr>
        <w:t>
      1) документация по организационной структуре и обязанностям персонала;</w:t>
      </w:r>
    </w:p>
    <w:bookmarkEnd w:id="6439"/>
    <w:bookmarkStart w:name="z6609" w:id="6440"/>
    <w:p>
      <w:pPr>
        <w:spacing w:after="0"/>
        <w:ind w:left="0"/>
        <w:jc w:val="both"/>
      </w:pPr>
      <w:r>
        <w:rPr>
          <w:rFonts w:ascii="Times New Roman"/>
          <w:b w:val="false"/>
          <w:i w:val="false"/>
          <w:color w:val="000000"/>
          <w:sz w:val="28"/>
        </w:rPr>
        <w:t>
      2) план обучения и отчеты по проведенному обучению;</w:t>
      </w:r>
    </w:p>
    <w:bookmarkEnd w:id="6440"/>
    <w:bookmarkStart w:name="z6610" w:id="6441"/>
    <w:p>
      <w:pPr>
        <w:spacing w:after="0"/>
        <w:ind w:left="0"/>
        <w:jc w:val="both"/>
      </w:pPr>
      <w:r>
        <w:rPr>
          <w:rFonts w:ascii="Times New Roman"/>
          <w:b w:val="false"/>
          <w:i w:val="false"/>
          <w:color w:val="000000"/>
          <w:sz w:val="28"/>
        </w:rPr>
        <w:t>
      3) инструкции по соответствию процессов управления;</w:t>
      </w:r>
    </w:p>
    <w:bookmarkEnd w:id="6441"/>
    <w:bookmarkStart w:name="z6611" w:id="6442"/>
    <w:p>
      <w:pPr>
        <w:spacing w:after="0"/>
        <w:ind w:left="0"/>
        <w:jc w:val="both"/>
      </w:pPr>
      <w:r>
        <w:rPr>
          <w:rFonts w:ascii="Times New Roman"/>
          <w:b w:val="false"/>
          <w:i w:val="false"/>
          <w:color w:val="000000"/>
          <w:sz w:val="28"/>
        </w:rPr>
        <w:t>
      4) инструкции по критическим процессам фармаконадзора, включая обеспечение непрерывности процесса;</w:t>
      </w:r>
    </w:p>
    <w:bookmarkEnd w:id="6442"/>
    <w:bookmarkStart w:name="z6612" w:id="6443"/>
    <w:p>
      <w:pPr>
        <w:spacing w:after="0"/>
        <w:ind w:left="0"/>
        <w:jc w:val="both"/>
      </w:pPr>
      <w:r>
        <w:rPr>
          <w:rFonts w:ascii="Times New Roman"/>
          <w:b w:val="false"/>
          <w:i w:val="false"/>
          <w:color w:val="000000"/>
          <w:sz w:val="28"/>
        </w:rPr>
        <w:t>
      5) индикаторы выполнения процессов, которые используются для постоянного мониторирования надлежащего выполнения функций по фармаконадзору;</w:t>
      </w:r>
    </w:p>
    <w:bookmarkEnd w:id="6443"/>
    <w:bookmarkStart w:name="z6613" w:id="6444"/>
    <w:p>
      <w:pPr>
        <w:spacing w:after="0"/>
        <w:ind w:left="0"/>
        <w:jc w:val="both"/>
      </w:pPr>
      <w:r>
        <w:rPr>
          <w:rFonts w:ascii="Times New Roman"/>
          <w:b w:val="false"/>
          <w:i w:val="false"/>
          <w:color w:val="000000"/>
          <w:sz w:val="28"/>
        </w:rPr>
        <w:t>
      6) отчеты по аудиту и последующему аудиту системы качества, включая полученные данные и результаты.</w:t>
      </w:r>
    </w:p>
    <w:bookmarkEnd w:id="6444"/>
    <w:bookmarkStart w:name="z6614" w:id="6445"/>
    <w:p>
      <w:pPr>
        <w:spacing w:after="0"/>
        <w:ind w:left="0"/>
        <w:jc w:val="both"/>
      </w:pPr>
      <w:r>
        <w:rPr>
          <w:rFonts w:ascii="Times New Roman"/>
          <w:b w:val="false"/>
          <w:i w:val="false"/>
          <w:color w:val="000000"/>
          <w:sz w:val="28"/>
        </w:rPr>
        <w:t>
      Документация по системе качества также включает:</w:t>
      </w:r>
    </w:p>
    <w:bookmarkEnd w:id="6445"/>
    <w:bookmarkStart w:name="z6615" w:id="6446"/>
    <w:p>
      <w:pPr>
        <w:spacing w:after="0"/>
        <w:ind w:left="0"/>
        <w:jc w:val="both"/>
      </w:pPr>
      <w:r>
        <w:rPr>
          <w:rFonts w:ascii="Times New Roman"/>
          <w:b w:val="false"/>
          <w:i w:val="false"/>
          <w:color w:val="000000"/>
          <w:sz w:val="28"/>
        </w:rPr>
        <w:t>
      1) методы мониторирования эффективности функционирования системы качества и, в частности, ее способность выполнения задач системы качества;</w:t>
      </w:r>
    </w:p>
    <w:bookmarkEnd w:id="6446"/>
    <w:bookmarkStart w:name="z6616" w:id="6447"/>
    <w:p>
      <w:pPr>
        <w:spacing w:after="0"/>
        <w:ind w:left="0"/>
        <w:jc w:val="both"/>
      </w:pPr>
      <w:r>
        <w:rPr>
          <w:rFonts w:ascii="Times New Roman"/>
          <w:b w:val="false"/>
          <w:i w:val="false"/>
          <w:color w:val="000000"/>
          <w:sz w:val="28"/>
        </w:rPr>
        <w:t>
      2) отчеты по результатам выполненных процедур по фармаконадзору, подтверждающие выполнение всех предусмотренных этапов и действий;</w:t>
      </w:r>
    </w:p>
    <w:bookmarkEnd w:id="6447"/>
    <w:bookmarkStart w:name="z6617" w:id="6448"/>
    <w:p>
      <w:pPr>
        <w:spacing w:after="0"/>
        <w:ind w:left="0"/>
        <w:jc w:val="both"/>
      </w:pPr>
      <w:r>
        <w:rPr>
          <w:rFonts w:ascii="Times New Roman"/>
          <w:b w:val="false"/>
          <w:i w:val="false"/>
          <w:color w:val="000000"/>
          <w:sz w:val="28"/>
        </w:rPr>
        <w:t>
      3) документы и отчеты по средствам и оборудованию, включая проверку функциональных свойств, деятельность по квалификации и валидации, которые подтверждают выполнение всех стадий соответствующих требований, протоколов и процедур;</w:t>
      </w:r>
    </w:p>
    <w:bookmarkEnd w:id="6448"/>
    <w:bookmarkStart w:name="z6618" w:id="6449"/>
    <w:p>
      <w:pPr>
        <w:spacing w:after="0"/>
        <w:ind w:left="0"/>
        <w:jc w:val="both"/>
      </w:pPr>
      <w:r>
        <w:rPr>
          <w:rFonts w:ascii="Times New Roman"/>
          <w:b w:val="false"/>
          <w:i w:val="false"/>
          <w:color w:val="000000"/>
          <w:sz w:val="28"/>
        </w:rPr>
        <w:t>
      4) отчеты, подтверждающие контроль отклонений от установленной системы качества, принятие корректирующих и предупреждающих мероприятий, оценку эффективности принятых мер.</w:t>
      </w:r>
    </w:p>
    <w:bookmarkEnd w:id="6449"/>
    <w:bookmarkStart w:name="z6619" w:id="6450"/>
    <w:p>
      <w:pPr>
        <w:spacing w:after="0"/>
        <w:ind w:left="0"/>
        <w:jc w:val="left"/>
      </w:pPr>
      <w:r>
        <w:rPr>
          <w:rFonts w:ascii="Times New Roman"/>
          <w:b/>
          <w:i w:val="false"/>
          <w:color w:val="000000"/>
        </w:rPr>
        <w:t xml:space="preserve"> Параграф 3. Дополнительная документация по системе качества держателя регистрационного удостоверения</w:t>
      </w:r>
    </w:p>
    <w:bookmarkEnd w:id="6450"/>
    <w:bookmarkStart w:name="z6620" w:id="6451"/>
    <w:p>
      <w:pPr>
        <w:spacing w:after="0"/>
        <w:ind w:left="0"/>
        <w:jc w:val="both"/>
      </w:pPr>
      <w:r>
        <w:rPr>
          <w:rFonts w:ascii="Times New Roman"/>
          <w:b w:val="false"/>
          <w:i w:val="false"/>
          <w:color w:val="000000"/>
          <w:sz w:val="28"/>
        </w:rPr>
        <w:t>
      26. В дополнение к требуемой документации по системе качества держатель регистрационного удостоверения документирует организационную структуру, определяющую иерархическую взаимосвязь управляющего и контролирующего персонала, а также обязанности и функции персонала, систему управления ресурсами.</w:t>
      </w:r>
    </w:p>
    <w:bookmarkEnd w:id="6451"/>
    <w:bookmarkStart w:name="z6621" w:id="6452"/>
    <w:p>
      <w:pPr>
        <w:spacing w:after="0"/>
        <w:ind w:left="0"/>
        <w:jc w:val="left"/>
      </w:pPr>
      <w:r>
        <w:rPr>
          <w:rFonts w:ascii="Times New Roman"/>
          <w:b/>
          <w:i w:val="false"/>
          <w:color w:val="000000"/>
        </w:rPr>
        <w:t xml:space="preserve"> Параграф 4. Дополнительная документация по системе качества уполномоченного органа</w:t>
      </w:r>
    </w:p>
    <w:bookmarkEnd w:id="6452"/>
    <w:bookmarkStart w:name="z6622" w:id="6453"/>
    <w:p>
      <w:pPr>
        <w:spacing w:after="0"/>
        <w:ind w:left="0"/>
        <w:jc w:val="both"/>
      </w:pPr>
      <w:r>
        <w:rPr>
          <w:rFonts w:ascii="Times New Roman"/>
          <w:b w:val="false"/>
          <w:i w:val="false"/>
          <w:color w:val="000000"/>
          <w:sz w:val="28"/>
        </w:rPr>
        <w:t>
      27. В дополнение к требуемой документации по системе качества, уполномоченный орган документирует организационную структуру, распределение задач всего персонала, а также определяет контактные лица для обеспечения взаимодействия между уполномоченным органом, держателем регистрационного удостоверения и лицами, представляющими информацию по рискам, связанным с лекарственными препаратами.</w:t>
      </w:r>
    </w:p>
    <w:bookmarkEnd w:id="6453"/>
    <w:bookmarkStart w:name="z6623" w:id="6454"/>
    <w:p>
      <w:pPr>
        <w:spacing w:after="0"/>
        <w:ind w:left="0"/>
        <w:jc w:val="left"/>
      </w:pPr>
      <w:r>
        <w:rPr>
          <w:rFonts w:ascii="Times New Roman"/>
          <w:b/>
          <w:i w:val="false"/>
          <w:color w:val="000000"/>
        </w:rPr>
        <w:t xml:space="preserve"> Глава 7. Критические процессы в фармаконадзоре</w:t>
      </w:r>
    </w:p>
    <w:bookmarkEnd w:id="6454"/>
    <w:bookmarkStart w:name="z6624" w:id="6455"/>
    <w:p>
      <w:pPr>
        <w:spacing w:after="0"/>
        <w:ind w:left="0"/>
        <w:jc w:val="both"/>
      </w:pPr>
      <w:r>
        <w:rPr>
          <w:rFonts w:ascii="Times New Roman"/>
          <w:b w:val="false"/>
          <w:i w:val="false"/>
          <w:color w:val="000000"/>
          <w:sz w:val="28"/>
        </w:rPr>
        <w:t>
      28. Критические процессы в фармаконадзоре включают:</w:t>
      </w:r>
    </w:p>
    <w:bookmarkEnd w:id="6455"/>
    <w:bookmarkStart w:name="z6625" w:id="6456"/>
    <w:p>
      <w:pPr>
        <w:spacing w:after="0"/>
        <w:ind w:left="0"/>
        <w:jc w:val="both"/>
      </w:pPr>
      <w:r>
        <w:rPr>
          <w:rFonts w:ascii="Times New Roman"/>
          <w:b w:val="false"/>
          <w:i w:val="false"/>
          <w:color w:val="000000"/>
          <w:sz w:val="28"/>
        </w:rPr>
        <w:t>
      1) непрерывный мониторинг профиля безопасности и соотношения польза-риск зарегистрированных лекарственных препаратов;</w:t>
      </w:r>
    </w:p>
    <w:bookmarkEnd w:id="6456"/>
    <w:bookmarkStart w:name="z6626" w:id="6457"/>
    <w:p>
      <w:pPr>
        <w:spacing w:after="0"/>
        <w:ind w:left="0"/>
        <w:jc w:val="both"/>
      </w:pPr>
      <w:r>
        <w:rPr>
          <w:rFonts w:ascii="Times New Roman"/>
          <w:b w:val="false"/>
          <w:i w:val="false"/>
          <w:color w:val="000000"/>
          <w:sz w:val="28"/>
        </w:rPr>
        <w:t>
      2) внедрение, реализацию и оценку системы управления рисками с оценкой эффективности мер минимизации риска;</w:t>
      </w:r>
    </w:p>
    <w:bookmarkEnd w:id="6457"/>
    <w:bookmarkStart w:name="z6627" w:id="6458"/>
    <w:p>
      <w:pPr>
        <w:spacing w:after="0"/>
        <w:ind w:left="0"/>
        <w:jc w:val="both"/>
      </w:pPr>
      <w:r>
        <w:rPr>
          <w:rFonts w:ascii="Times New Roman"/>
          <w:b w:val="false"/>
          <w:i w:val="false"/>
          <w:color w:val="000000"/>
          <w:sz w:val="28"/>
        </w:rPr>
        <w:t>
      3) процедуры работы с индивидуальными сообщениями о нежелательных реакциях: сбор, обработка, управление, контроль качества, получение недостающих данных, присвоение номера, классификация, выявление повторных сообщений, оценка и своевременное представление;</w:t>
      </w:r>
    </w:p>
    <w:bookmarkEnd w:id="6458"/>
    <w:bookmarkStart w:name="z6628" w:id="6459"/>
    <w:p>
      <w:pPr>
        <w:spacing w:after="0"/>
        <w:ind w:left="0"/>
        <w:jc w:val="both"/>
      </w:pPr>
      <w:r>
        <w:rPr>
          <w:rFonts w:ascii="Times New Roman"/>
          <w:b w:val="false"/>
          <w:i w:val="false"/>
          <w:color w:val="000000"/>
          <w:sz w:val="28"/>
        </w:rPr>
        <w:t>
      4) выявление, изучение и оценка сигналов;</w:t>
      </w:r>
    </w:p>
    <w:bookmarkEnd w:id="6459"/>
    <w:bookmarkStart w:name="z6629" w:id="6460"/>
    <w:p>
      <w:pPr>
        <w:spacing w:after="0"/>
        <w:ind w:left="0"/>
        <w:jc w:val="both"/>
      </w:pPr>
      <w:r>
        <w:rPr>
          <w:rFonts w:ascii="Times New Roman"/>
          <w:b w:val="false"/>
          <w:i w:val="false"/>
          <w:color w:val="000000"/>
          <w:sz w:val="28"/>
        </w:rPr>
        <w:t>
      5) разработка, подготовка (включая оценку данных и контроль качества), представление и оценка периодических отчетов по безопасности;</w:t>
      </w:r>
    </w:p>
    <w:bookmarkEnd w:id="6460"/>
    <w:bookmarkStart w:name="z6630" w:id="6461"/>
    <w:p>
      <w:pPr>
        <w:spacing w:after="0"/>
        <w:ind w:left="0"/>
        <w:jc w:val="both"/>
      </w:pPr>
      <w:r>
        <w:rPr>
          <w:rFonts w:ascii="Times New Roman"/>
          <w:b w:val="false"/>
          <w:i w:val="false"/>
          <w:color w:val="000000"/>
          <w:sz w:val="28"/>
        </w:rPr>
        <w:t>
      6) выполнение обязательств при вызове уполномоченным органом и представление ответов на запросы уполномоченного органа, включая представление в уполномоченный орган правильной и полной информации;</w:t>
      </w:r>
    </w:p>
    <w:bookmarkEnd w:id="6461"/>
    <w:bookmarkStart w:name="z6631" w:id="6462"/>
    <w:p>
      <w:pPr>
        <w:spacing w:after="0"/>
        <w:ind w:left="0"/>
        <w:jc w:val="both"/>
      </w:pPr>
      <w:r>
        <w:rPr>
          <w:rFonts w:ascii="Times New Roman"/>
          <w:b w:val="false"/>
          <w:i w:val="false"/>
          <w:color w:val="000000"/>
          <w:sz w:val="28"/>
        </w:rPr>
        <w:t>
      7) обеспечение взаимодействия между фармаконадзором и системой контроля качества лекарственных препаратов;</w:t>
      </w:r>
    </w:p>
    <w:bookmarkEnd w:id="6462"/>
    <w:bookmarkStart w:name="z6632" w:id="6463"/>
    <w:p>
      <w:pPr>
        <w:spacing w:after="0"/>
        <w:ind w:left="0"/>
        <w:jc w:val="both"/>
      </w:pPr>
      <w:r>
        <w:rPr>
          <w:rFonts w:ascii="Times New Roman"/>
          <w:b w:val="false"/>
          <w:i w:val="false"/>
          <w:color w:val="000000"/>
          <w:sz w:val="28"/>
        </w:rPr>
        <w:t>
      8) информирование уполномоченного органа обо всех изменениях в оценке соотношения польза-риск зарегистрированных лекарственных препаратов;</w:t>
      </w:r>
    </w:p>
    <w:bookmarkEnd w:id="6463"/>
    <w:bookmarkStart w:name="z6633" w:id="6464"/>
    <w:p>
      <w:pPr>
        <w:spacing w:after="0"/>
        <w:ind w:left="0"/>
        <w:jc w:val="both"/>
      </w:pPr>
      <w:r>
        <w:rPr>
          <w:rFonts w:ascii="Times New Roman"/>
          <w:b w:val="false"/>
          <w:i w:val="false"/>
          <w:color w:val="000000"/>
          <w:sz w:val="28"/>
        </w:rPr>
        <w:t>
      9) информирование медицинских и фармацевтических работников, пациентов обо всех изменениях в оценке соотношения польза-риск с целью обеспечения безопасного и эффективного применения лекарственных препаратов;</w:t>
      </w:r>
    </w:p>
    <w:bookmarkEnd w:id="6464"/>
    <w:bookmarkStart w:name="z6634" w:id="6465"/>
    <w:p>
      <w:pPr>
        <w:spacing w:after="0"/>
        <w:ind w:left="0"/>
        <w:jc w:val="both"/>
      </w:pPr>
      <w:r>
        <w:rPr>
          <w:rFonts w:ascii="Times New Roman"/>
          <w:b w:val="false"/>
          <w:i w:val="false"/>
          <w:color w:val="000000"/>
          <w:sz w:val="28"/>
        </w:rPr>
        <w:t>
      10) обеспечение поддержания информации по лекарственному препарату, включая инструкцию по медицинскому применению, в соответствии с современным уровнем научных медицинских знаний, включая сделанные заключения по оценке и рекомендации уполномоченного органа;</w:t>
      </w:r>
    </w:p>
    <w:bookmarkEnd w:id="6465"/>
    <w:bookmarkStart w:name="z6635" w:id="6466"/>
    <w:p>
      <w:pPr>
        <w:spacing w:after="0"/>
        <w:ind w:left="0"/>
        <w:jc w:val="both"/>
      </w:pPr>
      <w:r>
        <w:rPr>
          <w:rFonts w:ascii="Times New Roman"/>
          <w:b w:val="false"/>
          <w:i w:val="false"/>
          <w:color w:val="000000"/>
          <w:sz w:val="28"/>
        </w:rPr>
        <w:t>
      11) выполнение всех требуемых действий в случае изменения регистрационного статуса по причине пересмотра профиля безопасности.</w:t>
      </w:r>
    </w:p>
    <w:bookmarkEnd w:id="6466"/>
    <w:bookmarkStart w:name="z6636" w:id="6467"/>
    <w:p>
      <w:pPr>
        <w:spacing w:after="0"/>
        <w:ind w:left="0"/>
        <w:jc w:val="both"/>
      </w:pPr>
      <w:r>
        <w:rPr>
          <w:rFonts w:ascii="Times New Roman"/>
          <w:b w:val="false"/>
          <w:i w:val="false"/>
          <w:color w:val="000000"/>
          <w:sz w:val="28"/>
        </w:rPr>
        <w:t>
      29. План обеспечения непрерывности процесса включает:</w:t>
      </w:r>
    </w:p>
    <w:bookmarkEnd w:id="6467"/>
    <w:bookmarkStart w:name="z6637" w:id="6468"/>
    <w:p>
      <w:pPr>
        <w:spacing w:after="0"/>
        <w:ind w:left="0"/>
        <w:jc w:val="both"/>
      </w:pPr>
      <w:r>
        <w:rPr>
          <w:rFonts w:ascii="Times New Roman"/>
          <w:b w:val="false"/>
          <w:i w:val="false"/>
          <w:color w:val="000000"/>
          <w:sz w:val="28"/>
        </w:rPr>
        <w:t>
      1) определение событий, которые существенно влияют на персонал организации (предприятия) в целом либо на структуры и процессы фармаконадзора в частности;</w:t>
      </w:r>
    </w:p>
    <w:bookmarkEnd w:id="6468"/>
    <w:bookmarkStart w:name="z6638" w:id="6469"/>
    <w:p>
      <w:pPr>
        <w:spacing w:after="0"/>
        <w:ind w:left="0"/>
        <w:jc w:val="both"/>
      </w:pPr>
      <w:r>
        <w:rPr>
          <w:rFonts w:ascii="Times New Roman"/>
          <w:b w:val="false"/>
          <w:i w:val="false"/>
          <w:color w:val="000000"/>
          <w:sz w:val="28"/>
        </w:rPr>
        <w:t>
      2) резервные системы на случай необходимости экстренного обмена информацией внутри организации (предприятия), с другими организациями, распределяющими выполнение функций по фармаконадзору, с другими разработчиками (держателями) регистрационных удостоверений и уполномоченным органом.</w:t>
      </w:r>
    </w:p>
    <w:bookmarkEnd w:id="6469"/>
    <w:bookmarkStart w:name="z6639" w:id="6470"/>
    <w:p>
      <w:pPr>
        <w:spacing w:after="0"/>
        <w:ind w:left="0"/>
        <w:jc w:val="left"/>
      </w:pPr>
      <w:r>
        <w:rPr>
          <w:rFonts w:ascii="Times New Roman"/>
          <w:b/>
          <w:i w:val="false"/>
          <w:color w:val="000000"/>
        </w:rPr>
        <w:t xml:space="preserve"> Глава 8. Контроль функционирования и эффективности системы фармаконадзора и ее системы качества</w:t>
      </w:r>
    </w:p>
    <w:bookmarkEnd w:id="6470"/>
    <w:bookmarkStart w:name="z6640" w:id="6471"/>
    <w:p>
      <w:pPr>
        <w:spacing w:after="0"/>
        <w:ind w:left="0"/>
        <w:jc w:val="both"/>
      </w:pPr>
      <w:r>
        <w:rPr>
          <w:rFonts w:ascii="Times New Roman"/>
          <w:b w:val="false"/>
          <w:i w:val="false"/>
          <w:color w:val="000000"/>
          <w:sz w:val="28"/>
        </w:rPr>
        <w:t>
      30. Методы контроля деятельности и эффективности системы фармаконадзора включают:</w:t>
      </w:r>
    </w:p>
    <w:bookmarkEnd w:id="6471"/>
    <w:bookmarkStart w:name="z6641" w:id="6472"/>
    <w:p>
      <w:pPr>
        <w:spacing w:after="0"/>
        <w:ind w:left="0"/>
        <w:jc w:val="both"/>
      </w:pPr>
      <w:r>
        <w:rPr>
          <w:rFonts w:ascii="Times New Roman"/>
          <w:b w:val="false"/>
          <w:i w:val="false"/>
          <w:color w:val="000000"/>
          <w:sz w:val="28"/>
        </w:rPr>
        <w:t>
      1) обзор и анализ системы лицами, осуществляющими управление системой;</w:t>
      </w:r>
    </w:p>
    <w:bookmarkEnd w:id="6472"/>
    <w:bookmarkStart w:name="z6642" w:id="6473"/>
    <w:p>
      <w:pPr>
        <w:spacing w:after="0"/>
        <w:ind w:left="0"/>
        <w:jc w:val="both"/>
      </w:pPr>
      <w:r>
        <w:rPr>
          <w:rFonts w:ascii="Times New Roman"/>
          <w:b w:val="false"/>
          <w:i w:val="false"/>
          <w:color w:val="000000"/>
          <w:sz w:val="28"/>
        </w:rPr>
        <w:t>
      2) аудиты;</w:t>
      </w:r>
    </w:p>
    <w:bookmarkEnd w:id="6473"/>
    <w:bookmarkStart w:name="z6643" w:id="6474"/>
    <w:p>
      <w:pPr>
        <w:spacing w:after="0"/>
        <w:ind w:left="0"/>
        <w:jc w:val="both"/>
      </w:pPr>
      <w:r>
        <w:rPr>
          <w:rFonts w:ascii="Times New Roman"/>
          <w:b w:val="false"/>
          <w:i w:val="false"/>
          <w:color w:val="000000"/>
          <w:sz w:val="28"/>
        </w:rPr>
        <w:t>
      3) контроль соответствия требованиям;</w:t>
      </w:r>
    </w:p>
    <w:bookmarkEnd w:id="6474"/>
    <w:bookmarkStart w:name="z6644" w:id="6475"/>
    <w:p>
      <w:pPr>
        <w:spacing w:after="0"/>
        <w:ind w:left="0"/>
        <w:jc w:val="both"/>
      </w:pPr>
      <w:r>
        <w:rPr>
          <w:rFonts w:ascii="Times New Roman"/>
          <w:b w:val="false"/>
          <w:i w:val="false"/>
          <w:color w:val="000000"/>
          <w:sz w:val="28"/>
        </w:rPr>
        <w:t>
      4) инспекции;</w:t>
      </w:r>
    </w:p>
    <w:bookmarkEnd w:id="6475"/>
    <w:bookmarkStart w:name="z6645" w:id="6476"/>
    <w:p>
      <w:pPr>
        <w:spacing w:after="0"/>
        <w:ind w:left="0"/>
        <w:jc w:val="both"/>
      </w:pPr>
      <w:r>
        <w:rPr>
          <w:rFonts w:ascii="Times New Roman"/>
          <w:b w:val="false"/>
          <w:i w:val="false"/>
          <w:color w:val="000000"/>
          <w:sz w:val="28"/>
        </w:rPr>
        <w:t>
      5) оценка эффективности принятых мер по минимизации риска и обеспечения безопасного и эффективного применения лекарственных препаратов.</w:t>
      </w:r>
    </w:p>
    <w:bookmarkEnd w:id="6476"/>
    <w:bookmarkStart w:name="z6646" w:id="6477"/>
    <w:p>
      <w:pPr>
        <w:spacing w:after="0"/>
        <w:ind w:left="0"/>
        <w:jc w:val="both"/>
      </w:pPr>
      <w:r>
        <w:rPr>
          <w:rFonts w:ascii="Times New Roman"/>
          <w:b w:val="false"/>
          <w:i w:val="false"/>
          <w:color w:val="000000"/>
          <w:sz w:val="28"/>
        </w:rPr>
        <w:t>
      31. В целях выполнения мониторинга в организации (предприятии) заранее определяются индикаторы, по которым выполняется оценка эффективности функционирования системы фармаконадзора с точки зрения требований системы качества.</w:t>
      </w:r>
    </w:p>
    <w:bookmarkEnd w:id="6477"/>
    <w:bookmarkStart w:name="z6647" w:id="6478"/>
    <w:p>
      <w:pPr>
        <w:spacing w:after="0"/>
        <w:ind w:left="0"/>
        <w:jc w:val="both"/>
      </w:pPr>
      <w:r>
        <w:rPr>
          <w:rFonts w:ascii="Times New Roman"/>
          <w:b w:val="false"/>
          <w:i w:val="false"/>
          <w:color w:val="000000"/>
          <w:sz w:val="28"/>
        </w:rPr>
        <w:t>
      32. Аудит системы качества, основанный на оценке риска, выполняется регулярно через определенные интервалы времени с целью подтверждения соответствия установленным требованиям к качеству и определения эффективности. Аудит системы качества включает аудит системы фармакондзора, имеющей интегрированную систему качества. Аудит выполняется специалистами, не вовлеченными в выполнение функций и процедур, подлежащих аудиту. По результатам каждого аудита системы качества и последующего аудита составляется отчет, подлежащий оценке лицами, осуществляющими организацию соответствующих аудируемых процессов. В случае необходимости по результатам аудита предпринимаются корректирующие и предупреждающие мероприятия.</w:t>
      </w:r>
    </w:p>
    <w:bookmarkEnd w:id="6478"/>
    <w:bookmarkStart w:name="z6648" w:id="6479"/>
    <w:p>
      <w:pPr>
        <w:spacing w:after="0"/>
        <w:ind w:left="0"/>
        <w:jc w:val="both"/>
      </w:pPr>
      <w:r>
        <w:rPr>
          <w:rFonts w:ascii="Times New Roman"/>
          <w:b w:val="false"/>
          <w:i w:val="false"/>
          <w:color w:val="000000"/>
          <w:sz w:val="28"/>
        </w:rPr>
        <w:t>
      33. Уполномоченный орган обеспечивает мониторинг выполнения держателем регистрационного удостоверения определяемых действующим законодательством функций и обязанностей по фармаконадзору. В число мер по обеспечению мониторинга входит выполнение инспектирования держателя регистрационного удостоверения со стороны уполномоченного органа.</w:t>
      </w:r>
    </w:p>
    <w:bookmarkEnd w:id="6479"/>
    <w:bookmarkStart w:name="z6649" w:id="6480"/>
    <w:p>
      <w:pPr>
        <w:spacing w:after="0"/>
        <w:ind w:left="0"/>
        <w:jc w:val="left"/>
      </w:pPr>
      <w:r>
        <w:rPr>
          <w:rFonts w:ascii="Times New Roman"/>
          <w:b/>
          <w:i w:val="false"/>
          <w:color w:val="000000"/>
        </w:rPr>
        <w:t xml:space="preserve"> Глава 9. Уполномоченное лицо</w:t>
      </w:r>
    </w:p>
    <w:bookmarkEnd w:id="6480"/>
    <w:bookmarkStart w:name="z6650" w:id="6481"/>
    <w:p>
      <w:pPr>
        <w:spacing w:after="0"/>
        <w:ind w:left="0"/>
        <w:jc w:val="left"/>
      </w:pPr>
      <w:r>
        <w:rPr>
          <w:rFonts w:ascii="Times New Roman"/>
          <w:b/>
          <w:i w:val="false"/>
          <w:color w:val="000000"/>
        </w:rPr>
        <w:t xml:space="preserve"> Параграф 1. Уполномоченное лицо по фармаконадзору</w:t>
      </w:r>
    </w:p>
    <w:bookmarkEnd w:id="6481"/>
    <w:bookmarkStart w:name="z6651" w:id="6482"/>
    <w:p>
      <w:pPr>
        <w:spacing w:after="0"/>
        <w:ind w:left="0"/>
        <w:jc w:val="both"/>
      </w:pPr>
      <w:r>
        <w:rPr>
          <w:rFonts w:ascii="Times New Roman"/>
          <w:b w:val="false"/>
          <w:i w:val="false"/>
          <w:color w:val="000000"/>
          <w:sz w:val="28"/>
        </w:rPr>
        <w:t>
      34. Держатель регистрационного удостоверения назначает и имеет в постоянном распоряжении уполномоченное лицо по фармаконадзору (далее - УЛФ) в Республике Казахстан, обладающее требуемой квалификацией. Держатель регистрационного удостоверения сообщает фамилию и контактную информацию УЛФ в уполномоченную организацию. При изменении данной информации держатель регистрационного удостоверения информирует уполномоченную организацию в срок, устанавливаемый действующим законодательством Республики Казахcтан.</w:t>
      </w:r>
    </w:p>
    <w:bookmarkEnd w:id="6482"/>
    <w:bookmarkStart w:name="z6652" w:id="6483"/>
    <w:p>
      <w:pPr>
        <w:spacing w:after="0"/>
        <w:ind w:left="0"/>
        <w:jc w:val="both"/>
      </w:pPr>
      <w:r>
        <w:rPr>
          <w:rFonts w:ascii="Times New Roman"/>
          <w:b w:val="false"/>
          <w:i w:val="false"/>
          <w:color w:val="000000"/>
          <w:sz w:val="28"/>
        </w:rPr>
        <w:t xml:space="preserve">
      35. В каждой системе фармаконадзора обеспечивается наличие только одного УЛФ. Держатель регистрационного удостоверения, в общих или отдельных системах фармаконадзора, использует услуги одного УЛФ или лица в состоянии выполнять функции УЛФ более чем для одной системы фармаконадзора, при условии, что УЛФ в состоянии выполнять все свои обязанности. В дополнение к УЛФ, уполномоченная организация имеет полномочия направлять запрос о назначения контактного лица по фармаконадзору, находящегося на территории Республики Казахстан, подотчетного УЛФ. Контактное лицо, находящееся на территории Республики Казахстан, имеет полномочия действовать как УЛФ. </w:t>
      </w:r>
    </w:p>
    <w:bookmarkEnd w:id="6483"/>
    <w:bookmarkStart w:name="z6653" w:id="6484"/>
    <w:p>
      <w:pPr>
        <w:spacing w:after="0"/>
        <w:ind w:left="0"/>
        <w:jc w:val="both"/>
      </w:pPr>
      <w:r>
        <w:rPr>
          <w:rFonts w:ascii="Times New Roman"/>
          <w:b w:val="false"/>
          <w:i w:val="false"/>
          <w:color w:val="000000"/>
          <w:sz w:val="28"/>
        </w:rPr>
        <w:t>
      36. Обязанности УЛФ определяются в должностной инструкции.</w:t>
      </w:r>
    </w:p>
    <w:bookmarkEnd w:id="6484"/>
    <w:bookmarkStart w:name="z6654" w:id="6485"/>
    <w:p>
      <w:pPr>
        <w:spacing w:after="0"/>
        <w:ind w:left="0"/>
        <w:jc w:val="both"/>
      </w:pPr>
      <w:r>
        <w:rPr>
          <w:rFonts w:ascii="Times New Roman"/>
          <w:b w:val="false"/>
          <w:i w:val="false"/>
          <w:color w:val="000000"/>
          <w:sz w:val="28"/>
        </w:rPr>
        <w:t>
      37. Держателем регистрационного удостоверения предоставляются УЛФ достаточные полномочия по управлению деятельностью по фармаконадзору и системой качества. Держателем регистрационного удостоверения предоставляется УЛФ доступ к мастер-файлу системы фармаконадзора, а также полномочия по нему и обеспечивается возможность получения информации о любых изменениях в мастер-файле. Полномочия по системе фармаконадзора и мастер-файлу системы фармаконадзора позволяют УЛФ вносить изменения в систему, планы управления рисками, а также в подготовку регулирующих действий в ответ на чрезвычайные ситуации по изменению профиля безопасности.</w:t>
      </w:r>
    </w:p>
    <w:bookmarkEnd w:id="6485"/>
    <w:bookmarkStart w:name="z6655" w:id="6486"/>
    <w:p>
      <w:pPr>
        <w:spacing w:after="0"/>
        <w:ind w:left="0"/>
        <w:jc w:val="both"/>
      </w:pPr>
      <w:r>
        <w:rPr>
          <w:rFonts w:ascii="Times New Roman"/>
          <w:b w:val="false"/>
          <w:i w:val="false"/>
          <w:color w:val="000000"/>
          <w:sz w:val="28"/>
        </w:rPr>
        <w:t xml:space="preserve">
      38. Держателем регистрационного удостоверения обеспечивается наличие всех систем и процессов, позволяющих УЛФ выполнять возложенные на него обязанности. С этой целью держателем регистрационного удостоверения разрабатываются механизмы, при помощи которых УЛФ обеспечивается возможностью получения всей необходимой информацию и доступа ко всем данным, которые ему могут потребоваться: </w:t>
      </w:r>
    </w:p>
    <w:bookmarkEnd w:id="6486"/>
    <w:bookmarkStart w:name="z6656" w:id="6487"/>
    <w:p>
      <w:pPr>
        <w:spacing w:after="0"/>
        <w:ind w:left="0"/>
        <w:jc w:val="both"/>
      </w:pPr>
      <w:r>
        <w:rPr>
          <w:rFonts w:ascii="Times New Roman"/>
          <w:b w:val="false"/>
          <w:i w:val="false"/>
          <w:color w:val="000000"/>
          <w:sz w:val="28"/>
        </w:rPr>
        <w:t>
      1) чрезвычайные ситуации по изменениям профиля безопасности и вся другая информация в отношении оценки соотношения польза-риск лекарственных препаратов, на которые распространяется система фармаконадзора;</w:t>
      </w:r>
    </w:p>
    <w:bookmarkEnd w:id="6487"/>
    <w:bookmarkStart w:name="z6657" w:id="6488"/>
    <w:p>
      <w:pPr>
        <w:spacing w:after="0"/>
        <w:ind w:left="0"/>
        <w:jc w:val="both"/>
      </w:pPr>
      <w:r>
        <w:rPr>
          <w:rFonts w:ascii="Times New Roman"/>
          <w:b w:val="false"/>
          <w:i w:val="false"/>
          <w:color w:val="000000"/>
          <w:sz w:val="28"/>
        </w:rPr>
        <w:t>
      2) продолжающиеся и закончившиеся клинические исследования (испытания) и прочие исследования (испытания), о которых знает держатель регистрационного удостоверения и которые имеют отношение к безопасности лекарственных препаратов;</w:t>
      </w:r>
    </w:p>
    <w:bookmarkEnd w:id="6488"/>
    <w:bookmarkStart w:name="z6658" w:id="6489"/>
    <w:p>
      <w:pPr>
        <w:spacing w:after="0"/>
        <w:ind w:left="0"/>
        <w:jc w:val="both"/>
      </w:pPr>
      <w:r>
        <w:rPr>
          <w:rFonts w:ascii="Times New Roman"/>
          <w:b w:val="false"/>
          <w:i w:val="false"/>
          <w:color w:val="000000"/>
          <w:sz w:val="28"/>
        </w:rPr>
        <w:t xml:space="preserve">
      3) информация из иных источников, кроме источников держателя регистрационного удостоверения, в частности, источники, с которыми держатель регистрационного удостоверения имеет контрактные договоренности; </w:t>
      </w:r>
    </w:p>
    <w:bookmarkEnd w:id="6489"/>
    <w:bookmarkStart w:name="z6659" w:id="6490"/>
    <w:p>
      <w:pPr>
        <w:spacing w:after="0"/>
        <w:ind w:left="0"/>
        <w:jc w:val="both"/>
      </w:pPr>
      <w:r>
        <w:rPr>
          <w:rFonts w:ascii="Times New Roman"/>
          <w:b w:val="false"/>
          <w:i w:val="false"/>
          <w:color w:val="000000"/>
          <w:sz w:val="28"/>
        </w:rPr>
        <w:t>
      4) процедуры фармаконадзора, которые разрабатывает держатель регистрационного удостоверения на каждом уровне с целью обеспечения согласованности и соблюдения требований в пределах организации.</w:t>
      </w:r>
    </w:p>
    <w:bookmarkEnd w:id="6490"/>
    <w:bookmarkStart w:name="z6660" w:id="6491"/>
    <w:p>
      <w:pPr>
        <w:spacing w:after="0"/>
        <w:ind w:left="0"/>
        <w:jc w:val="both"/>
      </w:pPr>
      <w:r>
        <w:rPr>
          <w:rFonts w:ascii="Times New Roman"/>
          <w:b w:val="false"/>
          <w:i w:val="false"/>
          <w:color w:val="000000"/>
          <w:sz w:val="28"/>
        </w:rPr>
        <w:t>
      39. УЛФ получает информацию от руководящего персонала по результатам постоянных обзоров системы качества и предпринятым мерам, данные по соответствию требованиям, намеченным аудитам системы фармаконадзора. УЛФ имеет полномочия инициировать аудит в случае необходимости. Руководящий персонал предоставляет УЛФ копию плана корректирующих и предупреждающих мероприятий после каждого аудита, так чтобы УЛФ могло убедиться в принятии соответствующих корректирующих мероприятий.</w:t>
      </w:r>
    </w:p>
    <w:bookmarkEnd w:id="6491"/>
    <w:bookmarkStart w:name="z6661" w:id="6492"/>
    <w:p>
      <w:pPr>
        <w:spacing w:after="0"/>
        <w:ind w:left="0"/>
        <w:jc w:val="both"/>
      </w:pPr>
      <w:r>
        <w:rPr>
          <w:rFonts w:ascii="Times New Roman"/>
          <w:b w:val="false"/>
          <w:i w:val="false"/>
          <w:color w:val="000000"/>
          <w:sz w:val="28"/>
        </w:rPr>
        <w:t>
      40. Держателем регистрационного удостоверения обеспечивается возможность получения информации УЛФ из базы данных нежелательных реакций, имеющейся в его распоряжении.</w:t>
      </w:r>
    </w:p>
    <w:bookmarkEnd w:id="6492"/>
    <w:bookmarkStart w:name="z6662" w:id="6493"/>
    <w:p>
      <w:pPr>
        <w:spacing w:after="0"/>
        <w:ind w:left="0"/>
        <w:jc w:val="left"/>
      </w:pPr>
      <w:r>
        <w:rPr>
          <w:rFonts w:ascii="Times New Roman"/>
          <w:b/>
          <w:i w:val="false"/>
          <w:color w:val="000000"/>
        </w:rPr>
        <w:t xml:space="preserve"> Параграф 2. Квалификация лица, уполномоченного по фармаконадзору в Республике Казахстан</w:t>
      </w:r>
    </w:p>
    <w:bookmarkEnd w:id="6493"/>
    <w:bookmarkStart w:name="z6663" w:id="6494"/>
    <w:p>
      <w:pPr>
        <w:spacing w:after="0"/>
        <w:ind w:left="0"/>
        <w:jc w:val="both"/>
      </w:pPr>
      <w:r>
        <w:rPr>
          <w:rFonts w:ascii="Times New Roman"/>
          <w:b w:val="false"/>
          <w:i w:val="false"/>
          <w:color w:val="000000"/>
          <w:sz w:val="28"/>
        </w:rPr>
        <w:t xml:space="preserve">
      41. УЛФ имеет соответствующие теоретические и практические знания по осуществлению деятельности по фармаконадзору. УЛФ имеет навыки управления системами фармаконадзора, а также проведения экспертизы или имеет доступ к проведению экспертизы в таких областях, как медицина, фармацевтические науки, а также эпидемиология и биостатистика. </w:t>
      </w:r>
    </w:p>
    <w:bookmarkEnd w:id="6494"/>
    <w:bookmarkStart w:name="z6664" w:id="6495"/>
    <w:p>
      <w:pPr>
        <w:spacing w:after="0"/>
        <w:ind w:left="0"/>
        <w:jc w:val="both"/>
      </w:pPr>
      <w:r>
        <w:rPr>
          <w:rFonts w:ascii="Times New Roman"/>
          <w:b w:val="false"/>
          <w:i w:val="false"/>
          <w:color w:val="000000"/>
          <w:sz w:val="28"/>
        </w:rPr>
        <w:t>
      42. Держателем регистрационного удостоверения проводится обучение УЛФ в области своей системы фармаконадзора до того, как УЛФ займет должность уполномоченного лица. Обучение и его результаты надлежащим образом документируются.</w:t>
      </w:r>
    </w:p>
    <w:bookmarkEnd w:id="6495"/>
    <w:bookmarkStart w:name="z6665" w:id="6496"/>
    <w:p>
      <w:pPr>
        <w:spacing w:after="0"/>
        <w:ind w:left="0"/>
        <w:jc w:val="left"/>
      </w:pPr>
      <w:r>
        <w:rPr>
          <w:rFonts w:ascii="Times New Roman"/>
          <w:b/>
          <w:i w:val="false"/>
          <w:color w:val="000000"/>
        </w:rPr>
        <w:t xml:space="preserve"> Параграф 3. Функции лица, уполномоченного по фармаконадзору в Республике Казахстан</w:t>
      </w:r>
    </w:p>
    <w:bookmarkEnd w:id="6496"/>
    <w:bookmarkStart w:name="z6666" w:id="6497"/>
    <w:p>
      <w:pPr>
        <w:spacing w:after="0"/>
        <w:ind w:left="0"/>
        <w:jc w:val="both"/>
      </w:pPr>
      <w:r>
        <w:rPr>
          <w:rFonts w:ascii="Times New Roman"/>
          <w:b w:val="false"/>
          <w:i w:val="false"/>
          <w:color w:val="000000"/>
          <w:sz w:val="28"/>
        </w:rPr>
        <w:t>
      43. Квалифицированное лицо, уполномоченное по фармаконадзору в Республике Казахстан, является физическим лицом.</w:t>
      </w:r>
    </w:p>
    <w:bookmarkEnd w:id="6497"/>
    <w:bookmarkStart w:name="z6667" w:id="6498"/>
    <w:p>
      <w:pPr>
        <w:spacing w:after="0"/>
        <w:ind w:left="0"/>
        <w:jc w:val="both"/>
      </w:pPr>
      <w:r>
        <w:rPr>
          <w:rFonts w:ascii="Times New Roman"/>
          <w:b w:val="false"/>
          <w:i w:val="false"/>
          <w:color w:val="000000"/>
          <w:sz w:val="28"/>
        </w:rPr>
        <w:t>
      44. УЛФ, назначенное держателем регистрационного удостоверения, имеет соответствующую квалификацию и находится постоянном распоряжении держателя регистрационного удостоверения. На должность УЛФ назначается лицо, проживающее и работающее в Республике Казахстан. УЛФ отвечает за создание и функционирование системы фармаконадзора держателя регистрационного удостоверения и обладает соответствующими полномочиями в отношении мастер-файла системы фармаконадзора для обеспечения и соблюдения требований законодательства Республики Казахстан.</w:t>
      </w:r>
    </w:p>
    <w:bookmarkEnd w:id="6498"/>
    <w:bookmarkStart w:name="z6668" w:id="6499"/>
    <w:p>
      <w:pPr>
        <w:spacing w:after="0"/>
        <w:ind w:left="0"/>
        <w:jc w:val="both"/>
      </w:pPr>
      <w:r>
        <w:rPr>
          <w:rFonts w:ascii="Times New Roman"/>
          <w:b w:val="false"/>
          <w:i w:val="false"/>
          <w:color w:val="000000"/>
          <w:sz w:val="28"/>
        </w:rPr>
        <w:t>
      45. В отношении лекарственных препаратов, на которые распространяется система фармаконадзора держателя регистрационного удостоверения, УЛФ осуществляет следующее:</w:t>
      </w:r>
    </w:p>
    <w:bookmarkEnd w:id="6499"/>
    <w:bookmarkStart w:name="z6669" w:id="6500"/>
    <w:p>
      <w:pPr>
        <w:spacing w:after="0"/>
        <w:ind w:left="0"/>
        <w:jc w:val="both"/>
      </w:pPr>
      <w:r>
        <w:rPr>
          <w:rFonts w:ascii="Times New Roman"/>
          <w:b w:val="false"/>
          <w:i w:val="false"/>
          <w:color w:val="000000"/>
          <w:sz w:val="28"/>
        </w:rPr>
        <w:t>
      1) выполняет обзор профиля безопасности лекарственных препаратов и чрезвычайных ситуаций по изменению профилей безопасности;</w:t>
      </w:r>
    </w:p>
    <w:bookmarkEnd w:id="6500"/>
    <w:bookmarkStart w:name="z6670" w:id="6501"/>
    <w:p>
      <w:pPr>
        <w:spacing w:after="0"/>
        <w:ind w:left="0"/>
        <w:jc w:val="both"/>
      </w:pPr>
      <w:r>
        <w:rPr>
          <w:rFonts w:ascii="Times New Roman"/>
          <w:b w:val="false"/>
          <w:i w:val="false"/>
          <w:color w:val="000000"/>
          <w:sz w:val="28"/>
        </w:rPr>
        <w:t>
      2) владеет полной информацией об условиях и обязанностях, установленных при выдаче регистрационных удостоверений и других обязательствах, имеющих отношение к безопасности или безопасному применению лекарственных препаратов;</w:t>
      </w:r>
    </w:p>
    <w:bookmarkEnd w:id="6501"/>
    <w:bookmarkStart w:name="z6671" w:id="6502"/>
    <w:p>
      <w:pPr>
        <w:spacing w:after="0"/>
        <w:ind w:left="0"/>
        <w:jc w:val="both"/>
      </w:pPr>
      <w:r>
        <w:rPr>
          <w:rFonts w:ascii="Times New Roman"/>
          <w:b w:val="false"/>
          <w:i w:val="false"/>
          <w:color w:val="000000"/>
          <w:sz w:val="28"/>
        </w:rPr>
        <w:t>
      3) владеет полной информацией о мерах по минимизации рисков;</w:t>
      </w:r>
    </w:p>
    <w:bookmarkEnd w:id="6502"/>
    <w:bookmarkStart w:name="z6672" w:id="6503"/>
    <w:p>
      <w:pPr>
        <w:spacing w:after="0"/>
        <w:ind w:left="0"/>
        <w:jc w:val="both"/>
      </w:pPr>
      <w:r>
        <w:rPr>
          <w:rFonts w:ascii="Times New Roman"/>
          <w:b w:val="false"/>
          <w:i w:val="false"/>
          <w:color w:val="000000"/>
          <w:sz w:val="28"/>
        </w:rPr>
        <w:t>
      4) принимает участие в изучении и утверждении протоколов пострегистрационных исследований безопасности;</w:t>
      </w:r>
    </w:p>
    <w:bookmarkEnd w:id="6503"/>
    <w:bookmarkStart w:name="z6673" w:id="6504"/>
    <w:p>
      <w:pPr>
        <w:spacing w:after="0"/>
        <w:ind w:left="0"/>
        <w:jc w:val="both"/>
      </w:pPr>
      <w:r>
        <w:rPr>
          <w:rFonts w:ascii="Times New Roman"/>
          <w:b w:val="false"/>
          <w:i w:val="false"/>
          <w:color w:val="000000"/>
          <w:sz w:val="28"/>
        </w:rPr>
        <w:t>
      5) владеет полной информацией о пострегистрационных исследованиях по безопасности лекарственных препаратов, проведение которых назначено уполномоченным органом, включая результаты таких исследований;</w:t>
      </w:r>
    </w:p>
    <w:bookmarkEnd w:id="6504"/>
    <w:bookmarkStart w:name="z6674" w:id="6505"/>
    <w:p>
      <w:pPr>
        <w:spacing w:after="0"/>
        <w:ind w:left="0"/>
        <w:jc w:val="both"/>
      </w:pPr>
      <w:r>
        <w:rPr>
          <w:rFonts w:ascii="Times New Roman"/>
          <w:b w:val="false"/>
          <w:i w:val="false"/>
          <w:color w:val="000000"/>
          <w:sz w:val="28"/>
        </w:rPr>
        <w:t>
      6) дополняет планы управления рисками;</w:t>
      </w:r>
    </w:p>
    <w:bookmarkEnd w:id="6505"/>
    <w:bookmarkStart w:name="z6675" w:id="6506"/>
    <w:p>
      <w:pPr>
        <w:spacing w:after="0"/>
        <w:ind w:left="0"/>
        <w:jc w:val="both"/>
      </w:pPr>
      <w:r>
        <w:rPr>
          <w:rFonts w:ascii="Times New Roman"/>
          <w:b w:val="false"/>
          <w:i w:val="false"/>
          <w:color w:val="000000"/>
          <w:sz w:val="28"/>
        </w:rPr>
        <w:t>
      7) обеспечивает выполнение функций по фармаконадзору и предоставляет в уполномоченный орган все документы, имеющие отношение к фармаконадзору, согласно требованиям законодательства Республики, Казахстан и настоящего Стандарта;</w:t>
      </w:r>
    </w:p>
    <w:bookmarkEnd w:id="6506"/>
    <w:bookmarkStart w:name="z6676" w:id="6507"/>
    <w:p>
      <w:pPr>
        <w:spacing w:after="0"/>
        <w:ind w:left="0"/>
        <w:jc w:val="both"/>
      </w:pPr>
      <w:r>
        <w:rPr>
          <w:rFonts w:ascii="Times New Roman"/>
          <w:b w:val="false"/>
          <w:i w:val="false"/>
          <w:color w:val="000000"/>
          <w:sz w:val="28"/>
        </w:rPr>
        <w:t>
      8) обеспечивает необходимое качество, включая точность и полноту данных по фармаконадзору, представляемых в уполномоченный орган;</w:t>
      </w:r>
    </w:p>
    <w:bookmarkEnd w:id="6507"/>
    <w:bookmarkStart w:name="z6677" w:id="6508"/>
    <w:p>
      <w:pPr>
        <w:spacing w:after="0"/>
        <w:ind w:left="0"/>
        <w:jc w:val="both"/>
      </w:pPr>
      <w:r>
        <w:rPr>
          <w:rFonts w:ascii="Times New Roman"/>
          <w:b w:val="false"/>
          <w:i w:val="false"/>
          <w:color w:val="000000"/>
          <w:sz w:val="28"/>
        </w:rPr>
        <w:t>
      9) предоставляет полные и своевременные ответы на запросы уполномоченного органа о предоставлении дополнительной информации, необходимой для оценки соотношения польза-риск лекарственных препаратов;</w:t>
      </w:r>
    </w:p>
    <w:bookmarkEnd w:id="6508"/>
    <w:bookmarkStart w:name="z6678" w:id="6509"/>
    <w:p>
      <w:pPr>
        <w:spacing w:after="0"/>
        <w:ind w:left="0"/>
        <w:jc w:val="both"/>
      </w:pPr>
      <w:r>
        <w:rPr>
          <w:rFonts w:ascii="Times New Roman"/>
          <w:b w:val="false"/>
          <w:i w:val="false"/>
          <w:color w:val="000000"/>
          <w:sz w:val="28"/>
        </w:rPr>
        <w:t>
      10) предоставляет любую информацию, имеющую отношение к оценке соотношения польза-риск в уполномоченный орган или в уполномоченную организацию;</w:t>
      </w:r>
    </w:p>
    <w:bookmarkEnd w:id="6509"/>
    <w:bookmarkStart w:name="z6679" w:id="6510"/>
    <w:p>
      <w:pPr>
        <w:spacing w:after="0"/>
        <w:ind w:left="0"/>
        <w:jc w:val="both"/>
      </w:pPr>
      <w:r>
        <w:rPr>
          <w:rFonts w:ascii="Times New Roman"/>
          <w:b w:val="false"/>
          <w:i w:val="false"/>
          <w:color w:val="000000"/>
          <w:sz w:val="28"/>
        </w:rPr>
        <w:t>
      11) оказывает помощь в подготовке уполномоченных мер в ответ на чрезвычайные ситуации безопасности (изменения в рекомендациях по медицинскому применению, срочные ограничения и доведение информации до пациентов и медицинских работников);</w:t>
      </w:r>
    </w:p>
    <w:bookmarkEnd w:id="6510"/>
    <w:bookmarkStart w:name="z6680" w:id="6511"/>
    <w:p>
      <w:pPr>
        <w:spacing w:after="0"/>
        <w:ind w:left="0"/>
        <w:jc w:val="both"/>
      </w:pPr>
      <w:r>
        <w:rPr>
          <w:rFonts w:ascii="Times New Roman"/>
          <w:b w:val="false"/>
          <w:i w:val="false"/>
          <w:color w:val="000000"/>
          <w:sz w:val="28"/>
        </w:rPr>
        <w:t>
      12) функционирует в качестве единого контактного лица по фармаконадзору для уполномоченного органа, а также в качестве контактного лица для инспекций по фармаконадзору с обеспечением 24-часового доступа.</w:t>
      </w:r>
    </w:p>
    <w:bookmarkEnd w:id="6511"/>
    <w:bookmarkStart w:name="z6681" w:id="6512"/>
    <w:p>
      <w:pPr>
        <w:spacing w:after="0"/>
        <w:ind w:left="0"/>
        <w:jc w:val="both"/>
      </w:pPr>
      <w:r>
        <w:rPr>
          <w:rFonts w:ascii="Times New Roman"/>
          <w:b w:val="false"/>
          <w:i w:val="false"/>
          <w:color w:val="000000"/>
          <w:sz w:val="28"/>
        </w:rPr>
        <w:t>
      46. УЛФ осуществляет контроль функционирования всех аспектов системы фармаконадзора, включая систему качества (стандартные операционные процедуры, контрактные договоренности, операции по базе данных, выполнение требований системы качества, соблюдение требований к представлению данных в части полноты и своевременности, представление периодических отчетов о безопасности, отчетов об аудитах и обучению персонала по фармаконадзору). УЛФ располагает информацией о валидационном статусе базы данных нежелательных реакций на лекарственные препараты, включая все выявленные в ходе валидации недочеты и предпринятые корректирующие действия. УЛФ располагает информацией обо всех существенных изменениях, внесенных в базу данных (изменения, оказывающие, влияние на деятельность фармаконадзора).</w:t>
      </w:r>
    </w:p>
    <w:bookmarkEnd w:id="6512"/>
    <w:bookmarkStart w:name="z6682" w:id="6513"/>
    <w:p>
      <w:pPr>
        <w:spacing w:after="0"/>
        <w:ind w:left="0"/>
        <w:jc w:val="both"/>
      </w:pPr>
      <w:r>
        <w:rPr>
          <w:rFonts w:ascii="Times New Roman"/>
          <w:b w:val="false"/>
          <w:i w:val="false"/>
          <w:color w:val="000000"/>
          <w:sz w:val="28"/>
        </w:rPr>
        <w:t>
      УЛФ по мере необходимости делегирует выполнение специфических заданий (осуществление деятельности в качестве экспертов по безопасности определенных лекарственных препаратов), лицам с соответствующей квалификацией и обучением, осуществляя при этом контроль за функционированием всей системы и профилей безопасности всех лекарственных препаратов. Такое делегирование выполняемых функций надлежащим образом документируется.</w:t>
      </w:r>
    </w:p>
    <w:bookmarkEnd w:id="6513"/>
    <w:bookmarkStart w:name="z6683" w:id="6514"/>
    <w:p>
      <w:pPr>
        <w:spacing w:after="0"/>
        <w:ind w:left="0"/>
        <w:jc w:val="left"/>
      </w:pPr>
      <w:r>
        <w:rPr>
          <w:rFonts w:ascii="Times New Roman"/>
          <w:b/>
          <w:i w:val="false"/>
          <w:color w:val="000000"/>
        </w:rPr>
        <w:t xml:space="preserve"> Глава 10. Специфические процессы системы качества у держателя регистрационного удостоверения в Республике Казахстан</w:t>
      </w:r>
    </w:p>
    <w:bookmarkEnd w:id="6514"/>
    <w:bookmarkStart w:name="z6684" w:id="6515"/>
    <w:p>
      <w:pPr>
        <w:spacing w:after="0"/>
        <w:ind w:left="0"/>
        <w:jc w:val="both"/>
      </w:pPr>
      <w:r>
        <w:rPr>
          <w:rFonts w:ascii="Times New Roman"/>
          <w:b w:val="false"/>
          <w:i w:val="false"/>
          <w:color w:val="000000"/>
          <w:sz w:val="28"/>
        </w:rPr>
        <w:t>
      47. Держатель регистрационного удостоверения разрабатывает дополнительные специальные процессы системы качества с целью:</w:t>
      </w:r>
    </w:p>
    <w:bookmarkEnd w:id="6515"/>
    <w:bookmarkStart w:name="z6685" w:id="6516"/>
    <w:p>
      <w:pPr>
        <w:spacing w:after="0"/>
        <w:ind w:left="0"/>
        <w:jc w:val="both"/>
      </w:pPr>
      <w:r>
        <w:rPr>
          <w:rFonts w:ascii="Times New Roman"/>
          <w:b w:val="false"/>
          <w:i w:val="false"/>
          <w:color w:val="000000"/>
          <w:sz w:val="28"/>
        </w:rPr>
        <w:t>
      1) предоставления данных о нежелательных реакциях в государственные базы данных Республики Казахстан в пределах сроков, устанавливаемых действующим законодательством Республики Казахстан;</w:t>
      </w:r>
    </w:p>
    <w:bookmarkEnd w:id="6516"/>
    <w:bookmarkStart w:name="z6686" w:id="6517"/>
    <w:p>
      <w:pPr>
        <w:spacing w:after="0"/>
        <w:ind w:left="0"/>
        <w:jc w:val="both"/>
      </w:pPr>
      <w:r>
        <w:rPr>
          <w:rFonts w:ascii="Times New Roman"/>
          <w:b w:val="false"/>
          <w:i w:val="false"/>
          <w:color w:val="000000"/>
          <w:sz w:val="28"/>
        </w:rPr>
        <w:t>
      2) сохранения документов, в которых описана система фармаконадзора, в течение не менее 5 лет после прекращения существования системы фармаконадзора, описанной в мастер-файле;</w:t>
      </w:r>
    </w:p>
    <w:bookmarkEnd w:id="6517"/>
    <w:bookmarkStart w:name="z6687" w:id="6518"/>
    <w:p>
      <w:pPr>
        <w:spacing w:after="0"/>
        <w:ind w:left="0"/>
        <w:jc w:val="both"/>
      </w:pPr>
      <w:r>
        <w:rPr>
          <w:rFonts w:ascii="Times New Roman"/>
          <w:b w:val="false"/>
          <w:i w:val="false"/>
          <w:color w:val="000000"/>
          <w:sz w:val="28"/>
        </w:rPr>
        <w:t>
      3) сохранения данных по фармаконадзору и документов, имеющих отношение к зарегистрированным лекарственным препаратам в течение не менее 10 лет после прекращения действия удостоверений о государственной регистрации;</w:t>
      </w:r>
    </w:p>
    <w:bookmarkEnd w:id="6518"/>
    <w:bookmarkStart w:name="z6688" w:id="6519"/>
    <w:p>
      <w:pPr>
        <w:spacing w:after="0"/>
        <w:ind w:left="0"/>
        <w:jc w:val="both"/>
      </w:pPr>
      <w:r>
        <w:rPr>
          <w:rFonts w:ascii="Times New Roman"/>
          <w:b w:val="false"/>
          <w:i w:val="false"/>
          <w:color w:val="000000"/>
          <w:sz w:val="28"/>
        </w:rPr>
        <w:t>
      4) обновления информации о лекарственных препаратах согласно последним научным знаниям, включая оценку профиля безопасности и соотношения польза-риск, а также рекомендациям, размещенным на веб-портале уполномоченного органа. С этой целью держатель регистрационного удостоверения постоянно осуществляет проверку веб-портала уполномоченного органа на предмет наличия соответствующих изменений в оценке профиля безопасности и соотношения польза-риск, включая изменения в рекомендациях по медицинскому применению и иные меры уполномоченного характера.</w:t>
      </w:r>
    </w:p>
    <w:bookmarkEnd w:id="6519"/>
    <w:bookmarkStart w:name="z6689" w:id="6520"/>
    <w:p>
      <w:pPr>
        <w:spacing w:after="0"/>
        <w:ind w:left="0"/>
        <w:jc w:val="both"/>
      </w:pPr>
      <w:r>
        <w:rPr>
          <w:rFonts w:ascii="Times New Roman"/>
          <w:b w:val="false"/>
          <w:i w:val="false"/>
          <w:color w:val="000000"/>
          <w:sz w:val="28"/>
        </w:rPr>
        <w:t>
      48. В течение периода сохранения документации держатель регистрационного удостоверения обеспечивает восстанавливаемость документов.</w:t>
      </w:r>
    </w:p>
    <w:bookmarkEnd w:id="6520"/>
    <w:bookmarkStart w:name="z6690" w:id="6521"/>
    <w:p>
      <w:pPr>
        <w:spacing w:after="0"/>
        <w:ind w:left="0"/>
        <w:jc w:val="both"/>
      </w:pPr>
      <w:r>
        <w:rPr>
          <w:rFonts w:ascii="Times New Roman"/>
          <w:b w:val="false"/>
          <w:i w:val="false"/>
          <w:color w:val="000000"/>
          <w:sz w:val="28"/>
        </w:rPr>
        <w:t>
      49. Документы хранятся в электронном формате, при условии надлежащей валидации электронной системы и существования договоренностей по защите системы, доступу и резервному копированию данных. В случае перевода документов из бумажного формата в электронный, в процессе перевода гарантируется сохранение всей информации в оригинальном формате в читаемом виде и обеспечение сохранения читаемости на протяжении всего времени хранения средствами, используемыми для хранения.</w:t>
      </w:r>
    </w:p>
    <w:bookmarkEnd w:id="6521"/>
    <w:bookmarkStart w:name="z6691" w:id="6522"/>
    <w:p>
      <w:pPr>
        <w:spacing w:after="0"/>
        <w:ind w:left="0"/>
        <w:jc w:val="both"/>
      </w:pPr>
      <w:r>
        <w:rPr>
          <w:rFonts w:ascii="Times New Roman"/>
          <w:b w:val="false"/>
          <w:i w:val="false"/>
          <w:color w:val="000000"/>
          <w:sz w:val="28"/>
        </w:rPr>
        <w:t>
      50. В случае поглощения другой организацией бизнеса держателя регистрационного удостоверения, все документы передаются и сохраняются в полном объеме.</w:t>
      </w:r>
    </w:p>
    <w:bookmarkEnd w:id="6522"/>
    <w:bookmarkStart w:name="z6692" w:id="6523"/>
    <w:p>
      <w:pPr>
        <w:spacing w:after="0"/>
        <w:ind w:left="0"/>
        <w:jc w:val="left"/>
      </w:pPr>
      <w:r>
        <w:rPr>
          <w:rFonts w:ascii="Times New Roman"/>
          <w:b/>
          <w:i w:val="false"/>
          <w:color w:val="000000"/>
        </w:rPr>
        <w:t xml:space="preserve"> Глава 11. Требования к системе качества при делегировании держателем регистрационного удостоверения выполняемых функций по фармаконадзору</w:t>
      </w:r>
    </w:p>
    <w:bookmarkEnd w:id="6523"/>
    <w:bookmarkStart w:name="z6693" w:id="6524"/>
    <w:p>
      <w:pPr>
        <w:spacing w:after="0"/>
        <w:ind w:left="0"/>
        <w:jc w:val="both"/>
      </w:pPr>
      <w:r>
        <w:rPr>
          <w:rFonts w:ascii="Times New Roman"/>
          <w:b w:val="false"/>
          <w:i w:val="false"/>
          <w:color w:val="000000"/>
          <w:sz w:val="28"/>
        </w:rPr>
        <w:t>
      51. Держатель регистрационного удостоверения по мере необходимости делегирует все или часть своих задач по фармаконадзору, включая функции УЛФ, другой организации или лицу (если к такому лицу применены одинаковые требования, как к организации). При этом выполнение задач и обязанностей по фармаконадзору, обеспечение качества и целостности системы фармаконадзора является задачей держателя регистрационного удостоверения.</w:t>
      </w:r>
    </w:p>
    <w:bookmarkEnd w:id="6524"/>
    <w:bookmarkStart w:name="z6694" w:id="6525"/>
    <w:p>
      <w:pPr>
        <w:spacing w:after="0"/>
        <w:ind w:left="0"/>
        <w:jc w:val="both"/>
      </w:pPr>
      <w:r>
        <w:rPr>
          <w:rFonts w:ascii="Times New Roman"/>
          <w:b w:val="false"/>
          <w:i w:val="false"/>
          <w:color w:val="000000"/>
          <w:sz w:val="28"/>
        </w:rPr>
        <w:t>
      52. В случае делегирования определенных задач по фармаконадзору держателем регистрационного удостоверения другой организации, держатель регистрационного удостоверения сохраняет за собой полномочия по применению эффективной системы качества исполнения данных задач. Требования к системе фармаконадзора, определяемые надлежащей практикой фармаконадзора, также применяются к другой организации, которой делегированы задачи.</w:t>
      </w:r>
    </w:p>
    <w:bookmarkEnd w:id="6525"/>
    <w:bookmarkStart w:name="z6695" w:id="6526"/>
    <w:p>
      <w:pPr>
        <w:spacing w:after="0"/>
        <w:ind w:left="0"/>
        <w:jc w:val="both"/>
      </w:pPr>
      <w:r>
        <w:rPr>
          <w:rFonts w:ascii="Times New Roman"/>
          <w:b w:val="false"/>
          <w:i w:val="false"/>
          <w:color w:val="000000"/>
          <w:sz w:val="28"/>
        </w:rPr>
        <w:t>
      53. При делегировании задач другой организации держатель регистрационного удостоверения обеспечивает подробное, четкое и постоянно обновляемое документальное оформление контрактных договоренностей между держателем регистрационного удостоверения и другой организацией, с описанием договоренностей по делегированным задачам каждой из сторон. Описание делегированной деятельности и (или) услуг включается в мастер-файл системы фармаконадзора. Другая организация при необходимости подвергается проверкам по усмотрению уполномоченного органа на основании рекомендаций уполномоченной организации.</w:t>
      </w:r>
    </w:p>
    <w:bookmarkEnd w:id="6526"/>
    <w:bookmarkStart w:name="z6696" w:id="6527"/>
    <w:p>
      <w:pPr>
        <w:spacing w:after="0"/>
        <w:ind w:left="0"/>
        <w:jc w:val="both"/>
      </w:pPr>
      <w:r>
        <w:rPr>
          <w:rFonts w:ascii="Times New Roman"/>
          <w:b w:val="false"/>
          <w:i w:val="false"/>
          <w:color w:val="000000"/>
          <w:sz w:val="28"/>
        </w:rPr>
        <w:t>
      54. В целях контроля выполнения контрактных договоренностей по фармаконадзору рекомендуется выполнение держателем регистрационного удостоверения регулярных аудитов организаций, которым были делегированы функции по фармаконадзору.</w:t>
      </w:r>
    </w:p>
    <w:bookmarkEnd w:id="6527"/>
    <w:bookmarkStart w:name="z6697" w:id="6528"/>
    <w:p>
      <w:pPr>
        <w:spacing w:after="0"/>
        <w:ind w:left="0"/>
        <w:jc w:val="left"/>
      </w:pPr>
      <w:r>
        <w:rPr>
          <w:rFonts w:ascii="Times New Roman"/>
          <w:b/>
          <w:i w:val="false"/>
          <w:color w:val="000000"/>
        </w:rPr>
        <w:t xml:space="preserve"> Глава 12. Общие обязанности по фармаконадзору в рамках действующего законодательства Республики Казахстан</w:t>
      </w:r>
    </w:p>
    <w:bookmarkEnd w:id="6528"/>
    <w:bookmarkStart w:name="z6698" w:id="6529"/>
    <w:p>
      <w:pPr>
        <w:spacing w:after="0"/>
        <w:ind w:left="0"/>
        <w:jc w:val="both"/>
      </w:pPr>
      <w:r>
        <w:rPr>
          <w:rFonts w:ascii="Times New Roman"/>
          <w:b w:val="false"/>
          <w:i w:val="false"/>
          <w:color w:val="000000"/>
          <w:sz w:val="28"/>
        </w:rPr>
        <w:t>
      55. Уполномоченный орган, уполномоченная организация обеспечивают выполнение задач по фармаконадзору, возлагаемых на них в соответствии с нормативными требованиями. С этой целью уполномоченный орган обеспечивает функционирование системы фармаконадзора, создает и применяет надлежащую эффективную систему качества осуществляемой деятельности по фармаконадзору.</w:t>
      </w:r>
    </w:p>
    <w:bookmarkEnd w:id="6529"/>
    <w:bookmarkStart w:name="z6699" w:id="6530"/>
    <w:p>
      <w:pPr>
        <w:spacing w:after="0"/>
        <w:ind w:left="0"/>
        <w:jc w:val="both"/>
      </w:pPr>
      <w:r>
        <w:rPr>
          <w:rFonts w:ascii="Times New Roman"/>
          <w:b w:val="false"/>
          <w:i w:val="false"/>
          <w:color w:val="000000"/>
          <w:sz w:val="28"/>
        </w:rPr>
        <w:t>
      56. Уполномоченный орган сотрудничает с уполномоченными органами других государств с целью постоянного совершенствования системы фармаконадзора и достижения высоких стандартов защиты общественного здоровья.</w:t>
      </w:r>
    </w:p>
    <w:bookmarkEnd w:id="6530"/>
    <w:bookmarkStart w:name="z6700" w:id="6531"/>
    <w:p>
      <w:pPr>
        <w:spacing w:after="0"/>
        <w:ind w:left="0"/>
        <w:jc w:val="both"/>
      </w:pPr>
      <w:r>
        <w:rPr>
          <w:rFonts w:ascii="Times New Roman"/>
          <w:b w:val="false"/>
          <w:i w:val="false"/>
          <w:color w:val="000000"/>
          <w:sz w:val="28"/>
        </w:rPr>
        <w:t>
      57. Уполномоченный орган определяет контактные пункты с целью упрощения взаимодействия уполномоченной организации, держателя регистрационного удостоверения и лиц, представляющих информацию по фармаконадзору.</w:t>
      </w:r>
    </w:p>
    <w:bookmarkEnd w:id="6531"/>
    <w:bookmarkStart w:name="z6701" w:id="6532"/>
    <w:p>
      <w:pPr>
        <w:spacing w:after="0"/>
        <w:ind w:left="0"/>
        <w:jc w:val="left"/>
      </w:pPr>
      <w:r>
        <w:rPr>
          <w:rFonts w:ascii="Times New Roman"/>
          <w:b/>
          <w:i w:val="false"/>
          <w:color w:val="000000"/>
        </w:rPr>
        <w:t xml:space="preserve"> Глава 13. Функции уполномоченного органа, уполномоченной организации</w:t>
      </w:r>
    </w:p>
    <w:bookmarkEnd w:id="6532"/>
    <w:bookmarkStart w:name="z6702" w:id="6533"/>
    <w:p>
      <w:pPr>
        <w:spacing w:after="0"/>
        <w:ind w:left="0"/>
        <w:jc w:val="both"/>
      </w:pPr>
      <w:r>
        <w:rPr>
          <w:rFonts w:ascii="Times New Roman"/>
          <w:b w:val="false"/>
          <w:i w:val="false"/>
          <w:color w:val="000000"/>
          <w:sz w:val="28"/>
        </w:rPr>
        <w:t>
      58. Уполномоченным органом по созданию и функционированию системы фармаконадзора, является государственный орган в сфере обращения лекарственных средств и медицинских изделий. Уполномоченный орган обеспечивает внедрение системы фармаконадзора лекарственных препаратов для сбора и оценки информации, касающейся соотношения польза-риск лекарственных препаратов с осуществлением контроля безопасности каждого лекарственного препарата, зарегистрированного на территории Республики Казахстан.</w:t>
      </w:r>
    </w:p>
    <w:bookmarkEnd w:id="6533"/>
    <w:bookmarkStart w:name="z6703" w:id="6534"/>
    <w:p>
      <w:pPr>
        <w:spacing w:after="0"/>
        <w:ind w:left="0"/>
        <w:jc w:val="both"/>
      </w:pPr>
      <w:r>
        <w:rPr>
          <w:rFonts w:ascii="Times New Roman"/>
          <w:b w:val="false"/>
          <w:i w:val="false"/>
          <w:color w:val="000000"/>
          <w:sz w:val="28"/>
        </w:rPr>
        <w:t xml:space="preserve">
      59. В соответствии со </w:t>
      </w:r>
      <w:r>
        <w:rPr>
          <w:rFonts w:ascii="Times New Roman"/>
          <w:b w:val="false"/>
          <w:i w:val="false"/>
          <w:color w:val="000000"/>
          <w:sz w:val="28"/>
        </w:rPr>
        <w:t>статьями 239</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уполномоченной организацией, осуществляющей функции по фармаконадзору является экспертная организация в сфере обращения лекарственных средств и медицинских изделий. Уполномоченная организация осуществляет мониторинг безопасности лекарственных препаратов, находящихся в обращении на рынке Республики Казахстан с целью непрерывной оценки соотношения польза-риск на протяжении всего периода нахождения в обращении лекарственных препаратов, повышения безопасности пациентов и обеспечения защиты здоровья населения. Уполномоченная организация обеспечивает предоставление всех данных по каждой из процедур по фармаконадзору в уполномоченный орган в соответствии с действующим законодательством Республики Казахстан и настоящим Стандартом.</w:t>
      </w:r>
    </w:p>
    <w:bookmarkEnd w:id="6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здравоохранения РК от 03.04.2023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4" w:id="6535"/>
    <w:p>
      <w:pPr>
        <w:spacing w:after="0"/>
        <w:ind w:left="0"/>
        <w:jc w:val="both"/>
      </w:pPr>
      <w:r>
        <w:rPr>
          <w:rFonts w:ascii="Times New Roman"/>
          <w:b w:val="false"/>
          <w:i w:val="false"/>
          <w:color w:val="000000"/>
          <w:sz w:val="28"/>
        </w:rPr>
        <w:t xml:space="preserve">
      60. Задачи и обязанности уполномоченного органа и уполномоченной организации по фармаконадзору включают сотрудничество с международными организациями по вопросам безопасности лекарственных препаратов и внедрение мер по минимизации риска при принятии соответствующих решений. </w:t>
      </w:r>
    </w:p>
    <w:bookmarkEnd w:id="6535"/>
    <w:bookmarkStart w:name="z6705" w:id="6536"/>
    <w:p>
      <w:pPr>
        <w:spacing w:after="0"/>
        <w:ind w:left="0"/>
        <w:jc w:val="both"/>
      </w:pPr>
      <w:r>
        <w:rPr>
          <w:rFonts w:ascii="Times New Roman"/>
          <w:b w:val="false"/>
          <w:i w:val="false"/>
          <w:color w:val="000000"/>
          <w:sz w:val="28"/>
        </w:rPr>
        <w:t>
      61. Уполномоченный орган, уполномоченная организация проводят проверку осуществления держателем регистрационного удостоверения фармаконадзора лекарственных препаратов на территории Республики Казахстан, включая инспекции систем фармаконадзора держателя регистрационного удостоверения.</w:t>
      </w:r>
    </w:p>
    <w:bookmarkEnd w:id="6536"/>
    <w:bookmarkStart w:name="z6706" w:id="6537"/>
    <w:p>
      <w:pPr>
        <w:spacing w:after="0"/>
        <w:ind w:left="0"/>
        <w:jc w:val="left"/>
      </w:pPr>
      <w:r>
        <w:rPr>
          <w:rFonts w:ascii="Times New Roman"/>
          <w:b/>
          <w:i w:val="false"/>
          <w:color w:val="000000"/>
        </w:rPr>
        <w:t xml:space="preserve"> Глава 14. Планирование готовности к фармаконадзору при экстренных ситуациях в общественном здравоохранении</w:t>
      </w:r>
    </w:p>
    <w:bookmarkEnd w:id="6537"/>
    <w:bookmarkStart w:name="z6707" w:id="6538"/>
    <w:p>
      <w:pPr>
        <w:spacing w:after="0"/>
        <w:ind w:left="0"/>
        <w:jc w:val="both"/>
      </w:pPr>
      <w:r>
        <w:rPr>
          <w:rFonts w:ascii="Times New Roman"/>
          <w:b w:val="false"/>
          <w:i w:val="false"/>
          <w:color w:val="000000"/>
          <w:sz w:val="28"/>
        </w:rPr>
        <w:t>
      62. Системы фармаконадзора держателя регистрационного удостоверения и уполномоченного органа, уполномоченной организации адаптируются к экстренным ситуациям в общественном здравоохранении. По мере необходимости обеспечивается разработка планов готовности.</w:t>
      </w:r>
    </w:p>
    <w:bookmarkEnd w:id="6538"/>
    <w:bookmarkStart w:name="z6708" w:id="6539"/>
    <w:p>
      <w:pPr>
        <w:spacing w:after="0"/>
        <w:ind w:left="0"/>
        <w:jc w:val="both"/>
      </w:pPr>
      <w:r>
        <w:rPr>
          <w:rFonts w:ascii="Times New Roman"/>
          <w:b w:val="false"/>
          <w:i w:val="false"/>
          <w:color w:val="000000"/>
          <w:sz w:val="28"/>
        </w:rPr>
        <w:t>
      Требования фармаконадзора к экстренным ситуациям в общественном здравоохранении оценивает уполномоченный орган на индивидуальной основе. О требованиях фармаконадзора сообщают держателю регистрационного удостоверения и общественности. Уполномоченный орган обеспечивает публикацию уведомления об экстренных ситуациях на официальном веб-портале.</w:t>
      </w:r>
    </w:p>
    <w:bookmarkEnd w:id="6539"/>
    <w:bookmarkStart w:name="z6709" w:id="6540"/>
    <w:p>
      <w:pPr>
        <w:spacing w:after="0"/>
        <w:ind w:left="0"/>
        <w:jc w:val="left"/>
      </w:pPr>
      <w:r>
        <w:rPr>
          <w:rFonts w:ascii="Times New Roman"/>
          <w:b/>
          <w:i w:val="false"/>
          <w:color w:val="000000"/>
        </w:rPr>
        <w:t xml:space="preserve"> Глава 15. Мастер-файл системы фармаконадзора</w:t>
      </w:r>
    </w:p>
    <w:bookmarkEnd w:id="6540"/>
    <w:bookmarkStart w:name="z6710" w:id="6541"/>
    <w:p>
      <w:pPr>
        <w:spacing w:after="0"/>
        <w:ind w:left="0"/>
        <w:jc w:val="left"/>
      </w:pPr>
      <w:r>
        <w:rPr>
          <w:rFonts w:ascii="Times New Roman"/>
          <w:b/>
          <w:i w:val="false"/>
          <w:color w:val="000000"/>
        </w:rPr>
        <w:t xml:space="preserve"> Параграф 1. Структуры и процессы</w:t>
      </w:r>
    </w:p>
    <w:bookmarkEnd w:id="6541"/>
    <w:bookmarkStart w:name="z6711" w:id="6542"/>
    <w:p>
      <w:pPr>
        <w:spacing w:after="0"/>
        <w:ind w:left="0"/>
        <w:jc w:val="both"/>
      </w:pPr>
      <w:r>
        <w:rPr>
          <w:rFonts w:ascii="Times New Roman"/>
          <w:b w:val="false"/>
          <w:i w:val="false"/>
          <w:color w:val="000000"/>
          <w:sz w:val="28"/>
        </w:rPr>
        <w:t>
      63. Мастер-файл системы фармаконадзора предназначен для описания системы фармаконадзора и документированного подтверждения ее соответствия требованиям действующего законодательства Республики Казахстан. Мастер-файл позволяет надлежащим образом осуществить планирование и выполнение аудитов системы фармаконадзора держателем регистрационного удостоверения, а также инспектирований уполномоченным органом. Мастер-файл включает обзор системы фармаконадзора держателя регистрационного удостоверения, что позволяет сделать ее общую оценку уполномоченными органами на регистрационном и пострегистрационном этапах.</w:t>
      </w:r>
    </w:p>
    <w:bookmarkEnd w:id="6542"/>
    <w:bookmarkStart w:name="z6712" w:id="6543"/>
    <w:p>
      <w:pPr>
        <w:spacing w:after="0"/>
        <w:ind w:left="0"/>
        <w:jc w:val="both"/>
      </w:pPr>
      <w:r>
        <w:rPr>
          <w:rFonts w:ascii="Times New Roman"/>
          <w:b w:val="false"/>
          <w:i w:val="false"/>
          <w:color w:val="000000"/>
          <w:sz w:val="28"/>
        </w:rPr>
        <w:t xml:space="preserve">
      64. Составление мастер-файла и поддержание информации в нем на актуальном уровне позволяет держателю регистрационного удостоверения и уполномоченному лицу по фармаконадзору: </w:t>
      </w:r>
    </w:p>
    <w:bookmarkEnd w:id="6543"/>
    <w:bookmarkStart w:name="z6713" w:id="6544"/>
    <w:p>
      <w:pPr>
        <w:spacing w:after="0"/>
        <w:ind w:left="0"/>
        <w:jc w:val="both"/>
      </w:pPr>
      <w:r>
        <w:rPr>
          <w:rFonts w:ascii="Times New Roman"/>
          <w:b w:val="false"/>
          <w:i w:val="false"/>
          <w:color w:val="000000"/>
          <w:sz w:val="28"/>
        </w:rPr>
        <w:t>
      1) убедиться в том, что система фармаконадзора внедрена согласно требованиям действующего законодательства Республики, Казахстан и настоящего Стандарта;</w:t>
      </w:r>
    </w:p>
    <w:bookmarkEnd w:id="6544"/>
    <w:bookmarkStart w:name="z6714" w:id="6545"/>
    <w:p>
      <w:pPr>
        <w:spacing w:after="0"/>
        <w:ind w:left="0"/>
        <w:jc w:val="both"/>
      </w:pPr>
      <w:r>
        <w:rPr>
          <w:rFonts w:ascii="Times New Roman"/>
          <w:b w:val="false"/>
          <w:i w:val="false"/>
          <w:color w:val="000000"/>
          <w:sz w:val="28"/>
        </w:rPr>
        <w:t>
      2) подтвердить соответствие системы действующим требованиям;</w:t>
      </w:r>
    </w:p>
    <w:bookmarkEnd w:id="6545"/>
    <w:bookmarkStart w:name="z6715" w:id="6546"/>
    <w:p>
      <w:pPr>
        <w:spacing w:after="0"/>
        <w:ind w:left="0"/>
        <w:jc w:val="both"/>
      </w:pPr>
      <w:r>
        <w:rPr>
          <w:rFonts w:ascii="Times New Roman"/>
          <w:b w:val="false"/>
          <w:i w:val="false"/>
          <w:color w:val="000000"/>
          <w:sz w:val="28"/>
        </w:rPr>
        <w:t>
      3) получить информацию о недостатках системы или выявить несоблюдение требований;</w:t>
      </w:r>
    </w:p>
    <w:bookmarkEnd w:id="6546"/>
    <w:bookmarkStart w:name="z6716" w:id="6547"/>
    <w:p>
      <w:pPr>
        <w:spacing w:after="0"/>
        <w:ind w:left="0"/>
        <w:jc w:val="both"/>
      </w:pPr>
      <w:r>
        <w:rPr>
          <w:rFonts w:ascii="Times New Roman"/>
          <w:b w:val="false"/>
          <w:i w:val="false"/>
          <w:color w:val="000000"/>
          <w:sz w:val="28"/>
        </w:rPr>
        <w:t>
      4) получить информацию о рисках или неэффективности выполнения определенных направлений деятельности по фармаконадзору.</w:t>
      </w:r>
    </w:p>
    <w:bookmarkEnd w:id="6547"/>
    <w:bookmarkStart w:name="z6717" w:id="6548"/>
    <w:p>
      <w:pPr>
        <w:spacing w:after="0"/>
        <w:ind w:left="0"/>
        <w:jc w:val="both"/>
      </w:pPr>
      <w:r>
        <w:rPr>
          <w:rFonts w:ascii="Times New Roman"/>
          <w:b w:val="false"/>
          <w:i w:val="false"/>
          <w:color w:val="000000"/>
          <w:sz w:val="28"/>
        </w:rPr>
        <w:t>
      65. Использование информации мастер-файла способствует оптимизации процесса надлежащего управления системой, а также совершенствования системы фармаконадзора. Требования к представлению краткого описания системы фармаконадзора держателя регистрационного удостоверения в форме мастер-файла, а также хронология внесения изменений соответствующим органом облегчают планирование и эффективное проведение инспекций уполномоченным органом на основании метода оценки рисков.</w:t>
      </w:r>
    </w:p>
    <w:bookmarkEnd w:id="6548"/>
    <w:bookmarkStart w:name="z6718" w:id="6549"/>
    <w:p>
      <w:pPr>
        <w:spacing w:after="0"/>
        <w:ind w:left="0"/>
        <w:jc w:val="left"/>
      </w:pPr>
      <w:r>
        <w:rPr>
          <w:rFonts w:ascii="Times New Roman"/>
          <w:b/>
          <w:i w:val="false"/>
          <w:color w:val="000000"/>
        </w:rPr>
        <w:t xml:space="preserve"> Параграф 2. Регистрация и поддержание мастер-файла</w:t>
      </w:r>
    </w:p>
    <w:bookmarkEnd w:id="6549"/>
    <w:bookmarkStart w:name="z6719" w:id="6550"/>
    <w:p>
      <w:pPr>
        <w:spacing w:after="0"/>
        <w:ind w:left="0"/>
        <w:jc w:val="both"/>
      </w:pPr>
      <w:r>
        <w:rPr>
          <w:rFonts w:ascii="Times New Roman"/>
          <w:b w:val="false"/>
          <w:i w:val="false"/>
          <w:color w:val="000000"/>
          <w:sz w:val="28"/>
        </w:rPr>
        <w:t>
      66. Мастер-файл системы фармаконадзора находится в пределах Республики Казахстан либо в месте выполнения основной деятельности по фармаконадзору, либо в месте, в котором квалифицированное лицо отвечает за осуществление фармаконадзора, независимо от формата (бумажный или электронный). Уполномоченная организация информируется о месте расположения мастер-файла, а также незамедлительно информируется о любых изменениях в его расположении. Требуемая информация по расположению мастер-файла включает указание физического адреса офиса держателя регистрационного удостоверения или третьей стороны по контракту. Допускается отличие этого адреса от адреса заявителя (держателя) регистрационного удостоверения (другой офис держателя регистрационного удостоверения) или в случае выполнения основной деятельности третьей стороной по контракту. При определении основного места осуществления деятельности по фармаконадзору держатель регистрационного удостоверения учитывает наиболее значимое местонахождение для системы фармаконадзора в целом. Держатель регистрационного удостоверения имеет соответствующее обоснование принятия решения о расположении мастер-файла. В ситуации, когда основная деятельность осуществляется за пределами Республики Казахстан или невозможно определить основное местонахождение, по умолчанию местонахождением мастер-файла является место осуществления деятельности уполномоченного лица по фармаконадзору.</w:t>
      </w:r>
    </w:p>
    <w:bookmarkEnd w:id="6550"/>
    <w:bookmarkStart w:name="z6720" w:id="6551"/>
    <w:p>
      <w:pPr>
        <w:spacing w:after="0"/>
        <w:ind w:left="0"/>
        <w:jc w:val="left"/>
      </w:pPr>
      <w:r>
        <w:rPr>
          <w:rFonts w:ascii="Times New Roman"/>
          <w:b/>
          <w:i w:val="false"/>
          <w:color w:val="000000"/>
        </w:rPr>
        <w:t xml:space="preserve"> Параграф 3. Передача обязанностей по мастер-файлу системы фармаконадзора</w:t>
      </w:r>
    </w:p>
    <w:bookmarkEnd w:id="6551"/>
    <w:bookmarkStart w:name="z6721" w:id="6552"/>
    <w:p>
      <w:pPr>
        <w:spacing w:after="0"/>
        <w:ind w:left="0"/>
        <w:jc w:val="both"/>
      </w:pPr>
      <w:r>
        <w:rPr>
          <w:rFonts w:ascii="Times New Roman"/>
          <w:b w:val="false"/>
          <w:i w:val="false"/>
          <w:color w:val="000000"/>
          <w:sz w:val="28"/>
        </w:rPr>
        <w:t>
      67. Передача или делегирование обязанностей и деятельности по мастер-файлу системы фармаконадзора оформляется документально и контролируется с целью подтверждения выполнения держателем регистрационного удостоверения своих обязанностей.</w:t>
      </w:r>
    </w:p>
    <w:bookmarkEnd w:id="6552"/>
    <w:bookmarkStart w:name="z6722" w:id="6553"/>
    <w:p>
      <w:pPr>
        <w:spacing w:after="0"/>
        <w:ind w:left="0"/>
        <w:jc w:val="both"/>
      </w:pPr>
      <w:r>
        <w:rPr>
          <w:rFonts w:ascii="Times New Roman"/>
          <w:b w:val="false"/>
          <w:i w:val="false"/>
          <w:color w:val="000000"/>
          <w:sz w:val="28"/>
        </w:rPr>
        <w:t xml:space="preserve">
      Уполномоченное лица по фармаконадзору информируется об изменениях, вносимых в мастер-файл системы фармаконадзора в целях выполнения им полномочий по внесению изменений с целью совершенствования системы. </w:t>
      </w:r>
    </w:p>
    <w:bookmarkEnd w:id="6553"/>
    <w:bookmarkStart w:name="z6723" w:id="6554"/>
    <w:p>
      <w:pPr>
        <w:spacing w:after="0"/>
        <w:ind w:left="0"/>
        <w:jc w:val="both"/>
      </w:pPr>
      <w:r>
        <w:rPr>
          <w:rFonts w:ascii="Times New Roman"/>
          <w:b w:val="false"/>
          <w:i w:val="false"/>
          <w:color w:val="000000"/>
          <w:sz w:val="28"/>
        </w:rPr>
        <w:t>
      Типы изменений, о которых незамедлительно информируется уполномоченное лицо по фармаконадзору:</w:t>
      </w:r>
    </w:p>
    <w:bookmarkEnd w:id="6554"/>
    <w:bookmarkStart w:name="z6724" w:id="6555"/>
    <w:p>
      <w:pPr>
        <w:spacing w:after="0"/>
        <w:ind w:left="0"/>
        <w:jc w:val="both"/>
      </w:pPr>
      <w:r>
        <w:rPr>
          <w:rFonts w:ascii="Times New Roman"/>
          <w:b w:val="false"/>
          <w:i w:val="false"/>
          <w:color w:val="000000"/>
          <w:sz w:val="28"/>
        </w:rPr>
        <w:t>
      1) изменения в мастер-файле системы фармаконадзора или изменение его местонахождения сообщаются в уполномоченный орган;</w:t>
      </w:r>
    </w:p>
    <w:bookmarkEnd w:id="6555"/>
    <w:bookmarkStart w:name="z6725" w:id="6556"/>
    <w:p>
      <w:pPr>
        <w:spacing w:after="0"/>
        <w:ind w:left="0"/>
        <w:jc w:val="both"/>
      </w:pPr>
      <w:r>
        <w:rPr>
          <w:rFonts w:ascii="Times New Roman"/>
          <w:b w:val="false"/>
          <w:i w:val="false"/>
          <w:color w:val="000000"/>
          <w:sz w:val="28"/>
        </w:rPr>
        <w:t>
      2) добавление корректирующих и (или) предупреждающих мероприятий в мастер-файл системы фармаконадзора (по результатам аудитов и инспекций) и управление отклонениями от процессов, указанных в системе управления качеством системы фармаконадзора;</w:t>
      </w:r>
    </w:p>
    <w:bookmarkEnd w:id="6556"/>
    <w:bookmarkStart w:name="z6726" w:id="6557"/>
    <w:p>
      <w:pPr>
        <w:spacing w:after="0"/>
        <w:ind w:left="0"/>
        <w:jc w:val="both"/>
      </w:pPr>
      <w:r>
        <w:rPr>
          <w:rFonts w:ascii="Times New Roman"/>
          <w:b w:val="false"/>
          <w:i w:val="false"/>
          <w:color w:val="000000"/>
          <w:sz w:val="28"/>
        </w:rPr>
        <w:t>
      3) изменения информации в мастер-файле, которые удовлетворяют критериям надлежащего контроля системы фармаконадзора (в рамках мощности системы, функционирования и соблюдения требований);</w:t>
      </w:r>
    </w:p>
    <w:bookmarkEnd w:id="6557"/>
    <w:bookmarkStart w:name="z6727" w:id="6558"/>
    <w:p>
      <w:pPr>
        <w:spacing w:after="0"/>
        <w:ind w:left="0"/>
        <w:jc w:val="both"/>
      </w:pPr>
      <w:r>
        <w:rPr>
          <w:rFonts w:ascii="Times New Roman"/>
          <w:b w:val="false"/>
          <w:i w:val="false"/>
          <w:color w:val="000000"/>
          <w:sz w:val="28"/>
        </w:rPr>
        <w:t>
      4) изменения в установленной договоренности о представлении мастер-файла системы фармаконадзора в уполномоченный орган.</w:t>
      </w:r>
    </w:p>
    <w:bookmarkEnd w:id="6558"/>
    <w:bookmarkStart w:name="z6728" w:id="6559"/>
    <w:p>
      <w:pPr>
        <w:spacing w:after="0"/>
        <w:ind w:left="0"/>
        <w:jc w:val="both"/>
      </w:pPr>
      <w:r>
        <w:rPr>
          <w:rFonts w:ascii="Times New Roman"/>
          <w:b w:val="false"/>
          <w:i w:val="false"/>
          <w:color w:val="000000"/>
          <w:sz w:val="28"/>
        </w:rPr>
        <w:t>
      68. Уполномоченное лицо по фармаконадзору обеспечивает в письменном виде подтверждение его уведомления в отношении следующих изменений:</w:t>
      </w:r>
    </w:p>
    <w:bookmarkEnd w:id="6559"/>
    <w:bookmarkStart w:name="z6729" w:id="6560"/>
    <w:p>
      <w:pPr>
        <w:spacing w:after="0"/>
        <w:ind w:left="0"/>
        <w:jc w:val="both"/>
      </w:pPr>
      <w:r>
        <w:rPr>
          <w:rFonts w:ascii="Times New Roman"/>
          <w:b w:val="false"/>
          <w:i w:val="false"/>
          <w:color w:val="000000"/>
          <w:sz w:val="28"/>
        </w:rPr>
        <w:t>
      1) включение лекарственных препаратов в систему фармаконадзора, за которую отвечает уполномоченное лицо в фармаконадзору;</w:t>
      </w:r>
    </w:p>
    <w:bookmarkEnd w:id="6560"/>
    <w:bookmarkStart w:name="z6730" w:id="6561"/>
    <w:p>
      <w:pPr>
        <w:spacing w:after="0"/>
        <w:ind w:left="0"/>
        <w:jc w:val="both"/>
      </w:pPr>
      <w:r>
        <w:rPr>
          <w:rFonts w:ascii="Times New Roman"/>
          <w:b w:val="false"/>
          <w:i w:val="false"/>
          <w:color w:val="000000"/>
          <w:sz w:val="28"/>
        </w:rPr>
        <w:t>
      2) передача обязанностей по системе фармаконадзора уполномоченному лицу по фармаконадзору.</w:t>
      </w:r>
    </w:p>
    <w:bookmarkEnd w:id="6561"/>
    <w:bookmarkStart w:name="z6731" w:id="6562"/>
    <w:p>
      <w:pPr>
        <w:spacing w:after="0"/>
        <w:ind w:left="0"/>
        <w:jc w:val="left"/>
      </w:pPr>
      <w:r>
        <w:rPr>
          <w:rFonts w:ascii="Times New Roman"/>
          <w:b/>
          <w:i w:val="false"/>
          <w:color w:val="000000"/>
        </w:rPr>
        <w:t xml:space="preserve"> Параграф 4. Описание систем фармаконадзора</w:t>
      </w:r>
    </w:p>
    <w:bookmarkEnd w:id="6562"/>
    <w:bookmarkStart w:name="z6732" w:id="6563"/>
    <w:p>
      <w:pPr>
        <w:spacing w:after="0"/>
        <w:ind w:left="0"/>
        <w:jc w:val="both"/>
      </w:pPr>
      <w:r>
        <w:rPr>
          <w:rFonts w:ascii="Times New Roman"/>
          <w:b w:val="false"/>
          <w:i w:val="false"/>
          <w:color w:val="000000"/>
          <w:sz w:val="28"/>
        </w:rPr>
        <w:t>
      69. В мастер-файле системы фармаконадзора описывается система фармаконадзора одного или более лекарственных препаратов держателя регистрационного удостоверения. К разным категориям лекарственных препаратов держателя регистрационного удостоверения применяется разная система фармаконадзора. Каждая такая система описывается в отдельном мастер-файле системы фармаконадзора. Данные мастер-файлы охватывают все лекарственные препараты держателя регистрационного удостоверения, на которые выдано удостоверение о государственной регистрации:</w:t>
      </w:r>
    </w:p>
    <w:bookmarkEnd w:id="6563"/>
    <w:bookmarkStart w:name="z6733" w:id="6564"/>
    <w:p>
      <w:pPr>
        <w:spacing w:after="0"/>
        <w:ind w:left="0"/>
        <w:jc w:val="both"/>
      </w:pPr>
      <w:r>
        <w:rPr>
          <w:rFonts w:ascii="Times New Roman"/>
          <w:b w:val="false"/>
          <w:i w:val="false"/>
          <w:color w:val="000000"/>
          <w:sz w:val="28"/>
        </w:rPr>
        <w:t>
      1) в случае если у держателя регистрационного удостоверения функционирует более одной системы фармаконадзора (специфические системы фармаконадзора для определенных видов лекарственных препаратов - вакцины, санитарно-гигиеническая продукция) или система фармаконадзора охватывает лекарственные препараты более одного держателя регистрационного удостоверения, представляется один мастер-файл системы фармаконадзора, описывающий каждую систему;</w:t>
      </w:r>
    </w:p>
    <w:bookmarkEnd w:id="6564"/>
    <w:bookmarkStart w:name="z6734" w:id="6565"/>
    <w:p>
      <w:pPr>
        <w:spacing w:after="0"/>
        <w:ind w:left="0"/>
        <w:jc w:val="both"/>
      </w:pPr>
      <w:r>
        <w:rPr>
          <w:rFonts w:ascii="Times New Roman"/>
          <w:b w:val="false"/>
          <w:i w:val="false"/>
          <w:color w:val="000000"/>
          <w:sz w:val="28"/>
        </w:rPr>
        <w:t>
      2) держателем регистрационного удостоверения назначается уполномоченное лицо по фармаконадзору, осуществляющее работу по созданию и ведению системы фармаконадзора, описанной в мастер-файле системы фармаконадзора;</w:t>
      </w:r>
    </w:p>
    <w:bookmarkEnd w:id="6565"/>
    <w:bookmarkStart w:name="z6735" w:id="6566"/>
    <w:p>
      <w:pPr>
        <w:spacing w:after="0"/>
        <w:ind w:left="0"/>
        <w:jc w:val="both"/>
      </w:pPr>
      <w:r>
        <w:rPr>
          <w:rFonts w:ascii="Times New Roman"/>
          <w:b w:val="false"/>
          <w:i w:val="false"/>
          <w:color w:val="000000"/>
          <w:sz w:val="28"/>
        </w:rPr>
        <w:t>
      3) если одна система фармаконадзора используется несколькими держателями регистрационного удостоверения, каждый держатель регистрационного удостоверения обеспечивает наличие мастер-файла системы фармаконадзора, в котором описана система фармаконадзора выпускаемой им продукции. Держатель регистрационного удостоверения делегирует через письменное соглашение (партнеру по лицензии или субподрядчику) часть или всю деятельность по фармаконадзору. В этом случае мастер-файл системы фармаконадзора держателя регистрационного удостоверения имеет перекрестную ссылку на весь или часть мастер-файла системы фармаконадзора, управляемого системой стороны, которой была делегирована деятельность на основании соглашения о доступе к данной информации о системе со стороны держателя регистрационного удостоверения и уполномоченного органа. Держатель регистрационного удостоверения обеспечивает соответствие содержания ссылочного файла системе фармаконадзора, применимой к лекарственному препарату;</w:t>
      </w:r>
    </w:p>
    <w:bookmarkEnd w:id="6566"/>
    <w:bookmarkStart w:name="z6736" w:id="6567"/>
    <w:p>
      <w:pPr>
        <w:spacing w:after="0"/>
        <w:ind w:left="0"/>
        <w:jc w:val="both"/>
      </w:pPr>
      <w:r>
        <w:rPr>
          <w:rFonts w:ascii="Times New Roman"/>
          <w:b w:val="false"/>
          <w:i w:val="false"/>
          <w:color w:val="000000"/>
          <w:sz w:val="28"/>
        </w:rPr>
        <w:t>
      4) в соответствующих случаях в приложении указывается перечень всех мастер-файлов системы фармаконадзора, поддерживаемых одним держателем регистрационного удостоверения. В прилагаемую информацию включаются данные по местонахождению мастер-файла, информация об уполномоченном лице по фармаконадзору и соответствующем лекарственном препарате;</w:t>
      </w:r>
    </w:p>
    <w:bookmarkEnd w:id="6567"/>
    <w:bookmarkStart w:name="z6737" w:id="6568"/>
    <w:p>
      <w:pPr>
        <w:spacing w:after="0"/>
        <w:ind w:left="0"/>
        <w:jc w:val="both"/>
      </w:pPr>
      <w:r>
        <w:rPr>
          <w:rFonts w:ascii="Times New Roman"/>
          <w:b w:val="false"/>
          <w:i w:val="false"/>
          <w:color w:val="000000"/>
          <w:sz w:val="28"/>
        </w:rPr>
        <w:t>
      5) в краткой информации, представляемой в уполномоченную организацию, не указывается несколько местонахождений одного мастер-файла системы фармаконадзора;</w:t>
      </w:r>
    </w:p>
    <w:bookmarkEnd w:id="6568"/>
    <w:bookmarkStart w:name="z6738" w:id="6569"/>
    <w:p>
      <w:pPr>
        <w:spacing w:after="0"/>
        <w:ind w:left="0"/>
        <w:jc w:val="both"/>
      </w:pPr>
      <w:r>
        <w:rPr>
          <w:rFonts w:ascii="Times New Roman"/>
          <w:b w:val="false"/>
          <w:i w:val="false"/>
          <w:color w:val="000000"/>
          <w:sz w:val="28"/>
        </w:rPr>
        <w:t>
      6) при делегировании деятельности по системе фармаконадзора и ее мастер-файлу держатель регистрационного удостоверения сохраняет за собой полномочия по: системе фармаконадзора; представлению информации о расположении мастер-файла системы фармаконадзора; ведению мастер-файла системы фармаконадзора и его представлении в уполномоченный орган по запросу. Кроме того, предоставляются письменные соглашения с описанием функций и обязанностей по мастер-файлу системы фармаконадзора, его представлению и поддержанию, а также осуществлению фармаконадзора согласно требованиям действующего законодательства Республики Казахстан;</w:t>
      </w:r>
    </w:p>
    <w:bookmarkEnd w:id="6569"/>
    <w:bookmarkStart w:name="z6739" w:id="6570"/>
    <w:p>
      <w:pPr>
        <w:spacing w:after="0"/>
        <w:ind w:left="0"/>
        <w:jc w:val="both"/>
      </w:pPr>
      <w:r>
        <w:rPr>
          <w:rFonts w:ascii="Times New Roman"/>
          <w:b w:val="false"/>
          <w:i w:val="false"/>
          <w:color w:val="000000"/>
          <w:sz w:val="28"/>
        </w:rPr>
        <w:t>
      7) при использовании системы фармаконадзора несколькими держателями регистрационного удостоверения рекомендуется согласование партнеров о совместном ведении соответствующих разделов в рамках своих собственных мастер-файлов в системе. О доступности мастер-файла системы фармаконадзора для всех соответствующих держателей регистрационного удостоверения и его представлении в уполномоченную организацию указывается в письменных соглашениях. Держатель регистрационного удостоверения обязан убедиться в выполнении всех соответствующих требований системы фармаконадзора, распространяемой на его продукцию.</w:t>
      </w:r>
    </w:p>
    <w:bookmarkEnd w:id="6570"/>
    <w:bookmarkStart w:name="z6740" w:id="6571"/>
    <w:p>
      <w:pPr>
        <w:spacing w:after="0"/>
        <w:ind w:left="0"/>
        <w:jc w:val="left"/>
      </w:pPr>
      <w:r>
        <w:rPr>
          <w:rFonts w:ascii="Times New Roman"/>
          <w:b/>
          <w:i w:val="false"/>
          <w:color w:val="000000"/>
        </w:rPr>
        <w:t xml:space="preserve"> Параграф 5. Обязательная информация в мастер-файле системы фармаконадзора</w:t>
      </w:r>
    </w:p>
    <w:bookmarkEnd w:id="6571"/>
    <w:bookmarkStart w:name="z6741" w:id="6572"/>
    <w:p>
      <w:pPr>
        <w:spacing w:after="0"/>
        <w:ind w:left="0"/>
        <w:jc w:val="both"/>
      </w:pPr>
      <w:r>
        <w:rPr>
          <w:rFonts w:ascii="Times New Roman"/>
          <w:b w:val="false"/>
          <w:i w:val="false"/>
          <w:color w:val="000000"/>
          <w:sz w:val="28"/>
        </w:rPr>
        <w:t>
      70. Мастер-файл системы фармаконадзора включает соответствующие документы с описанием системы фармаконадзора. Содержание мастер-файла системы фармаконадзора отражает глобальную доступность информации о безопасности лекарственных препаратов, зарегистрированных в Республике Казахстан. Содержание имеет оглавление с целью обеспечения возможности быстро ориентироваться в документе.</w:t>
      </w:r>
    </w:p>
    <w:bookmarkEnd w:id="6572"/>
    <w:bookmarkStart w:name="z6742" w:id="6573"/>
    <w:p>
      <w:pPr>
        <w:spacing w:after="0"/>
        <w:ind w:left="0"/>
        <w:jc w:val="both"/>
      </w:pPr>
      <w:r>
        <w:rPr>
          <w:rFonts w:ascii="Times New Roman"/>
          <w:b w:val="false"/>
          <w:i w:val="false"/>
          <w:color w:val="000000"/>
          <w:sz w:val="28"/>
        </w:rPr>
        <w:t>
      71. Раздел мастер-файла об уполномоченном лице по фармаконадзору включает следующую информацию:</w:t>
      </w:r>
    </w:p>
    <w:bookmarkEnd w:id="6573"/>
    <w:bookmarkStart w:name="z6743" w:id="6574"/>
    <w:p>
      <w:pPr>
        <w:spacing w:after="0"/>
        <w:ind w:left="0"/>
        <w:jc w:val="both"/>
      </w:pPr>
      <w:r>
        <w:rPr>
          <w:rFonts w:ascii="Times New Roman"/>
          <w:b w:val="false"/>
          <w:i w:val="false"/>
          <w:color w:val="000000"/>
          <w:sz w:val="28"/>
        </w:rPr>
        <w:t>
      1) описание обязанностей, гарантирующих наличие у уполномоченного лица по фармаконадзору соответствующих полномочий по системе фармаконадзора с целью обеспечения, содействия и повышения уровня соответствия требованиям;</w:t>
      </w:r>
    </w:p>
    <w:bookmarkEnd w:id="6574"/>
    <w:bookmarkStart w:name="z6744" w:id="6575"/>
    <w:p>
      <w:pPr>
        <w:spacing w:after="0"/>
        <w:ind w:left="0"/>
        <w:jc w:val="both"/>
      </w:pPr>
      <w:r>
        <w:rPr>
          <w:rFonts w:ascii="Times New Roman"/>
          <w:b w:val="false"/>
          <w:i w:val="false"/>
          <w:color w:val="000000"/>
          <w:sz w:val="28"/>
        </w:rPr>
        <w:t>
      2) краткое резюме с ключевой информацией по роли уполномоченного лица по фармаконадзору;</w:t>
      </w:r>
    </w:p>
    <w:bookmarkEnd w:id="6575"/>
    <w:bookmarkStart w:name="z6745" w:id="6576"/>
    <w:p>
      <w:pPr>
        <w:spacing w:after="0"/>
        <w:ind w:left="0"/>
        <w:jc w:val="both"/>
      </w:pPr>
      <w:r>
        <w:rPr>
          <w:rFonts w:ascii="Times New Roman"/>
          <w:b w:val="false"/>
          <w:i w:val="false"/>
          <w:color w:val="000000"/>
          <w:sz w:val="28"/>
        </w:rPr>
        <w:t>
      3) контактную информацию по уполномоченному лицу по фармаконадзору. Представленная контактная информация включает фамилию, почтовый адрес, номер телефона, факса, электронную почту и рабочий адрес уполномоченного лица;</w:t>
      </w:r>
    </w:p>
    <w:bookmarkEnd w:id="6576"/>
    <w:bookmarkStart w:name="z6746" w:id="6577"/>
    <w:p>
      <w:pPr>
        <w:spacing w:after="0"/>
        <w:ind w:left="0"/>
        <w:jc w:val="both"/>
      </w:pPr>
      <w:r>
        <w:rPr>
          <w:rFonts w:ascii="Times New Roman"/>
          <w:b w:val="false"/>
          <w:i w:val="false"/>
          <w:color w:val="000000"/>
          <w:sz w:val="28"/>
        </w:rPr>
        <w:t>
      4) информацию о применении резервных соглашений в случае отсутствия уполномоченного лица по фармаконадзору.</w:t>
      </w:r>
    </w:p>
    <w:bookmarkEnd w:id="6577"/>
    <w:bookmarkStart w:name="z6747" w:id="6578"/>
    <w:p>
      <w:pPr>
        <w:spacing w:after="0"/>
        <w:ind w:left="0"/>
        <w:jc w:val="both"/>
      </w:pPr>
      <w:r>
        <w:rPr>
          <w:rFonts w:ascii="Times New Roman"/>
          <w:b w:val="false"/>
          <w:i w:val="false"/>
          <w:color w:val="000000"/>
          <w:sz w:val="28"/>
        </w:rPr>
        <w:t>
      В случае делегирования определенных задач уполномоченным лицом по фармаконадзору иному исполнителю, перечень делегированных задач включается в приложения с указанием описания делегированной деятельности и кому она была делегирована;</w:t>
      </w:r>
    </w:p>
    <w:bookmarkEnd w:id="6578"/>
    <w:bookmarkStart w:name="z6748" w:id="6579"/>
    <w:p>
      <w:pPr>
        <w:spacing w:after="0"/>
        <w:ind w:left="0"/>
        <w:jc w:val="both"/>
      </w:pPr>
      <w:r>
        <w:rPr>
          <w:rFonts w:ascii="Times New Roman"/>
          <w:b w:val="false"/>
          <w:i w:val="false"/>
          <w:color w:val="000000"/>
          <w:sz w:val="28"/>
        </w:rPr>
        <w:t>
      5) описание квалификации уполномоченного лица по фармаконадзору и опыта, имеющего отношение к деятельности по фармаконадзору.</w:t>
      </w:r>
    </w:p>
    <w:bookmarkEnd w:id="6579"/>
    <w:bookmarkStart w:name="z6749" w:id="6580"/>
    <w:p>
      <w:pPr>
        <w:spacing w:after="0"/>
        <w:ind w:left="0"/>
        <w:jc w:val="both"/>
      </w:pPr>
      <w:r>
        <w:rPr>
          <w:rFonts w:ascii="Times New Roman"/>
          <w:b w:val="false"/>
          <w:i w:val="false"/>
          <w:color w:val="000000"/>
          <w:sz w:val="28"/>
        </w:rPr>
        <w:t>
      72. Раздел мастер-файла об организационной структуре держателя регистрационного удостоверения предусматривает описание организационной структуры соответствующей системы фармаконадзора держателя регистрационного удостоверения, который содержит четкое представление о задействованной компании, основных отделах фармаконадзора и взаимоотношениях между организациями и структурными единицами, имеющими отношение к выполнению деятельности по фармаконадзору.</w:t>
      </w:r>
    </w:p>
    <w:bookmarkEnd w:id="6580"/>
    <w:bookmarkStart w:name="z6750" w:id="6581"/>
    <w:p>
      <w:pPr>
        <w:spacing w:after="0"/>
        <w:ind w:left="0"/>
        <w:jc w:val="both"/>
      </w:pPr>
      <w:r>
        <w:rPr>
          <w:rFonts w:ascii="Times New Roman"/>
          <w:b w:val="false"/>
          <w:i w:val="false"/>
          <w:color w:val="000000"/>
          <w:sz w:val="28"/>
        </w:rPr>
        <w:t>
      73. В данном разделе мастер-файла отображается:</w:t>
      </w:r>
    </w:p>
    <w:bookmarkEnd w:id="6581"/>
    <w:bookmarkStart w:name="z6751" w:id="6582"/>
    <w:p>
      <w:pPr>
        <w:spacing w:after="0"/>
        <w:ind w:left="0"/>
        <w:jc w:val="both"/>
      </w:pPr>
      <w:r>
        <w:rPr>
          <w:rFonts w:ascii="Times New Roman"/>
          <w:b w:val="false"/>
          <w:i w:val="false"/>
          <w:color w:val="000000"/>
          <w:sz w:val="28"/>
        </w:rPr>
        <w:t>
      1) организационная структура держателя регистрационного удостоверения, включая указание положения уполномоченного лица по фармаконадзору в организации.</w:t>
      </w:r>
    </w:p>
    <w:bookmarkEnd w:id="6582"/>
    <w:bookmarkStart w:name="z6752" w:id="6583"/>
    <w:p>
      <w:pPr>
        <w:spacing w:after="0"/>
        <w:ind w:left="0"/>
        <w:jc w:val="both"/>
      </w:pPr>
      <w:r>
        <w:rPr>
          <w:rFonts w:ascii="Times New Roman"/>
          <w:b w:val="false"/>
          <w:i w:val="false"/>
          <w:color w:val="000000"/>
          <w:sz w:val="28"/>
        </w:rPr>
        <w:t>
      2) месторасположение, в котором осуществляется деятельность по фармаконадзору, включая сбор и оценку индивидуальных сообщений о нежелательных реакциях, ввод сообщений в базу данных по безопасности, подготовку ПОБ, выявление и анализ сигналов, ведение планов управления рисками, управление проведением пред- и пострегистрационными исследованиями (испытаниями) и управление изменениями, вносимыми в информацию о безопасности лекарственного препарата.</w:t>
      </w:r>
    </w:p>
    <w:bookmarkEnd w:id="6583"/>
    <w:bookmarkStart w:name="z6753" w:id="6584"/>
    <w:p>
      <w:pPr>
        <w:spacing w:after="0"/>
        <w:ind w:left="0"/>
        <w:jc w:val="both"/>
      </w:pPr>
      <w:r>
        <w:rPr>
          <w:rFonts w:ascii="Times New Roman"/>
          <w:b w:val="false"/>
          <w:i w:val="false"/>
          <w:color w:val="000000"/>
          <w:sz w:val="28"/>
        </w:rPr>
        <w:t>
      74. В соответствующих случаях мастер-файл системы фармаконадзора содержит описание делегируемой деятельности и (или) услуг по выполнению обязательств по фармаконадзору.</w:t>
      </w:r>
    </w:p>
    <w:bookmarkEnd w:id="6584"/>
    <w:bookmarkStart w:name="z6754" w:id="6585"/>
    <w:p>
      <w:pPr>
        <w:spacing w:after="0"/>
        <w:ind w:left="0"/>
        <w:jc w:val="both"/>
      </w:pPr>
      <w:r>
        <w:rPr>
          <w:rFonts w:ascii="Times New Roman"/>
          <w:b w:val="false"/>
          <w:i w:val="false"/>
          <w:color w:val="000000"/>
          <w:sz w:val="28"/>
        </w:rPr>
        <w:t>
      75. Информация в разделе включает подтверждение взаимосвязи с другими организационными структурами, а именно соглашения о совместном маркетинге и привлечении подрядчиков к деятельности по фармаконадзору. Предоставляется описание местонахождения и структуры контрактов и соглашений по выполнению деятельности по фармаконадзору. Такое описание представляется в форме перечня (таблицы): участвующие стороны, принятые на себя обязательства, соответствующий лекарственный препарат и территории. Перечень структурируется согласно видам организаций, оказывающих услуги (медицинская информация, аудиторы, провайдеры программ поддержки пациентов, обработка данных по исследованиям), коммерческим соглашениям (дистрибьюторы, партнеры по лицензии, совместный маркетинг) и другим техническим провайдерам (размещение компьютерных систем на серверах провайдера). Индивидуальные контрактные соглашения представляются по запросу уполномоченного органа или в ходе инспекции и аудита, перечень приводится в приложениях.</w:t>
      </w:r>
    </w:p>
    <w:bookmarkEnd w:id="6585"/>
    <w:bookmarkStart w:name="z6755" w:id="6586"/>
    <w:p>
      <w:pPr>
        <w:spacing w:after="0"/>
        <w:ind w:left="0"/>
        <w:jc w:val="both"/>
      </w:pPr>
      <w:r>
        <w:rPr>
          <w:rFonts w:ascii="Times New Roman"/>
          <w:b w:val="false"/>
          <w:i w:val="false"/>
          <w:color w:val="000000"/>
          <w:sz w:val="28"/>
        </w:rPr>
        <w:t>
      76. Мастер-файл системы фармаконадзора содержит копии подписанных соглашений на делегирование значимой деятельности, а именно:</w:t>
      </w:r>
    </w:p>
    <w:bookmarkEnd w:id="6586"/>
    <w:bookmarkStart w:name="z6756" w:id="6587"/>
    <w:p>
      <w:pPr>
        <w:spacing w:after="0"/>
        <w:ind w:left="0"/>
        <w:jc w:val="both"/>
      </w:pPr>
      <w:r>
        <w:rPr>
          <w:rFonts w:ascii="Times New Roman"/>
          <w:b w:val="false"/>
          <w:i w:val="false"/>
          <w:color w:val="000000"/>
          <w:sz w:val="28"/>
        </w:rPr>
        <w:t>
      1) оказание услуг по фармаконадзору (уполномоченное лицо по фармаконадзору, ввод данных о безопасности, подготовка ПОБ, представление индивидуальных сообщений о нежелательных реакциях в электронном виде, оценка данных о безопасности);</w:t>
      </w:r>
    </w:p>
    <w:bookmarkEnd w:id="6587"/>
    <w:bookmarkStart w:name="z6757" w:id="6588"/>
    <w:p>
      <w:pPr>
        <w:spacing w:after="0"/>
        <w:ind w:left="0"/>
        <w:jc w:val="both"/>
      </w:pPr>
      <w:r>
        <w:rPr>
          <w:rFonts w:ascii="Times New Roman"/>
          <w:b w:val="false"/>
          <w:i w:val="false"/>
          <w:color w:val="000000"/>
          <w:sz w:val="28"/>
        </w:rPr>
        <w:t>
      2) делегирование деятельности по мастер-файлу системы фармаконадзора.</w:t>
      </w:r>
    </w:p>
    <w:bookmarkEnd w:id="6588"/>
    <w:bookmarkStart w:name="z6758" w:id="6589"/>
    <w:p>
      <w:pPr>
        <w:spacing w:after="0"/>
        <w:ind w:left="0"/>
        <w:jc w:val="both"/>
      </w:pPr>
      <w:r>
        <w:rPr>
          <w:rFonts w:ascii="Times New Roman"/>
          <w:b w:val="false"/>
          <w:i w:val="false"/>
          <w:color w:val="000000"/>
          <w:sz w:val="28"/>
        </w:rPr>
        <w:t>
      77. В разделе мастер-файла об источниках получения данных о безопасности в описании основных отделов по сбору индивидуальных сообщений о нежелательных реакциях включается информация всех сторон осуществляющих сбор сообщений, получаемых по запросу, и данные спонтанных сообщений о нежелательных реакциях на лекарственные препараты, зарегистрированные на территории Республики Казахстан. В описание включаются места нахождения медицинской информации и дочерние офисы. Эта информация представляется в форме списка с указанием страны, характера деятельности и лекарственного препарата (если данная деятельность зависит от вида лекарственного препарата). Информацию о третьих сторонах (партнеры по лицензии или местные дистрибьюторские (маркетинговые) соглашения) включают в раздел, в котором описаны контракты и соглашения.</w:t>
      </w:r>
    </w:p>
    <w:bookmarkEnd w:id="6589"/>
    <w:bookmarkStart w:name="z6759" w:id="6590"/>
    <w:p>
      <w:pPr>
        <w:spacing w:after="0"/>
        <w:ind w:left="0"/>
        <w:jc w:val="both"/>
      </w:pPr>
      <w:r>
        <w:rPr>
          <w:rFonts w:ascii="Times New Roman"/>
          <w:b w:val="false"/>
          <w:i w:val="false"/>
          <w:color w:val="000000"/>
          <w:sz w:val="28"/>
        </w:rPr>
        <w:t>
      78. Источники информации о безопасности содержат текущий список исследований (испытаний), регистров, программ поддержки или наблюдений, спонсируемых держателем регистрационного удостоверения. В списке описывается статус каждого исследования (программы), соответствующая страна, лекарственный препарат и основные цели. Интервенционные и неинтервенционные исследования (испытания) указываются по отдельности согласно действующему веществу лекарственных препаратов. Список содержит все исследования (программы), текущие исследования (программы), а также исследования (программы), завершенные в течение последних двух лет.</w:t>
      </w:r>
    </w:p>
    <w:bookmarkEnd w:id="6590"/>
    <w:bookmarkStart w:name="z6760" w:id="6591"/>
    <w:p>
      <w:pPr>
        <w:spacing w:after="0"/>
        <w:ind w:left="0"/>
        <w:jc w:val="both"/>
      </w:pPr>
      <w:r>
        <w:rPr>
          <w:rFonts w:ascii="Times New Roman"/>
          <w:b w:val="false"/>
          <w:i w:val="false"/>
          <w:color w:val="000000"/>
          <w:sz w:val="28"/>
        </w:rPr>
        <w:t>
      79. В разделе мастер-файла о компьютерных системах и базах данных системы фармаконадзора описывается расположение, функциональные возможности и эксплуатация компьютерной системы и базы данных, используемые для получения, верификации, представления информации о безопасности и оценки ее соответствия поставленным задачам.</w:t>
      </w:r>
    </w:p>
    <w:bookmarkEnd w:id="6591"/>
    <w:bookmarkStart w:name="z6761" w:id="6592"/>
    <w:p>
      <w:pPr>
        <w:spacing w:after="0"/>
        <w:ind w:left="0"/>
        <w:jc w:val="both"/>
      </w:pPr>
      <w:r>
        <w:rPr>
          <w:rFonts w:ascii="Times New Roman"/>
          <w:b w:val="false"/>
          <w:i w:val="false"/>
          <w:color w:val="000000"/>
          <w:sz w:val="28"/>
        </w:rPr>
        <w:t>
      80. В случае использования ряда компьютерных систем (баз данных) описывается их применимость к деятельности по фармаконадзору таким образом, чтобы был понятен объем компьютеризации в рамках системы фармаконадзора. Описывается статус валидации основных аспектов функциональных возможностей компьютерной системы; а также смена контроля, структура испытаний, резервные процедуры и архивы электронных данных, важные для соблюдения требований фармаконадзора, описание имеющейся документации. В отношении бумажных систем (при использовании электронной системы для срочного представления индивидуальных сообщений о нежелательных реакциях), описывается управление данными и механизмы, используемые для обеспечения целостности и доступа к данным.</w:t>
      </w:r>
    </w:p>
    <w:bookmarkEnd w:id="6592"/>
    <w:bookmarkStart w:name="z6762" w:id="6593"/>
    <w:p>
      <w:pPr>
        <w:spacing w:after="0"/>
        <w:ind w:left="0"/>
        <w:jc w:val="both"/>
      </w:pPr>
      <w:r>
        <w:rPr>
          <w:rFonts w:ascii="Times New Roman"/>
          <w:b w:val="false"/>
          <w:i w:val="false"/>
          <w:color w:val="000000"/>
          <w:sz w:val="28"/>
        </w:rPr>
        <w:t>
      81. Важным компонентом любой системы фармаконадзора является наличие на месте осуществления деятельности письменных стандартных процедур. В разделе 2 настоящего руководства описывается требуемый минимальный набор письменных процедур фармаконадзора. В мастер-файле системы фармаконадзора описывается имеющаяся процедурная документация (ссылки на конкретные стандартные операционные процедуры, руководства), типы данных (тип данных об индивидуальных случаях нежелательных реакций) и указание на способ ведения записей (в частности, база данных по безопасности, бумажные файлы в месте получения).</w:t>
      </w:r>
    </w:p>
    <w:bookmarkEnd w:id="6593"/>
    <w:bookmarkStart w:name="z6763" w:id="6594"/>
    <w:p>
      <w:pPr>
        <w:spacing w:after="0"/>
        <w:ind w:left="0"/>
        <w:jc w:val="both"/>
      </w:pPr>
      <w:r>
        <w:rPr>
          <w:rFonts w:ascii="Times New Roman"/>
          <w:b w:val="false"/>
          <w:i w:val="false"/>
          <w:color w:val="000000"/>
          <w:sz w:val="28"/>
        </w:rPr>
        <w:t>
      82. В мастер-файл системы фармаконадзора включается описание процессов, процедур обработки и регистрации данных при выполнении деятельности по фармаконадзору, содержащее следующие аспекты:</w:t>
      </w:r>
    </w:p>
    <w:bookmarkEnd w:id="6594"/>
    <w:bookmarkStart w:name="z6764" w:id="6595"/>
    <w:p>
      <w:pPr>
        <w:spacing w:after="0"/>
        <w:ind w:left="0"/>
        <w:jc w:val="both"/>
      </w:pPr>
      <w:r>
        <w:rPr>
          <w:rFonts w:ascii="Times New Roman"/>
          <w:b w:val="false"/>
          <w:i w:val="false"/>
          <w:color w:val="000000"/>
          <w:sz w:val="28"/>
        </w:rPr>
        <w:t xml:space="preserve">
      1) постоянный мониторинг соотношения польза-риск лекарственного препарата, результат оценки и процесс принятия решения о соответствующих мерах; </w:t>
      </w:r>
    </w:p>
    <w:bookmarkEnd w:id="6595"/>
    <w:bookmarkStart w:name="z6765" w:id="6596"/>
    <w:p>
      <w:pPr>
        <w:spacing w:after="0"/>
        <w:ind w:left="0"/>
        <w:jc w:val="both"/>
      </w:pPr>
      <w:r>
        <w:rPr>
          <w:rFonts w:ascii="Times New Roman"/>
          <w:b w:val="false"/>
          <w:i w:val="false"/>
          <w:color w:val="000000"/>
          <w:sz w:val="28"/>
        </w:rPr>
        <w:t>
      2) процесс генерирования, верификации и оценки сигналов; получение выходных данных из баз данных о безопасности, обмен данными с клиническими отделами;</w:t>
      </w:r>
    </w:p>
    <w:bookmarkEnd w:id="6596"/>
    <w:bookmarkStart w:name="z6766" w:id="6597"/>
    <w:p>
      <w:pPr>
        <w:spacing w:after="0"/>
        <w:ind w:left="0"/>
        <w:jc w:val="both"/>
      </w:pPr>
      <w:r>
        <w:rPr>
          <w:rFonts w:ascii="Times New Roman"/>
          <w:b w:val="false"/>
          <w:i w:val="false"/>
          <w:color w:val="000000"/>
          <w:sz w:val="28"/>
        </w:rPr>
        <w:t xml:space="preserve">
      3) система управления рисками и мониторинг результатов внедрения мер минимизации рисков; </w:t>
      </w:r>
    </w:p>
    <w:bookmarkEnd w:id="6597"/>
    <w:bookmarkStart w:name="z6767" w:id="6598"/>
    <w:p>
      <w:pPr>
        <w:spacing w:after="0"/>
        <w:ind w:left="0"/>
        <w:jc w:val="both"/>
      </w:pPr>
      <w:r>
        <w:rPr>
          <w:rFonts w:ascii="Times New Roman"/>
          <w:b w:val="false"/>
          <w:i w:val="false"/>
          <w:color w:val="000000"/>
          <w:sz w:val="28"/>
        </w:rPr>
        <w:t>
      4) в случае если в этом процессе задействовано несколько отделов, порядок их взаимодействия определяется письменными процедурами или соглашениями;</w:t>
      </w:r>
    </w:p>
    <w:bookmarkEnd w:id="6598"/>
    <w:bookmarkStart w:name="z6768" w:id="6599"/>
    <w:p>
      <w:pPr>
        <w:spacing w:after="0"/>
        <w:ind w:left="0"/>
        <w:jc w:val="both"/>
      </w:pPr>
      <w:r>
        <w:rPr>
          <w:rFonts w:ascii="Times New Roman"/>
          <w:b w:val="false"/>
          <w:i w:val="false"/>
          <w:color w:val="000000"/>
          <w:sz w:val="28"/>
        </w:rPr>
        <w:t xml:space="preserve">
      5) сбор, верификация, получение последующей информации, оценка и представление информации об индивидуальных случаях нежелательных реакций; </w:t>
      </w:r>
    </w:p>
    <w:bookmarkEnd w:id="6599"/>
    <w:bookmarkStart w:name="z6769" w:id="6600"/>
    <w:p>
      <w:pPr>
        <w:spacing w:after="0"/>
        <w:ind w:left="0"/>
        <w:jc w:val="both"/>
      </w:pPr>
      <w:r>
        <w:rPr>
          <w:rFonts w:ascii="Times New Roman"/>
          <w:b w:val="false"/>
          <w:i w:val="false"/>
          <w:color w:val="000000"/>
          <w:sz w:val="28"/>
        </w:rPr>
        <w:t>
      6) в процедурах по данному разделу указывается четкое разграничение локальных и международных видов деятельности;</w:t>
      </w:r>
    </w:p>
    <w:bookmarkEnd w:id="6600"/>
    <w:bookmarkStart w:name="z6770" w:id="6601"/>
    <w:p>
      <w:pPr>
        <w:spacing w:after="0"/>
        <w:ind w:left="0"/>
        <w:jc w:val="both"/>
      </w:pPr>
      <w:r>
        <w:rPr>
          <w:rFonts w:ascii="Times New Roman"/>
          <w:b w:val="false"/>
          <w:i w:val="false"/>
          <w:color w:val="000000"/>
          <w:sz w:val="28"/>
        </w:rPr>
        <w:t>
      7) планирование, составление и представление периодических отчетов по безопасности;</w:t>
      </w:r>
    </w:p>
    <w:bookmarkEnd w:id="6601"/>
    <w:bookmarkStart w:name="z6771" w:id="6602"/>
    <w:p>
      <w:pPr>
        <w:spacing w:after="0"/>
        <w:ind w:left="0"/>
        <w:jc w:val="both"/>
      </w:pPr>
      <w:r>
        <w:rPr>
          <w:rFonts w:ascii="Times New Roman"/>
          <w:b w:val="false"/>
          <w:i w:val="false"/>
          <w:color w:val="000000"/>
          <w:sz w:val="28"/>
        </w:rPr>
        <w:t>
      8) представление информации о проблемах по безопасности потребителям, медицинским работникам и в уполномоченный орган;</w:t>
      </w:r>
    </w:p>
    <w:bookmarkEnd w:id="6602"/>
    <w:bookmarkStart w:name="z6772" w:id="6603"/>
    <w:p>
      <w:pPr>
        <w:spacing w:after="0"/>
        <w:ind w:left="0"/>
        <w:jc w:val="both"/>
      </w:pPr>
      <w:r>
        <w:rPr>
          <w:rFonts w:ascii="Times New Roman"/>
          <w:b w:val="false"/>
          <w:i w:val="false"/>
          <w:color w:val="000000"/>
          <w:sz w:val="28"/>
        </w:rPr>
        <w:t>
      9) внесение изменений по безопасности в инструкцию по медицинскому применению и информацию для пациентов; процедуры охватывают внутренний и внешний обмен данными.</w:t>
      </w:r>
    </w:p>
    <w:bookmarkEnd w:id="6603"/>
    <w:bookmarkStart w:name="z6773" w:id="6604"/>
    <w:p>
      <w:pPr>
        <w:spacing w:after="0"/>
        <w:ind w:left="0"/>
        <w:jc w:val="both"/>
      </w:pPr>
      <w:r>
        <w:rPr>
          <w:rFonts w:ascii="Times New Roman"/>
          <w:b w:val="false"/>
          <w:i w:val="false"/>
          <w:color w:val="000000"/>
          <w:sz w:val="28"/>
        </w:rPr>
        <w:t>
      83. По каждому направлению деятельности держатель регистрационного удостоверения предоставляет подтверждение функционирования системы своевременного принятия надлежащих решения и действий.</w:t>
      </w:r>
    </w:p>
    <w:bookmarkEnd w:id="6604"/>
    <w:bookmarkStart w:name="z6774" w:id="6605"/>
    <w:p>
      <w:pPr>
        <w:spacing w:after="0"/>
        <w:ind w:left="0"/>
        <w:jc w:val="both"/>
      </w:pPr>
      <w:r>
        <w:rPr>
          <w:rFonts w:ascii="Times New Roman"/>
          <w:b w:val="false"/>
          <w:i w:val="false"/>
          <w:color w:val="000000"/>
          <w:sz w:val="28"/>
        </w:rPr>
        <w:t>
      84. Представляются данные по функционированию других направлений деятельности, подтверждающие наличие надлежащей системы обеспечения качества в системе фармаконадзора. К таким данным относятся функции и обязанности уполномоченного лица по фармаконадзору, реагирование на запросы уполномоченного органа по представлению информации, литературный поиск, контроль изменений в базах данных по безопасности, соглашения об обмене данными по безопасности, архивирование данных о безопасности, аудит фармаконадзора, контроль системы качества и обучение. В ходе обзора используется таблица со всеми процедурными документами фармаконадзора (название и номер).</w:t>
      </w:r>
    </w:p>
    <w:bookmarkEnd w:id="6605"/>
    <w:bookmarkStart w:name="z6775" w:id="6606"/>
    <w:p>
      <w:pPr>
        <w:spacing w:after="0"/>
        <w:ind w:left="0"/>
        <w:jc w:val="both"/>
      </w:pPr>
      <w:r>
        <w:rPr>
          <w:rFonts w:ascii="Times New Roman"/>
          <w:b w:val="false"/>
          <w:i w:val="false"/>
          <w:color w:val="000000"/>
          <w:sz w:val="28"/>
        </w:rPr>
        <w:t>
      85. Раздел мастер-файла о применении системы фармаконадзора содержит подтверждение непрерывного мониторинга функционирования системы фармаконадзора, включая контроль основных результатов. Мастер-файл системы фармаконадзора содержит описание методов мониторинга и:</w:t>
      </w:r>
    </w:p>
    <w:bookmarkEnd w:id="6606"/>
    <w:bookmarkStart w:name="z6776" w:id="6607"/>
    <w:p>
      <w:pPr>
        <w:spacing w:after="0"/>
        <w:ind w:left="0"/>
        <w:jc w:val="both"/>
      </w:pPr>
      <w:r>
        <w:rPr>
          <w:rFonts w:ascii="Times New Roman"/>
          <w:b w:val="false"/>
          <w:i w:val="false"/>
          <w:color w:val="000000"/>
          <w:sz w:val="28"/>
        </w:rPr>
        <w:t>
      1) описание процедуры оценки правильности представления индивидуальных сообщений о нежелательных реакциях. Представляются рисунки (графики), подтверждающие своевременность представления информации в соответствии с требованиями действующего законодательства Республики Казахстан;</w:t>
      </w:r>
    </w:p>
    <w:bookmarkEnd w:id="6607"/>
    <w:bookmarkStart w:name="z6777" w:id="6608"/>
    <w:p>
      <w:pPr>
        <w:spacing w:after="0"/>
        <w:ind w:left="0"/>
        <w:jc w:val="both"/>
      </w:pPr>
      <w:r>
        <w:rPr>
          <w:rFonts w:ascii="Times New Roman"/>
          <w:b w:val="false"/>
          <w:i w:val="false"/>
          <w:color w:val="000000"/>
          <w:sz w:val="28"/>
        </w:rPr>
        <w:t>
      2) описание контрольных показателей, используемых для контроля качества представленной информации и деятельности по фармаконадзору. Относится информация, полученная от уполномоченного органа, в отношении качества представления сообщений о нежелательных реакциях, ПОБ или других представляемых данных;</w:t>
      </w:r>
    </w:p>
    <w:bookmarkEnd w:id="6608"/>
    <w:bookmarkStart w:name="z6778" w:id="6609"/>
    <w:p>
      <w:pPr>
        <w:spacing w:after="0"/>
        <w:ind w:left="0"/>
        <w:jc w:val="both"/>
      </w:pPr>
      <w:r>
        <w:rPr>
          <w:rFonts w:ascii="Times New Roman"/>
          <w:b w:val="false"/>
          <w:i w:val="false"/>
          <w:color w:val="000000"/>
          <w:sz w:val="28"/>
        </w:rPr>
        <w:t>
      3) анализ своевременности представления ПОБ в уполномоченный орган (отражают последние данные, используемые держателем регистрационного удостоверения для оценки соблюдения требований);</w:t>
      </w:r>
    </w:p>
    <w:bookmarkEnd w:id="6609"/>
    <w:bookmarkStart w:name="z6779" w:id="6610"/>
    <w:p>
      <w:pPr>
        <w:spacing w:after="0"/>
        <w:ind w:left="0"/>
        <w:jc w:val="both"/>
      </w:pPr>
      <w:r>
        <w:rPr>
          <w:rFonts w:ascii="Times New Roman"/>
          <w:b w:val="false"/>
          <w:i w:val="false"/>
          <w:color w:val="000000"/>
          <w:sz w:val="28"/>
        </w:rPr>
        <w:t>
      4) анализ своевременности внесения изменений по безопасности по сравнению с устанавливаемыми конечными сроками, а также дату и описание необходимых изменений по безопасности, которые были выявлены, но еще не были поданы;</w:t>
      </w:r>
    </w:p>
    <w:bookmarkEnd w:id="6610"/>
    <w:bookmarkStart w:name="z6780" w:id="6611"/>
    <w:p>
      <w:pPr>
        <w:spacing w:after="0"/>
        <w:ind w:left="0"/>
        <w:jc w:val="both"/>
      </w:pPr>
      <w:r>
        <w:rPr>
          <w:rFonts w:ascii="Times New Roman"/>
          <w:b w:val="false"/>
          <w:i w:val="false"/>
          <w:color w:val="000000"/>
          <w:sz w:val="28"/>
        </w:rPr>
        <w:t>
      5) в соответствующих случаях анализ выполнения обязательств по плану управления рисками или других обязательств, или требований, имеющих отношение к фармаконадзору. Описываются и объясняются цели применения системы фармаконадзора. В приложение к мастер-файлу системы фармаконадзора включается список показателей деятельности;</w:t>
      </w:r>
    </w:p>
    <w:bookmarkEnd w:id="6611"/>
    <w:bookmarkStart w:name="z6781" w:id="6612"/>
    <w:p>
      <w:pPr>
        <w:spacing w:after="0"/>
        <w:ind w:left="0"/>
        <w:jc w:val="both"/>
      </w:pPr>
      <w:r>
        <w:rPr>
          <w:rFonts w:ascii="Times New Roman"/>
          <w:b w:val="false"/>
          <w:i w:val="false"/>
          <w:color w:val="000000"/>
          <w:sz w:val="28"/>
        </w:rPr>
        <w:t>
      6) в соответствующих случаях включается список показателей деятельности по фармаконадзору.</w:t>
      </w:r>
    </w:p>
    <w:bookmarkEnd w:id="6612"/>
    <w:bookmarkStart w:name="z6782" w:id="6613"/>
    <w:p>
      <w:pPr>
        <w:spacing w:after="0"/>
        <w:ind w:left="0"/>
        <w:jc w:val="both"/>
      </w:pPr>
      <w:r>
        <w:rPr>
          <w:rFonts w:ascii="Times New Roman"/>
          <w:b w:val="false"/>
          <w:i w:val="false"/>
          <w:color w:val="000000"/>
          <w:sz w:val="28"/>
        </w:rPr>
        <w:t>
      86. В разделе мастер-файла по фармаконадзору о системе качества представляется описание системы управления качеством в рамках структуры организации и применения системы качества в фармаконадзоре. Раздел содержит следующую информацию:</w:t>
      </w:r>
    </w:p>
    <w:bookmarkEnd w:id="6613"/>
    <w:bookmarkStart w:name="z6783" w:id="6614"/>
    <w:p>
      <w:pPr>
        <w:spacing w:after="0"/>
        <w:ind w:left="0"/>
        <w:jc w:val="both"/>
      </w:pPr>
      <w:r>
        <w:rPr>
          <w:rFonts w:ascii="Times New Roman"/>
          <w:b w:val="false"/>
          <w:i w:val="false"/>
          <w:color w:val="000000"/>
          <w:sz w:val="28"/>
        </w:rPr>
        <w:t>
      1) процедурные документы. Список документально оформленных процедур и процессов, имеющих отношение к деятельности по фармаконадзору с указанием их взаимосвязи с другими функциями и подходами к оценке процедур. В список включают номер документа, название, дату вступления в силу (для всех стандартных операционных процедур, рабочих инструкций, руководств) и описание доступа к документам. Указываются стандартные операционные процедуры, принадлежащие провайдерам услуг и другим третьим сторонам.</w:t>
      </w:r>
    </w:p>
    <w:bookmarkEnd w:id="6614"/>
    <w:bookmarkStart w:name="z6784" w:id="6615"/>
    <w:p>
      <w:pPr>
        <w:spacing w:after="0"/>
        <w:ind w:left="0"/>
        <w:jc w:val="both"/>
      </w:pPr>
      <w:r>
        <w:rPr>
          <w:rFonts w:ascii="Times New Roman"/>
          <w:b w:val="false"/>
          <w:i w:val="false"/>
          <w:color w:val="000000"/>
          <w:sz w:val="28"/>
        </w:rPr>
        <w:t>
      2) обучение. Представляется описание управления ресурсами в ходе осуществления деятельности по фармаконадзору:</w:t>
      </w:r>
    </w:p>
    <w:bookmarkEnd w:id="6615"/>
    <w:bookmarkStart w:name="z6785" w:id="6616"/>
    <w:p>
      <w:pPr>
        <w:spacing w:after="0"/>
        <w:ind w:left="0"/>
        <w:jc w:val="both"/>
      </w:pPr>
      <w:r>
        <w:rPr>
          <w:rFonts w:ascii="Times New Roman"/>
          <w:b w:val="false"/>
          <w:i w:val="false"/>
          <w:color w:val="000000"/>
          <w:sz w:val="28"/>
        </w:rPr>
        <w:t>
      организационная структура с количеством людей, участвующих в осуществлении деятельности по фармаконадзору, включая ссылку на нахождение квалификационных документов;</w:t>
      </w:r>
    </w:p>
    <w:bookmarkEnd w:id="6616"/>
    <w:bookmarkStart w:name="z6786" w:id="6617"/>
    <w:p>
      <w:pPr>
        <w:spacing w:after="0"/>
        <w:ind w:left="0"/>
        <w:jc w:val="both"/>
      </w:pPr>
      <w:r>
        <w:rPr>
          <w:rFonts w:ascii="Times New Roman"/>
          <w:b w:val="false"/>
          <w:i w:val="false"/>
          <w:color w:val="000000"/>
          <w:sz w:val="28"/>
        </w:rPr>
        <w:t>
      список мест нахождения персонала;</w:t>
      </w:r>
    </w:p>
    <w:bookmarkEnd w:id="6617"/>
    <w:bookmarkStart w:name="z6787" w:id="6618"/>
    <w:p>
      <w:pPr>
        <w:spacing w:after="0"/>
        <w:ind w:left="0"/>
        <w:jc w:val="both"/>
      </w:pPr>
      <w:r>
        <w:rPr>
          <w:rFonts w:ascii="Times New Roman"/>
          <w:b w:val="false"/>
          <w:i w:val="false"/>
          <w:color w:val="000000"/>
          <w:sz w:val="28"/>
        </w:rPr>
        <w:t>
      краткое описание контекста обучения, включая ссылку на нахождение документов об обучении и инструкции по критическим процессам.</w:t>
      </w:r>
    </w:p>
    <w:bookmarkEnd w:id="6618"/>
    <w:bookmarkStart w:name="z6788" w:id="6619"/>
    <w:p>
      <w:pPr>
        <w:spacing w:after="0"/>
        <w:ind w:left="0"/>
        <w:jc w:val="both"/>
      </w:pPr>
      <w:r>
        <w:rPr>
          <w:rFonts w:ascii="Times New Roman"/>
          <w:b w:val="false"/>
          <w:i w:val="false"/>
          <w:color w:val="000000"/>
          <w:sz w:val="28"/>
        </w:rPr>
        <w:t>
      Персонал соответствующим образом обучается по осуществлению деятельности по фармаконадзору. Это касается не только персонала в отделах фармаконадзора, но и лиц, которые получают сообщения о безопасности.</w:t>
      </w:r>
    </w:p>
    <w:bookmarkEnd w:id="6619"/>
    <w:bookmarkStart w:name="z6789" w:id="6620"/>
    <w:p>
      <w:pPr>
        <w:spacing w:after="0"/>
        <w:ind w:left="0"/>
        <w:jc w:val="both"/>
      </w:pPr>
      <w:r>
        <w:rPr>
          <w:rFonts w:ascii="Times New Roman"/>
          <w:b w:val="false"/>
          <w:i w:val="false"/>
          <w:color w:val="000000"/>
          <w:sz w:val="28"/>
        </w:rPr>
        <w:t>
      3) аудит. Информация об аудите системы обеспечения качества в системе фармаконадзора включается в мастер-файл системы фармаконадзора. В приложение включают описание метода планирования аудитов системы фармаконадзора и механизмов репортирования, а также текущий список запланированных и завершенных аудитов системы фармаконадзора. Этот список содержит дату, область проведения и состояние завершения аудитов провайдерами услуг, специфические виды деятельности по фармаконадзору или места выполнения функций по фармаконадзору, а также операционные области взаимодействия, имеющие отношение к выполнению обязательств.</w:t>
      </w:r>
    </w:p>
    <w:bookmarkEnd w:id="6620"/>
    <w:bookmarkStart w:name="z6790" w:id="6621"/>
    <w:p>
      <w:pPr>
        <w:spacing w:after="0"/>
        <w:ind w:left="0"/>
        <w:jc w:val="both"/>
      </w:pPr>
      <w:r>
        <w:rPr>
          <w:rFonts w:ascii="Times New Roman"/>
          <w:b w:val="false"/>
          <w:i w:val="false"/>
          <w:color w:val="000000"/>
          <w:sz w:val="28"/>
        </w:rPr>
        <w:t>
      Мастер-файл системы фармаконадзора включают комментарии по аудитам, в ходе которых были получены значимые результаты. Это означает, что результаты, которые были оценены как существенные или критические, указываются в перечне проведенных аудитов и предоставляется краткое описание плана корректирующих или предупреждающих действий с конечными сроками исполнения. Указывается ссылка на полный отчет о проведенном аудите, документ с планом корректирующих и предупреждающих мероприятий. Комментарии, корректирующие и предупреждающие мероприятия, указание о нахождении отчета о проведенном аудите включаются в мастер-файл системы фармаконадзора до тех пор, пока не будут в полной мере осуществлены корректирующие и (или) предупреждающие мероприятия, т.е. комментарии удаляются только после того, как будут продемонстрированы достигнутые результаты осуществления корректирующих действий и (или) представлено подтверждение или подтверждено независимой стороной значительное улучшение системы.</w:t>
      </w:r>
    </w:p>
    <w:bookmarkEnd w:id="6621"/>
    <w:bookmarkStart w:name="z6791" w:id="6622"/>
    <w:p>
      <w:pPr>
        <w:spacing w:after="0"/>
        <w:ind w:left="0"/>
        <w:jc w:val="both"/>
      </w:pPr>
      <w:r>
        <w:rPr>
          <w:rFonts w:ascii="Times New Roman"/>
          <w:b w:val="false"/>
          <w:i w:val="false"/>
          <w:color w:val="000000"/>
          <w:sz w:val="28"/>
        </w:rPr>
        <w:t>
      В качестве средства управления системой фармаконадзора и обеспечения основания для проведения аудита или инспекции, в мастер-файле системы фармаконадзора содержится описание процесса регистрации, обработки и устранения, выявленных в системе управления качеством отклонений.</w:t>
      </w:r>
    </w:p>
    <w:bookmarkEnd w:id="6622"/>
    <w:bookmarkStart w:name="z6792" w:id="6623"/>
    <w:p>
      <w:pPr>
        <w:spacing w:after="0"/>
        <w:ind w:left="0"/>
        <w:jc w:val="both"/>
      </w:pPr>
      <w:r>
        <w:rPr>
          <w:rFonts w:ascii="Times New Roman"/>
          <w:b w:val="false"/>
          <w:i w:val="false"/>
          <w:color w:val="000000"/>
          <w:sz w:val="28"/>
        </w:rPr>
        <w:t>
      87. В приложение к мастер-файлу системы фармаконадзора содержатся следующие документы:</w:t>
      </w:r>
    </w:p>
    <w:bookmarkEnd w:id="6623"/>
    <w:bookmarkStart w:name="z6793" w:id="6624"/>
    <w:p>
      <w:pPr>
        <w:spacing w:after="0"/>
        <w:ind w:left="0"/>
        <w:jc w:val="both"/>
      </w:pPr>
      <w:r>
        <w:rPr>
          <w:rFonts w:ascii="Times New Roman"/>
          <w:b w:val="false"/>
          <w:i w:val="false"/>
          <w:color w:val="000000"/>
          <w:sz w:val="28"/>
        </w:rPr>
        <w:t>
      1) перечень лекарственных препаратов, зарегистрированных держателем регистрационного удостоверения в Республике Казахстан и в других странах, на которые распространяется мастер-файл системы фармаконадзора, включая название лекарственного препарата, международное непатентованное название (МНН) действующего вещества и название страны, в которой действует удостоверение о государственной регистрации, номер удостоверения о государственной регистрации.</w:t>
      </w:r>
    </w:p>
    <w:bookmarkEnd w:id="6624"/>
    <w:bookmarkStart w:name="z6794" w:id="6625"/>
    <w:p>
      <w:pPr>
        <w:spacing w:after="0"/>
        <w:ind w:left="0"/>
        <w:jc w:val="both"/>
      </w:pPr>
      <w:r>
        <w:rPr>
          <w:rFonts w:ascii="Times New Roman"/>
          <w:b w:val="false"/>
          <w:i w:val="false"/>
          <w:color w:val="000000"/>
          <w:sz w:val="28"/>
        </w:rPr>
        <w:t>
      Перечень структурируется согласно действующим веществам, и в соответствующих случаях указывается о существовании специфических требований к контролю безопасности лекарственного препарата (введение мер по минимизации рисков, описанных в плане управления рисками).</w:t>
      </w:r>
    </w:p>
    <w:bookmarkEnd w:id="6625"/>
    <w:bookmarkStart w:name="z6795" w:id="6626"/>
    <w:p>
      <w:pPr>
        <w:spacing w:after="0"/>
        <w:ind w:left="0"/>
        <w:jc w:val="both"/>
      </w:pPr>
      <w:r>
        <w:rPr>
          <w:rFonts w:ascii="Times New Roman"/>
          <w:b w:val="false"/>
          <w:i w:val="false"/>
          <w:color w:val="000000"/>
          <w:sz w:val="28"/>
        </w:rPr>
        <w:t>
      В случае совместных систем фармаконадзора, включается перечень лекарственных препаратов и держателей регистрационного удостоверения, которые применяют систему фармаконадзора, описанную в мастер-файле системы фармаконадзора с целью подтверждения наличия полного перечня лекарственных препаратов, на которые распространяется мастер-файл системы фармаконадзора;</w:t>
      </w:r>
    </w:p>
    <w:bookmarkEnd w:id="6626"/>
    <w:bookmarkStart w:name="z6796" w:id="6627"/>
    <w:p>
      <w:pPr>
        <w:spacing w:after="0"/>
        <w:ind w:left="0"/>
        <w:jc w:val="both"/>
      </w:pPr>
      <w:r>
        <w:rPr>
          <w:rFonts w:ascii="Times New Roman"/>
          <w:b w:val="false"/>
          <w:i w:val="false"/>
          <w:color w:val="000000"/>
          <w:sz w:val="28"/>
        </w:rPr>
        <w:t>
      2) перечень контрактных договоренностей, касающихся делегированной по фармаконадзору деятельности, включая соответствующие лекарственные препараты и территорию.</w:t>
      </w:r>
    </w:p>
    <w:bookmarkEnd w:id="6627"/>
    <w:bookmarkStart w:name="z6797" w:id="6628"/>
    <w:p>
      <w:pPr>
        <w:spacing w:after="0"/>
        <w:ind w:left="0"/>
        <w:jc w:val="both"/>
      </w:pPr>
      <w:r>
        <w:rPr>
          <w:rFonts w:ascii="Times New Roman"/>
          <w:b w:val="false"/>
          <w:i w:val="false"/>
          <w:color w:val="000000"/>
          <w:sz w:val="28"/>
        </w:rPr>
        <w:t>
      3) перечень задач, делегированных уполномоченным лицом по фармаконадзору;</w:t>
      </w:r>
    </w:p>
    <w:bookmarkEnd w:id="6628"/>
    <w:bookmarkStart w:name="z6798" w:id="6629"/>
    <w:p>
      <w:pPr>
        <w:spacing w:after="0"/>
        <w:ind w:left="0"/>
        <w:jc w:val="both"/>
      </w:pPr>
      <w:r>
        <w:rPr>
          <w:rFonts w:ascii="Times New Roman"/>
          <w:b w:val="false"/>
          <w:i w:val="false"/>
          <w:color w:val="000000"/>
          <w:sz w:val="28"/>
        </w:rPr>
        <w:t>
      4) список всех завершенных за 10-летний период аудитов и список запланированных аудитов;</w:t>
      </w:r>
    </w:p>
    <w:bookmarkEnd w:id="6629"/>
    <w:bookmarkStart w:name="z6799" w:id="6630"/>
    <w:p>
      <w:pPr>
        <w:spacing w:after="0"/>
        <w:ind w:left="0"/>
        <w:jc w:val="both"/>
      </w:pPr>
      <w:r>
        <w:rPr>
          <w:rFonts w:ascii="Times New Roman"/>
          <w:b w:val="false"/>
          <w:i w:val="false"/>
          <w:color w:val="000000"/>
          <w:sz w:val="28"/>
        </w:rPr>
        <w:t>
      5) перечень показателей деятельности по фармаконадзору в случаях, когда это применимо;</w:t>
      </w:r>
    </w:p>
    <w:bookmarkEnd w:id="6630"/>
    <w:bookmarkStart w:name="z6800" w:id="6631"/>
    <w:p>
      <w:pPr>
        <w:spacing w:after="0"/>
        <w:ind w:left="0"/>
        <w:jc w:val="both"/>
      </w:pPr>
      <w:r>
        <w:rPr>
          <w:rFonts w:ascii="Times New Roman"/>
          <w:b w:val="false"/>
          <w:i w:val="false"/>
          <w:color w:val="000000"/>
          <w:sz w:val="28"/>
        </w:rPr>
        <w:t>
      6) перечень находящихся в ведении держателя регистрационного удостоверения других мастер-файлов системы фармаконадзора, когда это применимо.</w:t>
      </w:r>
    </w:p>
    <w:bookmarkEnd w:id="6631"/>
    <w:bookmarkStart w:name="z6801" w:id="6632"/>
    <w:p>
      <w:pPr>
        <w:spacing w:after="0"/>
        <w:ind w:left="0"/>
        <w:jc w:val="left"/>
      </w:pPr>
      <w:r>
        <w:rPr>
          <w:rFonts w:ascii="Times New Roman"/>
          <w:b/>
          <w:i w:val="false"/>
          <w:color w:val="000000"/>
        </w:rPr>
        <w:t xml:space="preserve"> Параграф 6. Контроль изменений, версии и архивирование</w:t>
      </w:r>
    </w:p>
    <w:bookmarkEnd w:id="6632"/>
    <w:bookmarkStart w:name="z6802" w:id="6633"/>
    <w:p>
      <w:pPr>
        <w:spacing w:after="0"/>
        <w:ind w:left="0"/>
        <w:jc w:val="both"/>
      </w:pPr>
      <w:r>
        <w:rPr>
          <w:rFonts w:ascii="Times New Roman"/>
          <w:b w:val="false"/>
          <w:i w:val="false"/>
          <w:color w:val="000000"/>
          <w:sz w:val="28"/>
        </w:rPr>
        <w:t>
      88. Уполномоченная организация запрашивает информацию о важных изменениях в системе фармаконадзора, но не ограничиваться следующими:</w:t>
      </w:r>
    </w:p>
    <w:bookmarkEnd w:id="6633"/>
    <w:bookmarkStart w:name="z6803" w:id="6634"/>
    <w:p>
      <w:pPr>
        <w:spacing w:after="0"/>
        <w:ind w:left="0"/>
        <w:jc w:val="both"/>
      </w:pPr>
      <w:r>
        <w:rPr>
          <w:rFonts w:ascii="Times New Roman"/>
          <w:b w:val="false"/>
          <w:i w:val="false"/>
          <w:color w:val="000000"/>
          <w:sz w:val="28"/>
        </w:rPr>
        <w:t>
      1) изменения в базе данных по безопасности системы фармаконадзора, которые включают изменения в самой базе данных или взаимосвязанных базах данных, изменения в статусе валидации базы данных, а также изменения в информации о передаваемых или переносимых данных;</w:t>
      </w:r>
    </w:p>
    <w:bookmarkEnd w:id="6634"/>
    <w:bookmarkStart w:name="z6804" w:id="6635"/>
    <w:p>
      <w:pPr>
        <w:spacing w:after="0"/>
        <w:ind w:left="0"/>
        <w:jc w:val="both"/>
      </w:pPr>
      <w:r>
        <w:rPr>
          <w:rFonts w:ascii="Times New Roman"/>
          <w:b w:val="false"/>
          <w:i w:val="false"/>
          <w:color w:val="000000"/>
          <w:sz w:val="28"/>
        </w:rPr>
        <w:t>
      2) изменения в оказании значимых услуг по фармаконадзору, особенно если речь идет о важных контрактных договоренностях по представлению данных о безопасности;</w:t>
      </w:r>
    </w:p>
    <w:bookmarkEnd w:id="6635"/>
    <w:bookmarkStart w:name="z6805" w:id="6636"/>
    <w:p>
      <w:pPr>
        <w:spacing w:after="0"/>
        <w:ind w:left="0"/>
        <w:jc w:val="both"/>
      </w:pPr>
      <w:r>
        <w:rPr>
          <w:rFonts w:ascii="Times New Roman"/>
          <w:b w:val="false"/>
          <w:i w:val="false"/>
          <w:color w:val="000000"/>
          <w:sz w:val="28"/>
        </w:rPr>
        <w:t>
      3) организационных изменениях, таких как поглощение одной компанией другой, слияние, изменение места осуществления деятельности по фармаконадзору или делегирование (передача) управления мастер-файлом системы фармаконадзора.</w:t>
      </w:r>
    </w:p>
    <w:bookmarkEnd w:id="6636"/>
    <w:bookmarkStart w:name="z6806" w:id="6637"/>
    <w:p>
      <w:pPr>
        <w:spacing w:after="0"/>
        <w:ind w:left="0"/>
        <w:jc w:val="both"/>
      </w:pPr>
      <w:r>
        <w:rPr>
          <w:rFonts w:ascii="Times New Roman"/>
          <w:b w:val="false"/>
          <w:i w:val="false"/>
          <w:color w:val="000000"/>
          <w:sz w:val="28"/>
        </w:rPr>
        <w:t>
      89. Поскольку мастер-файл системы фармаконадзора включает перечни лекарственных препаратов и видов деятельности, которые периодически меняются, держателем регистрационного удостоверения применяются системы контроля изменений и разрабатываются надежные способы постоянной осведомленности о соответствующих изменениях с целью надлежащего пересмотра мастер-файла системы фармаконадзора. Помимо этого, изменения, вносимые в мастер-файл системы фармаконадзора, регистрируются таким образом, чтобы в наличии постоянно была история изменений (с указанием даты и контекста изменений). Постоянно обновляемую информацию, такую как перечни лекарственных препаратов и стандартные операционные процедуры или данные по соответствию требованиям, регистрируются через историю изменений, которые включают данные контролируемых систем (электронные системы управления данными или нормативно-правовые базы данных). Таким образом, осуществляется управление замененными версиями документов за пределами текстового наполнения мастер-файла системы фармаконадзора, при условии учета истории изменений и их представления уполномоченному органу по запросу. При существенных или важных описательных изменениях текстового наполнения мастер-файла предусматривается создание новой версии мастер-файла системы фармаконадзора.</w:t>
      </w:r>
    </w:p>
    <w:bookmarkEnd w:id="6637"/>
    <w:bookmarkStart w:name="z6807" w:id="6638"/>
    <w:p>
      <w:pPr>
        <w:spacing w:after="0"/>
        <w:ind w:left="0"/>
        <w:jc w:val="both"/>
      </w:pPr>
      <w:r>
        <w:rPr>
          <w:rFonts w:ascii="Times New Roman"/>
          <w:b w:val="false"/>
          <w:i w:val="false"/>
          <w:color w:val="000000"/>
          <w:sz w:val="28"/>
        </w:rPr>
        <w:t>
      90. Держателем регистрационного удостоверения обосновывается выбранный метод и разрабатываются процедуры контроля документации с целью надлежащего управления процессом поддержания мастер-файла системы фармаконадзора. Основной принцип заключается в том, что, представляя собой основание для аудитов и инспекций, мастер-файл системы фармаконадзора содержит описание системы фармаконадзора в текущий момент времени, но оценка функционирования и направленности системы фармаконадзора на предшествующих этапах требует дополнительного ознакомления с системой.</w:t>
      </w:r>
    </w:p>
    <w:bookmarkEnd w:id="6638"/>
    <w:bookmarkStart w:name="z6808" w:id="6639"/>
    <w:p>
      <w:pPr>
        <w:spacing w:after="0"/>
        <w:ind w:left="0"/>
        <w:jc w:val="both"/>
      </w:pPr>
      <w:r>
        <w:rPr>
          <w:rFonts w:ascii="Times New Roman"/>
          <w:b w:val="false"/>
          <w:i w:val="false"/>
          <w:color w:val="000000"/>
          <w:sz w:val="28"/>
        </w:rPr>
        <w:t>
      91. При внесении изменений в мастер-файл системы фармаконадзора учитываются совместные системы фармаконадзора и делегированная деятельность по фармаконадзору. Надлежащий контроль изменений предусматривает регистрацию даты и контекста уведомлений уполномоченого органа, уполномоченного лица по фармаконадзору и третьих сторон о вносимых изменениях.</w:t>
      </w:r>
    </w:p>
    <w:bookmarkEnd w:id="6639"/>
    <w:bookmarkStart w:name="z6809" w:id="6640"/>
    <w:p>
      <w:pPr>
        <w:spacing w:after="0"/>
        <w:ind w:left="0"/>
        <w:jc w:val="both"/>
      </w:pPr>
      <w:r>
        <w:rPr>
          <w:rFonts w:ascii="Times New Roman"/>
          <w:b w:val="false"/>
          <w:i w:val="false"/>
          <w:color w:val="000000"/>
          <w:sz w:val="28"/>
        </w:rPr>
        <w:t>
      92. Мастер-файл системы фармаконадзора предоставляется в читаемой и доступной форме. Описание процедуры архивирования предоставляется на электронных и (или) печатных носителях мастер-файла системы фармаконадзора.</w:t>
      </w:r>
    </w:p>
    <w:bookmarkEnd w:id="6640"/>
    <w:bookmarkStart w:name="z6810" w:id="6641"/>
    <w:p>
      <w:pPr>
        <w:spacing w:after="0"/>
        <w:ind w:left="0"/>
        <w:jc w:val="left"/>
      </w:pPr>
      <w:r>
        <w:rPr>
          <w:rFonts w:ascii="Times New Roman"/>
          <w:b/>
          <w:i w:val="false"/>
          <w:color w:val="000000"/>
        </w:rPr>
        <w:t xml:space="preserve"> Параграф 7. Представление мастер-файла системы фармаконадзора</w:t>
      </w:r>
    </w:p>
    <w:bookmarkEnd w:id="6641"/>
    <w:bookmarkStart w:name="z6811" w:id="6642"/>
    <w:p>
      <w:pPr>
        <w:spacing w:after="0"/>
        <w:ind w:left="0"/>
        <w:jc w:val="both"/>
      </w:pPr>
      <w:r>
        <w:rPr>
          <w:rFonts w:ascii="Times New Roman"/>
          <w:b w:val="false"/>
          <w:i w:val="false"/>
          <w:color w:val="000000"/>
          <w:sz w:val="28"/>
        </w:rPr>
        <w:t>
      93. Уполномоченное лицо по фармаконадзору обеспечивается постоянным доступом к мастер-файлу системы фармаконадзора. Уполномоченной организации обеспечивается постоянный доступ к мастер-файлу системы фармаконадзора по запросу. Информация в мастер-файле системы фармаконадзора предоставляется исчерпывающей, правильной и отражает действующую систему фармаконадзора в текущий момент времени, что означает обязательное обновление информации мастер-файла, и, в случае необходимости, выполнение пересмотра с учетом полученного опыта, технического и научного прогресса и поправок в нормативные требования (нормы регулирования). Доступ уполномоченному органу, уполномоченной организации к мастер-файлу системы фармаконадзора обеспечивается держателем регистрационного удостоверения в течение не более 7 дней после получения соответствующего запроса.</w:t>
      </w:r>
    </w:p>
    <w:bookmarkEnd w:id="6642"/>
    <w:bookmarkStart w:name="z6812" w:id="6643"/>
    <w:p>
      <w:pPr>
        <w:spacing w:after="0"/>
        <w:ind w:left="0"/>
        <w:jc w:val="both"/>
      </w:pPr>
      <w:r>
        <w:rPr>
          <w:rFonts w:ascii="Times New Roman"/>
          <w:b w:val="false"/>
          <w:i w:val="false"/>
          <w:color w:val="000000"/>
          <w:sz w:val="28"/>
        </w:rPr>
        <w:t>
      94. Мастер-файл системы фармаконадзора разрешается предоставлять в электронной форме, при условии представления четко структурированной печатной копии по запросу уполномоченного органа. В любом формате мастер-файл системы фармаконадзора предоставляется в читаемой, полной и доступной форме, обеспечивающей возможность оценки всех документов и прослеживаемость изменений. По мере необходимости требуется ограничение доступа к мастер-файлу системы фармаконадзора с целью осуществления надлежащего контроля его содержания и распределения определенных обязанностей по управлению мастер-файлом системы фармаконадзора (в контексте контроля изменений и архивирования).</w:t>
      </w:r>
    </w:p>
    <w:bookmarkEnd w:id="6643"/>
    <w:bookmarkStart w:name="z6813" w:id="6644"/>
    <w:p>
      <w:pPr>
        <w:spacing w:after="0"/>
        <w:ind w:left="0"/>
        <w:jc w:val="left"/>
      </w:pPr>
      <w:r>
        <w:rPr>
          <w:rFonts w:ascii="Times New Roman"/>
          <w:b/>
          <w:i w:val="false"/>
          <w:color w:val="000000"/>
        </w:rPr>
        <w:t xml:space="preserve"> Параграф 8. Обязанности</w:t>
      </w:r>
    </w:p>
    <w:bookmarkEnd w:id="6644"/>
    <w:bookmarkStart w:name="z6814" w:id="6645"/>
    <w:p>
      <w:pPr>
        <w:spacing w:after="0"/>
        <w:ind w:left="0"/>
        <w:jc w:val="both"/>
      </w:pPr>
      <w:r>
        <w:rPr>
          <w:rFonts w:ascii="Times New Roman"/>
          <w:b w:val="false"/>
          <w:i w:val="false"/>
          <w:color w:val="000000"/>
          <w:sz w:val="28"/>
        </w:rPr>
        <w:t>
      95. Держателем регистрационного удостоверения разрабатывается и внедряется система фармаконадзора с целью контроля и наблюдения за одним или более лекарственным препаратом. Держатель регистрационного удостоверения осуществляет работу по формированию и поддержанию мастер-файла системы фармаконадзора, в котором осуществляется регистрация деятельности по фармаконадзору в отношении одного или более зарегистрированных лекарственных препаратов. Держателем регистрационного удостоверения назначается одно уполномоченное лицо по фармаконадзору, отвечающее за создание и функционирование системы фармаконадзора, описанной в мастер-файле системы.</w:t>
      </w:r>
    </w:p>
    <w:bookmarkEnd w:id="6645"/>
    <w:bookmarkStart w:name="z6815" w:id="6646"/>
    <w:p>
      <w:pPr>
        <w:spacing w:after="0"/>
        <w:ind w:left="0"/>
        <w:jc w:val="both"/>
      </w:pPr>
      <w:r>
        <w:rPr>
          <w:rFonts w:ascii="Times New Roman"/>
          <w:b w:val="false"/>
          <w:i w:val="false"/>
          <w:color w:val="000000"/>
          <w:sz w:val="28"/>
        </w:rPr>
        <w:t>
      96. При подаче заявления на государственную регистрацию заявитель имеет в своем распоряжении описание системы фармаконадзора, функционирование которой планируется на территории Республики Казахстан. В ходе оценки заявления на получение разрешения на государственную регистрацию от заявителя требуется с целью ознакомления представление копии мастер-файла системы фармаконадзора.</w:t>
      </w:r>
    </w:p>
    <w:bookmarkEnd w:id="6646"/>
    <w:bookmarkStart w:name="z6816" w:id="6647"/>
    <w:p>
      <w:pPr>
        <w:spacing w:after="0"/>
        <w:ind w:left="0"/>
        <w:jc w:val="both"/>
      </w:pPr>
      <w:r>
        <w:rPr>
          <w:rFonts w:ascii="Times New Roman"/>
          <w:b w:val="false"/>
          <w:i w:val="false"/>
          <w:color w:val="000000"/>
          <w:sz w:val="28"/>
        </w:rPr>
        <w:t>
      97. Держатель регистрационного удостоверения осуществляет работу по созданию мастер-файла системы фармаконадзора в Республике Казахстан и по регистрации местонахождения мастер-файла в уполномоченной организации при подаче заявления на государственную регистрацию. В мастер-файле системы фармаконадзора описывается действующая на текущий момент времени подачи заявления система фармаконадзора. Содержится информация о компонентах системы, планируемые к внедрению, но они указываются как запланированные, а не как внедренные или действующие.</w:t>
      </w:r>
    </w:p>
    <w:bookmarkEnd w:id="6647"/>
    <w:bookmarkStart w:name="z6817" w:id="6648"/>
    <w:p>
      <w:pPr>
        <w:spacing w:after="0"/>
        <w:ind w:left="0"/>
        <w:jc w:val="both"/>
      </w:pPr>
      <w:r>
        <w:rPr>
          <w:rFonts w:ascii="Times New Roman"/>
          <w:b w:val="false"/>
          <w:i w:val="false"/>
          <w:color w:val="000000"/>
          <w:sz w:val="28"/>
        </w:rPr>
        <w:t>
      98. Работа по созданию, поддержанию и представлению мастер-файла системы фармаконадзора в уполномоченную организацию передается третьей стороне. Допускается делегирование полномочий по поддержанию мастер-файла системы фармаконадзора в действующем и доступном состоянии (постоянный доступ для аудита и инспекции), однако полномочия по обеспечению выполнения данной функции на уровне, соответствующем требованиям действующего законодательства Республики Казахстан на постоянной основе, сохраняется за держателем регистрационного удостоверения.</w:t>
      </w:r>
    </w:p>
    <w:bookmarkEnd w:id="6648"/>
    <w:bookmarkStart w:name="z6818" w:id="6649"/>
    <w:p>
      <w:pPr>
        <w:spacing w:after="0"/>
        <w:ind w:left="0"/>
        <w:jc w:val="both"/>
      </w:pPr>
      <w:r>
        <w:rPr>
          <w:rFonts w:ascii="Times New Roman"/>
          <w:b w:val="false"/>
          <w:i w:val="false"/>
          <w:color w:val="000000"/>
          <w:sz w:val="28"/>
        </w:rPr>
        <w:t>
      99. В случае смены уполномоченного лица по фармаконадзору и соответствующей контактной информации, изменения местонахождения мастер-файла системы фармаконадзора, держателем регистрационного удостоверения представляется заявление(-я) в уполномоченную организацию на соответствующие изменения. Держателем регистрационного удостоверения обеспечивается обновление информации об уполномоченном лице по фармаконадзору и адресе нахождения мастер-файла системы фармаконадзора.</w:t>
      </w:r>
    </w:p>
    <w:bookmarkEnd w:id="6649"/>
    <w:bookmarkStart w:name="z6819" w:id="6650"/>
    <w:p>
      <w:pPr>
        <w:spacing w:after="0"/>
        <w:ind w:left="0"/>
        <w:jc w:val="both"/>
      </w:pPr>
      <w:r>
        <w:rPr>
          <w:rFonts w:ascii="Times New Roman"/>
          <w:b w:val="false"/>
          <w:i w:val="false"/>
          <w:color w:val="000000"/>
          <w:sz w:val="28"/>
        </w:rPr>
        <w:t>
      100. Уполномоченный орган обеспечивает контроль систем фармаконадзора держателя регистрационного удостоверения. Полный мастер-файл системы фармаконадзора запрашивается в любое время (при возникновении вопросов по системе фармаконадзора держателя регистрационного удостоверения и (или) профиле безопасности лекарственного препарата, или при подготовке к инспекции). Информация об изменениях в краткой информации по системе фармаконадзора или содержании мастер-файла системы фармаконадзора используется в ходе планирования и проведения инспекции.</w:t>
      </w:r>
    </w:p>
    <w:bookmarkEnd w:id="6650"/>
    <w:bookmarkStart w:name="z6820" w:id="6651"/>
    <w:p>
      <w:pPr>
        <w:spacing w:after="0"/>
        <w:ind w:left="0"/>
        <w:jc w:val="both"/>
      </w:pPr>
      <w:r>
        <w:rPr>
          <w:rFonts w:ascii="Times New Roman"/>
          <w:b w:val="false"/>
          <w:i w:val="false"/>
          <w:color w:val="000000"/>
          <w:sz w:val="28"/>
        </w:rPr>
        <w:t>
      101. Уполномоченная организация обменивается информацией о системах фармаконадзора держателя регистрационного удостоверения с уполномоченными органами других Государств, сообщая о несоблюдении требований действующего законодательства Республики Казахстан или настоящего Стандарта, включая несоблюдение требований по мастер-файлу системы фармаконадзора и системе фармаконадзора.</w:t>
      </w:r>
    </w:p>
    <w:bookmarkEnd w:id="6651"/>
    <w:bookmarkStart w:name="z6821" w:id="6652"/>
    <w:p>
      <w:pPr>
        <w:spacing w:after="0"/>
        <w:ind w:left="0"/>
        <w:jc w:val="left"/>
      </w:pPr>
      <w:r>
        <w:rPr>
          <w:rFonts w:ascii="Times New Roman"/>
          <w:b/>
          <w:i w:val="false"/>
          <w:color w:val="000000"/>
        </w:rPr>
        <w:t xml:space="preserve"> Параграф 9. Доступность мастер-файла системы фармаконадзора</w:t>
      </w:r>
    </w:p>
    <w:bookmarkEnd w:id="6652"/>
    <w:bookmarkStart w:name="z6822" w:id="6653"/>
    <w:p>
      <w:pPr>
        <w:spacing w:after="0"/>
        <w:ind w:left="0"/>
        <w:jc w:val="both"/>
      </w:pPr>
      <w:r>
        <w:rPr>
          <w:rFonts w:ascii="Times New Roman"/>
          <w:b w:val="false"/>
          <w:i w:val="false"/>
          <w:color w:val="000000"/>
          <w:sz w:val="28"/>
        </w:rPr>
        <w:t>
      102. Мастер-файл системы фармаконадзора поддерживается в действующем и доступном состоянии для уполномоченного лица по фармаконадзору. Обеспечивается постоянная доступность мастер-файла системы фармаконадзора для инспекций, независимо от получения уведомления.</w:t>
      </w:r>
    </w:p>
    <w:bookmarkEnd w:id="6653"/>
    <w:bookmarkStart w:name="z6823" w:id="6654"/>
    <w:p>
      <w:pPr>
        <w:spacing w:after="0"/>
        <w:ind w:left="0"/>
        <w:jc w:val="both"/>
      </w:pPr>
      <w:r>
        <w:rPr>
          <w:rFonts w:ascii="Times New Roman"/>
          <w:b w:val="false"/>
          <w:i w:val="false"/>
          <w:color w:val="000000"/>
          <w:sz w:val="28"/>
        </w:rPr>
        <w:t>
      103. Держателем регистрационного удостоверения поддерживается и представляется по запросу копия мастер-файла системы фармаконадзора. Держатель регистрационного удостоверения обязан предоставить копию мастер-файла не позднее 7 дней после получения запроса из уполномоченной организации. Мастер-файл системы фармаконадзора представляется в читаемом электронном формате или в форме четко структурированной печатной копии.</w:t>
      </w:r>
    </w:p>
    <w:bookmarkEnd w:id="6654"/>
    <w:bookmarkStart w:name="z6824" w:id="6655"/>
    <w:p>
      <w:pPr>
        <w:spacing w:after="0"/>
        <w:ind w:left="0"/>
        <w:jc w:val="both"/>
      </w:pPr>
      <w:r>
        <w:rPr>
          <w:rFonts w:ascii="Times New Roman"/>
          <w:b w:val="false"/>
          <w:i w:val="false"/>
          <w:color w:val="000000"/>
          <w:sz w:val="28"/>
        </w:rPr>
        <w:t>
      104. Если один и тот же мастер-файл системы фармаконадзора используется более одним держателем регистрационного удостоверения (в случае использования общей системы фармаконадзора), то предусматриваются меры по доступности соответствующего мастер-файла системы фармаконадзора для каждого из держателей регистрационного удостоверения с целью возможности представления мастер-файла в уполномоченный орган в течение 7 дней после получения запроса.</w:t>
      </w:r>
    </w:p>
    <w:bookmarkEnd w:id="6655"/>
    <w:bookmarkStart w:name="z6825" w:id="6656"/>
    <w:p>
      <w:pPr>
        <w:spacing w:after="0"/>
        <w:ind w:left="0"/>
        <w:jc w:val="both"/>
      </w:pPr>
      <w:r>
        <w:rPr>
          <w:rFonts w:ascii="Times New Roman"/>
          <w:b w:val="false"/>
          <w:i w:val="false"/>
          <w:color w:val="000000"/>
          <w:sz w:val="28"/>
        </w:rPr>
        <w:t>
      105. Мастер-файл системы фармаконадзора не запрашивается в ходе проведения оценки новых заявлений на получение государственной регистрации (т.е. до регистрации лекарственного препарата), но запрашивается в особых случаях (в случае внедрения новой системы фармаконадзора или выявлении проблем по безопасности лекарственного препарата, либо выявлении вопросов по соответствию нормативным требованиям по фармаконадзору).</w:t>
      </w:r>
    </w:p>
    <w:bookmarkEnd w:id="6656"/>
    <w:bookmarkStart w:name="z6826" w:id="6657"/>
    <w:p>
      <w:pPr>
        <w:spacing w:after="0"/>
        <w:ind w:left="0"/>
        <w:jc w:val="left"/>
      </w:pPr>
      <w:r>
        <w:rPr>
          <w:rFonts w:ascii="Times New Roman"/>
          <w:b/>
          <w:i w:val="false"/>
          <w:color w:val="000000"/>
        </w:rPr>
        <w:t xml:space="preserve"> Раздел II. Инспектирование системы фармаконадзора</w:t>
      </w:r>
    </w:p>
    <w:bookmarkEnd w:id="6657"/>
    <w:bookmarkStart w:name="z6827" w:id="6658"/>
    <w:p>
      <w:pPr>
        <w:spacing w:after="0"/>
        <w:ind w:left="0"/>
        <w:jc w:val="left"/>
      </w:pPr>
      <w:r>
        <w:rPr>
          <w:rFonts w:ascii="Times New Roman"/>
          <w:b/>
          <w:i w:val="false"/>
          <w:color w:val="000000"/>
        </w:rPr>
        <w:t xml:space="preserve"> Глава 16. Общие положения</w:t>
      </w:r>
    </w:p>
    <w:bookmarkEnd w:id="6658"/>
    <w:bookmarkStart w:name="z6828" w:id="6659"/>
    <w:p>
      <w:pPr>
        <w:spacing w:after="0"/>
        <w:ind w:left="0"/>
        <w:jc w:val="both"/>
      </w:pPr>
      <w:r>
        <w:rPr>
          <w:rFonts w:ascii="Times New Roman"/>
          <w:b w:val="false"/>
          <w:i w:val="false"/>
          <w:color w:val="000000"/>
          <w:sz w:val="28"/>
        </w:rPr>
        <w:t>
      106. В целях подтверждения соблюдения держателем регистрационного удостоверения требований и выполнения обязательств по фармаконадзору уполномоченная организация проводит инспекции по фармаконадзору держателей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Инспекции по фармаконадзору проводятся инспекторами, назначаемыми уполномоченным органом, уполномоченными проводить осмотр помещений, знакомиться с материалами, документами и мастер-файлом системы фармаконадзора у держателя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Держатель регистрационного удостоверения по требованию уполномоченного органа представляет мастер-файл системы фармаконадзора, который используется для информирования о проведении инспекций.</w:t>
      </w:r>
    </w:p>
    <w:bookmarkEnd w:id="6659"/>
    <w:bookmarkStart w:name="z6829" w:id="6660"/>
    <w:p>
      <w:pPr>
        <w:spacing w:after="0"/>
        <w:ind w:left="0"/>
        <w:jc w:val="both"/>
      </w:pPr>
      <w:r>
        <w:rPr>
          <w:rFonts w:ascii="Times New Roman"/>
          <w:b w:val="false"/>
          <w:i w:val="false"/>
          <w:color w:val="000000"/>
          <w:sz w:val="28"/>
        </w:rPr>
        <w:t>
      107. Цели инспекций по фармаконадзору включают:</w:t>
      </w:r>
    </w:p>
    <w:bookmarkEnd w:id="6660"/>
    <w:bookmarkStart w:name="z6830" w:id="6661"/>
    <w:p>
      <w:pPr>
        <w:spacing w:after="0"/>
        <w:ind w:left="0"/>
        <w:jc w:val="both"/>
      </w:pPr>
      <w:r>
        <w:rPr>
          <w:rFonts w:ascii="Times New Roman"/>
          <w:b w:val="false"/>
          <w:i w:val="false"/>
          <w:color w:val="000000"/>
          <w:sz w:val="28"/>
        </w:rPr>
        <w:t>
      1) подтверждение наличия у держателя регистрационного удостоверения персонала, систем, а также помещения, средств и оборудования, необходимого для выполнения своих обязательств по фармаконадзору;</w:t>
      </w:r>
    </w:p>
    <w:bookmarkEnd w:id="6661"/>
    <w:bookmarkStart w:name="z6831" w:id="6662"/>
    <w:p>
      <w:pPr>
        <w:spacing w:after="0"/>
        <w:ind w:left="0"/>
        <w:jc w:val="both"/>
      </w:pPr>
      <w:r>
        <w:rPr>
          <w:rFonts w:ascii="Times New Roman"/>
          <w:b w:val="false"/>
          <w:i w:val="false"/>
          <w:color w:val="000000"/>
          <w:sz w:val="28"/>
        </w:rPr>
        <w:t>
      2) выявление, оценка, регистрация и информирование инспектируемой стороны о несоответствиях, которые представляют опасность для здоровья населения;</w:t>
      </w:r>
    </w:p>
    <w:bookmarkEnd w:id="6662"/>
    <w:bookmarkStart w:name="z6832" w:id="6663"/>
    <w:p>
      <w:pPr>
        <w:spacing w:after="0"/>
        <w:ind w:left="0"/>
        <w:jc w:val="both"/>
      </w:pPr>
      <w:r>
        <w:rPr>
          <w:rFonts w:ascii="Times New Roman"/>
          <w:b w:val="false"/>
          <w:i w:val="false"/>
          <w:color w:val="000000"/>
          <w:sz w:val="28"/>
        </w:rPr>
        <w:t xml:space="preserve">
      3) использование результатов инспекций в качестве основы для обязательных для держателя регистрационного удостоверения действий, если в этом возникает необходимость. </w:t>
      </w:r>
    </w:p>
    <w:bookmarkEnd w:id="6663"/>
    <w:bookmarkStart w:name="z6833" w:id="6664"/>
    <w:p>
      <w:pPr>
        <w:spacing w:after="0"/>
        <w:ind w:left="0"/>
        <w:jc w:val="both"/>
      </w:pPr>
      <w:r>
        <w:rPr>
          <w:rFonts w:ascii="Times New Roman"/>
          <w:b w:val="false"/>
          <w:i w:val="false"/>
          <w:color w:val="000000"/>
          <w:sz w:val="28"/>
        </w:rPr>
        <w:t>
      108. Уполномоченная организация проводит инспекции по фармаконадзору перед регистрацией лекарственных препаратов для проверки соответствия действующей системы фармаконадзора держателя регистрационного удостоверения требованиям действующего законодательства Республики Казахстан и настоящего Стандарта. Уполномоченный орган осуществляет взаимодействие по обмену информацией в части инспекций, которые планируются, и результатов инспекций, которые уже проведены.</w:t>
      </w:r>
    </w:p>
    <w:bookmarkEnd w:id="6664"/>
    <w:bookmarkStart w:name="z6834" w:id="6665"/>
    <w:p>
      <w:pPr>
        <w:spacing w:after="0"/>
        <w:ind w:left="0"/>
        <w:jc w:val="both"/>
      </w:pPr>
      <w:r>
        <w:rPr>
          <w:rFonts w:ascii="Times New Roman"/>
          <w:b w:val="false"/>
          <w:i w:val="false"/>
          <w:color w:val="000000"/>
          <w:sz w:val="28"/>
        </w:rPr>
        <w:t>
      109. Программы инспекций по фармаконадзору включают плановые инспекции в соответствии с основанным на рисках подходе и внеплановые инспекции, осуществляемые с целью оценки предполагаемых несоответствий или потенциальных рисков, которые оказывают влияние на выполнение функций по фармаконадзору конкретного лекарственного препарата.</w:t>
      </w:r>
    </w:p>
    <w:bookmarkEnd w:id="6665"/>
    <w:bookmarkStart w:name="z6835" w:id="6666"/>
    <w:p>
      <w:pPr>
        <w:spacing w:after="0"/>
        <w:ind w:left="0"/>
        <w:jc w:val="both"/>
      </w:pPr>
      <w:r>
        <w:rPr>
          <w:rFonts w:ascii="Times New Roman"/>
          <w:b w:val="false"/>
          <w:i w:val="false"/>
          <w:color w:val="000000"/>
          <w:sz w:val="28"/>
        </w:rPr>
        <w:t>
      110. Результаты инспекции предоставляются инспектируемому субъекту, который получает возможность высказать свои комментарии по выявленному несоблюдению требований действующего законодательства Республики Казахстан и настоящего Стандарта. Держатель регистрационного удостоверения своевременно устраняет выявленное несоответствие, разработав и внедрив план корректирующих и предупреждающих мероприятий.</w:t>
      </w:r>
    </w:p>
    <w:bookmarkEnd w:id="6666"/>
    <w:bookmarkStart w:name="z6836" w:id="6667"/>
    <w:p>
      <w:pPr>
        <w:spacing w:after="0"/>
        <w:ind w:left="0"/>
        <w:jc w:val="both"/>
      </w:pPr>
      <w:r>
        <w:rPr>
          <w:rFonts w:ascii="Times New Roman"/>
          <w:b w:val="false"/>
          <w:i w:val="false"/>
          <w:color w:val="000000"/>
          <w:sz w:val="28"/>
        </w:rPr>
        <w:t>
      111. В случае выявления в результате инспекции несоблюдения держателем регистрационного удостоверения обязательств по фармаконадзору, уполномоченный орган информирует другие государства о выявленном нарушении. В случае необходимости, уполномоченный орган принимает меры по применению к держателю регистрационного удостоверения эффективных, соразмерных и сдерживающих наказаний. Информация о проведении и результатах инспекции, последующем контроле и оценке последствий в рамках фармаконадзора, размещается на веб-портале уполномоченного органа.</w:t>
      </w:r>
    </w:p>
    <w:bookmarkEnd w:id="6667"/>
    <w:bookmarkStart w:name="z6837" w:id="6668"/>
    <w:p>
      <w:pPr>
        <w:spacing w:after="0"/>
        <w:ind w:left="0"/>
        <w:jc w:val="left"/>
      </w:pPr>
      <w:r>
        <w:rPr>
          <w:rFonts w:ascii="Times New Roman"/>
          <w:b/>
          <w:i w:val="false"/>
          <w:color w:val="000000"/>
        </w:rPr>
        <w:t xml:space="preserve"> Глава 17. Структуры, процессы и типы инспекций</w:t>
      </w:r>
    </w:p>
    <w:bookmarkEnd w:id="6668"/>
    <w:bookmarkStart w:name="z6838" w:id="6669"/>
    <w:p>
      <w:pPr>
        <w:spacing w:after="0"/>
        <w:ind w:left="0"/>
        <w:jc w:val="left"/>
      </w:pPr>
      <w:r>
        <w:rPr>
          <w:rFonts w:ascii="Times New Roman"/>
          <w:b/>
          <w:i w:val="false"/>
          <w:color w:val="000000"/>
        </w:rPr>
        <w:t xml:space="preserve"> Параграф 1. Инспекции системы фармаконадзора в целом и по отдельным лекарственным препаратам</w:t>
      </w:r>
    </w:p>
    <w:bookmarkEnd w:id="6669"/>
    <w:bookmarkStart w:name="z6839" w:id="6670"/>
    <w:p>
      <w:pPr>
        <w:spacing w:after="0"/>
        <w:ind w:left="0"/>
        <w:jc w:val="both"/>
      </w:pPr>
      <w:r>
        <w:rPr>
          <w:rFonts w:ascii="Times New Roman"/>
          <w:b w:val="false"/>
          <w:i w:val="false"/>
          <w:color w:val="000000"/>
          <w:sz w:val="28"/>
        </w:rPr>
        <w:t>
      112. Инспекции в рамках системы фармаконадзора направлены на оценку и анализ имеющихся процедур, систем, персонала, помещений и оборудования, определения их соответствия обязательствам по фармаконадзору, установленным действующим законодательством Республики Казахстан и настоящим Стандартом. В ходе выполнения данного анализа используются конкретные примеры лекарственных препаратов для демонстрации и проверки работы системы фармаконадзора.</w:t>
      </w:r>
    </w:p>
    <w:bookmarkEnd w:id="6670"/>
    <w:bookmarkStart w:name="z6840" w:id="6671"/>
    <w:p>
      <w:pPr>
        <w:spacing w:after="0"/>
        <w:ind w:left="0"/>
        <w:jc w:val="both"/>
      </w:pPr>
      <w:r>
        <w:rPr>
          <w:rFonts w:ascii="Times New Roman"/>
          <w:b w:val="false"/>
          <w:i w:val="false"/>
          <w:color w:val="000000"/>
          <w:sz w:val="28"/>
        </w:rPr>
        <w:t>
      113. Инспекции, направленные на оценку выполнения функций по фармаконадзору в отношении определенного лекарственного препарата, направлены на оценку и анализ мероприятий и документации, связанной с конкретным лекарственным препаратом. Определенные аспекты общей системы фармаконадзора, используемые при выполнении функций в отношении инспектируемого лекарственного препарата, подлежат оценке в рамках инспекции по фармаконадзору, связанной с лекарственным препаратом.</w:t>
      </w:r>
    </w:p>
    <w:bookmarkEnd w:id="6671"/>
    <w:bookmarkStart w:name="z6841" w:id="6672"/>
    <w:p>
      <w:pPr>
        <w:spacing w:after="0"/>
        <w:ind w:left="0"/>
        <w:jc w:val="left"/>
      </w:pPr>
      <w:r>
        <w:rPr>
          <w:rFonts w:ascii="Times New Roman"/>
          <w:b/>
          <w:i w:val="false"/>
          <w:color w:val="000000"/>
        </w:rPr>
        <w:t xml:space="preserve"> Параграф 2. Плановые и внеплановые инспекции по фармаконадзору</w:t>
      </w:r>
    </w:p>
    <w:bookmarkEnd w:id="6672"/>
    <w:bookmarkStart w:name="z6842" w:id="6673"/>
    <w:p>
      <w:pPr>
        <w:spacing w:after="0"/>
        <w:ind w:left="0"/>
        <w:jc w:val="both"/>
      </w:pPr>
      <w:r>
        <w:rPr>
          <w:rFonts w:ascii="Times New Roman"/>
          <w:b w:val="false"/>
          <w:i w:val="false"/>
          <w:color w:val="000000"/>
          <w:sz w:val="28"/>
        </w:rPr>
        <w:t>
      114. Плановые инспекции по фармаконадзору выполняются в соответствии с предварительно составленной программой инспекции. В целях оптимизации планирования мероприятий по контролю функционирования системы фармаконадзора рекомендуется применять подход, основанный на оценке потенциальных рисков невыполнения соответствующих обязательств. Плановые инспекции представляют собой системные инспекции, но допускается возможность выбора одного или нескольких конкретных лекарственных препаратов в качестве примеров для проверки функционирования системы фармаконадзора и получения практического доказательства ее эффективного функционирования и соответствия требованиям действующего законодательства Республики Казахстан и настоящего Стандарта. В программу стандартной инспекции включается оценка состояния системы по конкретным проблемам, выявленными экспертами.</w:t>
      </w:r>
    </w:p>
    <w:bookmarkEnd w:id="6673"/>
    <w:bookmarkStart w:name="z6843" w:id="6674"/>
    <w:p>
      <w:pPr>
        <w:spacing w:after="0"/>
        <w:ind w:left="0"/>
        <w:jc w:val="both"/>
      </w:pPr>
      <w:r>
        <w:rPr>
          <w:rFonts w:ascii="Times New Roman"/>
          <w:b w:val="false"/>
          <w:i w:val="false"/>
          <w:color w:val="000000"/>
          <w:sz w:val="28"/>
        </w:rPr>
        <w:t>
      115. Внеплановые инспекции системы фармаконадзора проводятся в случае выявления инициирующего фактора (системной проблемы) и при этом инспекция рассматривается как наиболее оптимальный способ изучения и оценки выявленной проблемы.</w:t>
      </w:r>
    </w:p>
    <w:bookmarkEnd w:id="6674"/>
    <w:bookmarkStart w:name="z6844" w:id="6675"/>
    <w:p>
      <w:pPr>
        <w:spacing w:after="0"/>
        <w:ind w:left="0"/>
        <w:jc w:val="both"/>
      </w:pPr>
      <w:r>
        <w:rPr>
          <w:rFonts w:ascii="Times New Roman"/>
          <w:b w:val="false"/>
          <w:i w:val="false"/>
          <w:color w:val="000000"/>
          <w:sz w:val="28"/>
        </w:rPr>
        <w:t xml:space="preserve">
      Внеплановые инспекции направлены на оценку конкретных процессов фармаконадзора или включают в себя изучение выявленной проблемы (вопросов) и их влияния на конкретный лекарственный препарат. В определенных случаях, согласно выявленной инициирующей проблеме, выполняются инспекции с полной оценкой системы фармаконадзора. </w:t>
      </w:r>
    </w:p>
    <w:bookmarkEnd w:id="6675"/>
    <w:bookmarkStart w:name="z6845" w:id="6676"/>
    <w:p>
      <w:pPr>
        <w:spacing w:after="0"/>
        <w:ind w:left="0"/>
        <w:jc w:val="both"/>
      </w:pPr>
      <w:r>
        <w:rPr>
          <w:rFonts w:ascii="Times New Roman"/>
          <w:b w:val="false"/>
          <w:i w:val="false"/>
          <w:color w:val="000000"/>
          <w:sz w:val="28"/>
        </w:rPr>
        <w:t xml:space="preserve">
      Внеплановые инспекции выполняются в случае выявления одного или нескольких из нижеуказанных инициирующих факторов: </w:t>
      </w:r>
    </w:p>
    <w:bookmarkEnd w:id="6676"/>
    <w:bookmarkStart w:name="z6846" w:id="6677"/>
    <w:p>
      <w:pPr>
        <w:spacing w:after="0"/>
        <w:ind w:left="0"/>
        <w:jc w:val="both"/>
      </w:pPr>
      <w:r>
        <w:rPr>
          <w:rFonts w:ascii="Times New Roman"/>
          <w:b w:val="false"/>
          <w:i w:val="false"/>
          <w:color w:val="000000"/>
          <w:sz w:val="28"/>
        </w:rPr>
        <w:t>
      1) в отношении соотношения польза-риск лекарственного препарата:</w:t>
      </w:r>
    </w:p>
    <w:bookmarkEnd w:id="6677"/>
    <w:bookmarkStart w:name="z6847" w:id="6678"/>
    <w:p>
      <w:pPr>
        <w:spacing w:after="0"/>
        <w:ind w:left="0"/>
        <w:jc w:val="both"/>
      </w:pPr>
      <w:r>
        <w:rPr>
          <w:rFonts w:ascii="Times New Roman"/>
          <w:b w:val="false"/>
          <w:i w:val="false"/>
          <w:color w:val="000000"/>
          <w:sz w:val="28"/>
        </w:rPr>
        <w:t>
      изменение соотношения польза-риск, если представляется необходимым дальнейшая оценка системы путем проведения инспекции;</w:t>
      </w:r>
    </w:p>
    <w:bookmarkEnd w:id="6678"/>
    <w:bookmarkStart w:name="z6848" w:id="6679"/>
    <w:p>
      <w:pPr>
        <w:spacing w:after="0"/>
        <w:ind w:left="0"/>
        <w:jc w:val="both"/>
      </w:pPr>
      <w:r>
        <w:rPr>
          <w:rFonts w:ascii="Times New Roman"/>
          <w:b w:val="false"/>
          <w:i w:val="false"/>
          <w:color w:val="000000"/>
          <w:sz w:val="28"/>
        </w:rPr>
        <w:t>
      задержка в выполнении, либо ненадлежащее выполнение процедуры выявления риска или информирования об изменении соотношения польза-риск, либо невыполнение данной процедуры;</w:t>
      </w:r>
    </w:p>
    <w:bookmarkEnd w:id="6679"/>
    <w:bookmarkStart w:name="z6849" w:id="6680"/>
    <w:p>
      <w:pPr>
        <w:spacing w:after="0"/>
        <w:ind w:left="0"/>
        <w:jc w:val="both"/>
      </w:pPr>
      <w:r>
        <w:rPr>
          <w:rFonts w:ascii="Times New Roman"/>
          <w:b w:val="false"/>
          <w:i w:val="false"/>
          <w:color w:val="000000"/>
          <w:sz w:val="28"/>
        </w:rPr>
        <w:t>
      представление информации по проблемам фармаконадзора в средства массовой информации без предварительного или одновременного уведомления уполномоченного органа;</w:t>
      </w:r>
    </w:p>
    <w:bookmarkEnd w:id="6680"/>
    <w:bookmarkStart w:name="z6850" w:id="6681"/>
    <w:p>
      <w:pPr>
        <w:spacing w:after="0"/>
        <w:ind w:left="0"/>
        <w:jc w:val="both"/>
      </w:pPr>
      <w:r>
        <w:rPr>
          <w:rFonts w:ascii="Times New Roman"/>
          <w:b w:val="false"/>
          <w:i w:val="false"/>
          <w:color w:val="000000"/>
          <w:sz w:val="28"/>
        </w:rPr>
        <w:t>
      несоблюдение требований действующего законодательства Республики Казахстан и настоящего Стандарта или обязательств по обеспечению безопасности лекарственного препарата, выявленных в ходе мониторинга деятельности по фармаконадзору уполномоченным органом;</w:t>
      </w:r>
    </w:p>
    <w:bookmarkEnd w:id="6681"/>
    <w:bookmarkStart w:name="z6851" w:id="6682"/>
    <w:p>
      <w:pPr>
        <w:spacing w:after="0"/>
        <w:ind w:left="0"/>
        <w:jc w:val="both"/>
      </w:pPr>
      <w:r>
        <w:rPr>
          <w:rFonts w:ascii="Times New Roman"/>
          <w:b w:val="false"/>
          <w:i w:val="false"/>
          <w:color w:val="000000"/>
          <w:sz w:val="28"/>
        </w:rPr>
        <w:t>
      приостановление или изъятие лекарственного препарата без предварительного уведомления уполномоченного органа;</w:t>
      </w:r>
    </w:p>
    <w:bookmarkEnd w:id="6682"/>
    <w:bookmarkStart w:name="z6852" w:id="6683"/>
    <w:p>
      <w:pPr>
        <w:spacing w:after="0"/>
        <w:ind w:left="0"/>
        <w:jc w:val="both"/>
      </w:pPr>
      <w:r>
        <w:rPr>
          <w:rFonts w:ascii="Times New Roman"/>
          <w:b w:val="false"/>
          <w:i w:val="false"/>
          <w:color w:val="000000"/>
          <w:sz w:val="28"/>
        </w:rPr>
        <w:t>
      2) обязательства по представлению информации (срочные и периодические):</w:t>
      </w:r>
    </w:p>
    <w:bookmarkEnd w:id="6683"/>
    <w:bookmarkStart w:name="z6853" w:id="6684"/>
    <w:p>
      <w:pPr>
        <w:spacing w:after="0"/>
        <w:ind w:left="0"/>
        <w:jc w:val="both"/>
      </w:pPr>
      <w:r>
        <w:rPr>
          <w:rFonts w:ascii="Times New Roman"/>
          <w:b w:val="false"/>
          <w:i w:val="false"/>
          <w:color w:val="000000"/>
          <w:sz w:val="28"/>
        </w:rPr>
        <w:t>
      задержка либо упущения в представлении информации по безопасности в соответствии с требованиями действующего законодательства Республики Казахстан и настоящего Стандарта;</w:t>
      </w:r>
    </w:p>
    <w:bookmarkEnd w:id="6684"/>
    <w:bookmarkStart w:name="z6854" w:id="6685"/>
    <w:p>
      <w:pPr>
        <w:spacing w:after="0"/>
        <w:ind w:left="0"/>
        <w:jc w:val="both"/>
      </w:pPr>
      <w:r>
        <w:rPr>
          <w:rFonts w:ascii="Times New Roman"/>
          <w:b w:val="false"/>
          <w:i w:val="false"/>
          <w:color w:val="000000"/>
          <w:sz w:val="28"/>
        </w:rPr>
        <w:t>
      низкое качество либо неполнота представляемой информации;</w:t>
      </w:r>
    </w:p>
    <w:bookmarkEnd w:id="6685"/>
    <w:bookmarkStart w:name="z6855" w:id="6686"/>
    <w:p>
      <w:pPr>
        <w:spacing w:after="0"/>
        <w:ind w:left="0"/>
        <w:jc w:val="both"/>
      </w:pPr>
      <w:r>
        <w:rPr>
          <w:rFonts w:ascii="Times New Roman"/>
          <w:b w:val="false"/>
          <w:i w:val="false"/>
          <w:color w:val="000000"/>
          <w:sz w:val="28"/>
        </w:rPr>
        <w:t>
      несоответствия между представляемой информацией и другими источниками информации;</w:t>
      </w:r>
    </w:p>
    <w:bookmarkEnd w:id="6686"/>
    <w:bookmarkStart w:name="z6856" w:id="6687"/>
    <w:p>
      <w:pPr>
        <w:spacing w:after="0"/>
        <w:ind w:left="0"/>
        <w:jc w:val="both"/>
      </w:pPr>
      <w:r>
        <w:rPr>
          <w:rFonts w:ascii="Times New Roman"/>
          <w:b w:val="false"/>
          <w:i w:val="false"/>
          <w:color w:val="000000"/>
          <w:sz w:val="28"/>
        </w:rPr>
        <w:t>
      3) запросы от уполномоченного органа, уполномоченной организации:</w:t>
      </w:r>
    </w:p>
    <w:bookmarkEnd w:id="6687"/>
    <w:bookmarkStart w:name="z6857" w:id="6688"/>
    <w:p>
      <w:pPr>
        <w:spacing w:after="0"/>
        <w:ind w:left="0"/>
        <w:jc w:val="both"/>
      </w:pPr>
      <w:r>
        <w:rPr>
          <w:rFonts w:ascii="Times New Roman"/>
          <w:b w:val="false"/>
          <w:i w:val="false"/>
          <w:color w:val="000000"/>
          <w:sz w:val="28"/>
        </w:rPr>
        <w:t>
      отказ от представления запрашиваемой информации или данных в сроки, указанные уполномоченным органом;</w:t>
      </w:r>
    </w:p>
    <w:bookmarkEnd w:id="6688"/>
    <w:bookmarkStart w:name="z6858" w:id="6689"/>
    <w:p>
      <w:pPr>
        <w:spacing w:after="0"/>
        <w:ind w:left="0"/>
        <w:jc w:val="both"/>
      </w:pPr>
      <w:r>
        <w:rPr>
          <w:rFonts w:ascii="Times New Roman"/>
          <w:b w:val="false"/>
          <w:i w:val="false"/>
          <w:color w:val="000000"/>
          <w:sz w:val="28"/>
        </w:rPr>
        <w:t>
      низкое качество или ненадлежащее представление данных по запросам от уполномоченного органа о представлении информации;</w:t>
      </w:r>
    </w:p>
    <w:bookmarkEnd w:id="6689"/>
    <w:bookmarkStart w:name="z6859" w:id="6690"/>
    <w:p>
      <w:pPr>
        <w:spacing w:after="0"/>
        <w:ind w:left="0"/>
        <w:jc w:val="both"/>
      </w:pPr>
      <w:r>
        <w:rPr>
          <w:rFonts w:ascii="Times New Roman"/>
          <w:b w:val="false"/>
          <w:i w:val="false"/>
          <w:color w:val="000000"/>
          <w:sz w:val="28"/>
        </w:rPr>
        <w:t>
      4) выполнение обязательств:</w:t>
      </w:r>
    </w:p>
    <w:bookmarkEnd w:id="6690"/>
    <w:bookmarkStart w:name="z6860" w:id="6691"/>
    <w:p>
      <w:pPr>
        <w:spacing w:after="0"/>
        <w:ind w:left="0"/>
        <w:jc w:val="both"/>
      </w:pPr>
      <w:r>
        <w:rPr>
          <w:rFonts w:ascii="Times New Roman"/>
          <w:b w:val="false"/>
          <w:i w:val="false"/>
          <w:color w:val="000000"/>
          <w:sz w:val="28"/>
        </w:rPr>
        <w:t>
      озабоченность по поводу состояния или выполнения обязательств в рамках плана по управлению рисками;</w:t>
      </w:r>
    </w:p>
    <w:bookmarkEnd w:id="6691"/>
    <w:bookmarkStart w:name="z6861" w:id="6692"/>
    <w:p>
      <w:pPr>
        <w:spacing w:after="0"/>
        <w:ind w:left="0"/>
        <w:jc w:val="both"/>
      </w:pPr>
      <w:r>
        <w:rPr>
          <w:rFonts w:ascii="Times New Roman"/>
          <w:b w:val="false"/>
          <w:i w:val="false"/>
          <w:color w:val="000000"/>
          <w:sz w:val="28"/>
        </w:rPr>
        <w:t>
      задержки или невыполнение конкретных обязательств, касающихся мониторинга безопасности продукции, выявленных во время выдачи удостоверения о государственной регистрации;</w:t>
      </w:r>
    </w:p>
    <w:bookmarkEnd w:id="6692"/>
    <w:bookmarkStart w:name="z6862" w:id="6693"/>
    <w:p>
      <w:pPr>
        <w:spacing w:after="0"/>
        <w:ind w:left="0"/>
        <w:jc w:val="both"/>
      </w:pPr>
      <w:r>
        <w:rPr>
          <w:rFonts w:ascii="Times New Roman"/>
          <w:b w:val="false"/>
          <w:i w:val="false"/>
          <w:color w:val="000000"/>
          <w:sz w:val="28"/>
        </w:rPr>
        <w:t>
      низкое качество отчетов, запрошенных в качестве конкретных обязательств;</w:t>
      </w:r>
    </w:p>
    <w:bookmarkEnd w:id="6693"/>
    <w:bookmarkStart w:name="z6863" w:id="6694"/>
    <w:p>
      <w:pPr>
        <w:spacing w:after="0"/>
        <w:ind w:left="0"/>
        <w:jc w:val="both"/>
      </w:pPr>
      <w:r>
        <w:rPr>
          <w:rFonts w:ascii="Times New Roman"/>
          <w:b w:val="false"/>
          <w:i w:val="false"/>
          <w:color w:val="000000"/>
          <w:sz w:val="28"/>
        </w:rPr>
        <w:t>
      5) инспекции:</w:t>
      </w:r>
    </w:p>
    <w:bookmarkEnd w:id="6694"/>
    <w:bookmarkStart w:name="z6864" w:id="6695"/>
    <w:p>
      <w:pPr>
        <w:spacing w:after="0"/>
        <w:ind w:left="0"/>
        <w:jc w:val="both"/>
      </w:pPr>
      <w:r>
        <w:rPr>
          <w:rFonts w:ascii="Times New Roman"/>
          <w:b w:val="false"/>
          <w:i w:val="false"/>
          <w:color w:val="000000"/>
          <w:sz w:val="28"/>
        </w:rPr>
        <w:t>
      задержки во внедрении или ненадлежащее выполнение корректирующих и предупреждающих мероприятий;</w:t>
      </w:r>
    </w:p>
    <w:bookmarkEnd w:id="6695"/>
    <w:bookmarkStart w:name="z6865" w:id="6696"/>
    <w:p>
      <w:pPr>
        <w:spacing w:after="0"/>
        <w:ind w:left="0"/>
        <w:jc w:val="both"/>
      </w:pPr>
      <w:r>
        <w:rPr>
          <w:rFonts w:ascii="Times New Roman"/>
          <w:b w:val="false"/>
          <w:i w:val="false"/>
          <w:color w:val="000000"/>
          <w:sz w:val="28"/>
        </w:rPr>
        <w:t>
      информация о несоблюдении требований действующего законодательства Республики Казахстан и настоящего Стандарта или обязательств по обеспечению безопасности лекарственного препарата, полученная при выполнении других видов инспекций (Надлежащая клиническая практика (GCP), Надлежащая производственная практика (GMP), Надлежащая лабораторная практика (GLP), Надлежащая аптечная практика (GPP) и Надлежащая дистрибьюторская практика (GDP);</w:t>
      </w:r>
    </w:p>
    <w:bookmarkEnd w:id="6696"/>
    <w:bookmarkStart w:name="z6866" w:id="6697"/>
    <w:p>
      <w:pPr>
        <w:spacing w:after="0"/>
        <w:ind w:left="0"/>
        <w:jc w:val="both"/>
      </w:pPr>
      <w:r>
        <w:rPr>
          <w:rFonts w:ascii="Times New Roman"/>
          <w:b w:val="false"/>
          <w:i w:val="false"/>
          <w:color w:val="000000"/>
          <w:sz w:val="28"/>
        </w:rPr>
        <w:t>
      проверка информации о выявлении несоответствий системы, полученной от уполномоченных органов других стран;</w:t>
      </w:r>
    </w:p>
    <w:bookmarkEnd w:id="6697"/>
    <w:bookmarkStart w:name="z6867" w:id="6698"/>
    <w:p>
      <w:pPr>
        <w:spacing w:after="0"/>
        <w:ind w:left="0"/>
        <w:jc w:val="both"/>
      </w:pPr>
      <w:r>
        <w:rPr>
          <w:rFonts w:ascii="Times New Roman"/>
          <w:b w:val="false"/>
          <w:i w:val="false"/>
          <w:color w:val="000000"/>
          <w:sz w:val="28"/>
        </w:rPr>
        <w:t>
      6) прочее:</w:t>
      </w:r>
    </w:p>
    <w:bookmarkEnd w:id="6698"/>
    <w:bookmarkStart w:name="z6868" w:id="6699"/>
    <w:p>
      <w:pPr>
        <w:spacing w:after="0"/>
        <w:ind w:left="0"/>
        <w:jc w:val="both"/>
      </w:pPr>
      <w:r>
        <w:rPr>
          <w:rFonts w:ascii="Times New Roman"/>
          <w:b w:val="false"/>
          <w:i w:val="false"/>
          <w:color w:val="000000"/>
          <w:sz w:val="28"/>
        </w:rPr>
        <w:t>
      проблемы, выявленные при рассмотрении мастер-файла системы фармаконадзора;</w:t>
      </w:r>
    </w:p>
    <w:bookmarkEnd w:id="6699"/>
    <w:bookmarkStart w:name="z6869" w:id="6700"/>
    <w:p>
      <w:pPr>
        <w:spacing w:after="0"/>
        <w:ind w:left="0"/>
        <w:jc w:val="both"/>
      </w:pPr>
      <w:r>
        <w:rPr>
          <w:rFonts w:ascii="Times New Roman"/>
          <w:b w:val="false"/>
          <w:i w:val="false"/>
          <w:color w:val="000000"/>
          <w:sz w:val="28"/>
        </w:rPr>
        <w:t>
      другие источники информации или жалобы.</w:t>
      </w:r>
    </w:p>
    <w:bookmarkEnd w:id="6700"/>
    <w:bookmarkStart w:name="z6870" w:id="6701"/>
    <w:p>
      <w:pPr>
        <w:spacing w:after="0"/>
        <w:ind w:left="0"/>
        <w:jc w:val="left"/>
      </w:pPr>
      <w:r>
        <w:rPr>
          <w:rFonts w:ascii="Times New Roman"/>
          <w:b/>
          <w:i w:val="false"/>
          <w:color w:val="000000"/>
        </w:rPr>
        <w:t xml:space="preserve"> Параграф 3. Дорегистрационные и пострегистрационные инспекции</w:t>
      </w:r>
    </w:p>
    <w:bookmarkEnd w:id="6701"/>
    <w:bookmarkStart w:name="z6871" w:id="6702"/>
    <w:p>
      <w:pPr>
        <w:spacing w:after="0"/>
        <w:ind w:left="0"/>
        <w:jc w:val="both"/>
      </w:pPr>
      <w:r>
        <w:rPr>
          <w:rFonts w:ascii="Times New Roman"/>
          <w:b w:val="false"/>
          <w:i w:val="false"/>
          <w:color w:val="000000"/>
          <w:sz w:val="28"/>
        </w:rPr>
        <w:t xml:space="preserve">
      116. Дорегистрационные инспекции системы фармаконадзора выполняются до выдачи регистрационного удостоверения. Целью данных инспекций является изучение функционирующей или планируемой системы фармаконадзора, согласно представленного заявителем описания системы. </w:t>
      </w:r>
    </w:p>
    <w:bookmarkEnd w:id="6702"/>
    <w:bookmarkStart w:name="z6872" w:id="6703"/>
    <w:p>
      <w:pPr>
        <w:spacing w:after="0"/>
        <w:ind w:left="0"/>
        <w:jc w:val="both"/>
      </w:pPr>
      <w:r>
        <w:rPr>
          <w:rFonts w:ascii="Times New Roman"/>
          <w:b w:val="false"/>
          <w:i w:val="false"/>
          <w:color w:val="000000"/>
          <w:sz w:val="28"/>
        </w:rPr>
        <w:t>
      Дорегистрационные инспекции системы фармаконадзора не являются обязательными, но требуются при определенных обстоятельствах. Принципы запроса о проведении инспекции до регистрации определяются заранее и не являются причиной необоснованного инспектирования, ведущего к задержке выдачи удостоверения о государственной регистрации. При рассмотрении целесообразности и обоснованности выполнения дорегистрационных инспекций учитываются следующие факторы:</w:t>
      </w:r>
    </w:p>
    <w:bookmarkEnd w:id="6703"/>
    <w:bookmarkStart w:name="z6873" w:id="6704"/>
    <w:p>
      <w:pPr>
        <w:spacing w:after="0"/>
        <w:ind w:left="0"/>
        <w:jc w:val="both"/>
      </w:pPr>
      <w:r>
        <w:rPr>
          <w:rFonts w:ascii="Times New Roman"/>
          <w:b w:val="false"/>
          <w:i w:val="false"/>
          <w:color w:val="000000"/>
          <w:sz w:val="28"/>
        </w:rPr>
        <w:t>
      1) заявитель ранее не работал с имеющейся системой фармаконадзора на территории Республики Казахстан или находится на стадии создания новой системы фармаконадзора;</w:t>
      </w:r>
    </w:p>
    <w:bookmarkEnd w:id="6704"/>
    <w:bookmarkStart w:name="z6874" w:id="6705"/>
    <w:p>
      <w:pPr>
        <w:spacing w:after="0"/>
        <w:ind w:left="0"/>
        <w:jc w:val="both"/>
      </w:pPr>
      <w:r>
        <w:rPr>
          <w:rFonts w:ascii="Times New Roman"/>
          <w:b w:val="false"/>
          <w:i w:val="false"/>
          <w:color w:val="000000"/>
          <w:sz w:val="28"/>
        </w:rPr>
        <w:t>
      2) наличие информации (в частности, истории предшествующих инспекций либо уведомления (информации) о несоответствии, полученная от уполномоченных органов других стран) в отношении того, что держатель регистрационного удостоверения имеет нарекания по выполнению требований к системе фармаконадзора. Если у держателя регистрационного удостоверения имеется история серьезных и (или) постоянных несоответствий системы фармаконадзора действующим требованиям, то дорегистрационная инспекция системы фармаконадзора является одним из механизмов подтверждения того, что система фармаконадзора соответствующим образом исправлена (усовершенствована) до выдачи нового удостоверения о государственной регистрации;</w:t>
      </w:r>
    </w:p>
    <w:bookmarkEnd w:id="6705"/>
    <w:bookmarkStart w:name="z6875" w:id="6706"/>
    <w:p>
      <w:pPr>
        <w:spacing w:after="0"/>
        <w:ind w:left="0"/>
        <w:jc w:val="both"/>
      </w:pPr>
      <w:r>
        <w:rPr>
          <w:rFonts w:ascii="Times New Roman"/>
          <w:b w:val="false"/>
          <w:i w:val="false"/>
          <w:color w:val="000000"/>
          <w:sz w:val="28"/>
        </w:rPr>
        <w:t>
      3) в связи с конкретными проблемами, касающимися безопасности определенных лекарственных препаратов, предусматривается необходимость оценки возможностей со стороны держателя регистрационного удостоверения в отношении:</w:t>
      </w:r>
    </w:p>
    <w:bookmarkEnd w:id="6706"/>
    <w:bookmarkStart w:name="z6876" w:id="6707"/>
    <w:p>
      <w:pPr>
        <w:spacing w:after="0"/>
        <w:ind w:left="0"/>
        <w:jc w:val="both"/>
      </w:pPr>
      <w:r>
        <w:rPr>
          <w:rFonts w:ascii="Times New Roman"/>
          <w:b w:val="false"/>
          <w:i w:val="false"/>
          <w:color w:val="000000"/>
          <w:sz w:val="28"/>
        </w:rPr>
        <w:t xml:space="preserve">
      реализации мероприятий по минимизации рисков, связанных с конкретным лекарственным препаратом; </w:t>
      </w:r>
    </w:p>
    <w:bookmarkEnd w:id="6707"/>
    <w:bookmarkStart w:name="z6877" w:id="6708"/>
    <w:p>
      <w:pPr>
        <w:spacing w:after="0"/>
        <w:ind w:left="0"/>
        <w:jc w:val="both"/>
      </w:pPr>
      <w:r>
        <w:rPr>
          <w:rFonts w:ascii="Times New Roman"/>
          <w:b w:val="false"/>
          <w:i w:val="false"/>
          <w:color w:val="000000"/>
          <w:sz w:val="28"/>
        </w:rPr>
        <w:t>
      надлежащего выполнения особых требований по обеспечению безопасности применения лекарственных препаратов; или</w:t>
      </w:r>
    </w:p>
    <w:bookmarkEnd w:id="6708"/>
    <w:bookmarkStart w:name="z6878" w:id="6709"/>
    <w:p>
      <w:pPr>
        <w:spacing w:after="0"/>
        <w:ind w:left="0"/>
        <w:jc w:val="both"/>
      </w:pPr>
      <w:r>
        <w:rPr>
          <w:rFonts w:ascii="Times New Roman"/>
          <w:b w:val="false"/>
          <w:i w:val="false"/>
          <w:color w:val="000000"/>
          <w:sz w:val="28"/>
        </w:rPr>
        <w:t>
      надлежащего выполнения процедур в рамках рутинного фармаконадзора лекарственного препарата, вызывающего опасения в отношении профиля безопасности.</w:t>
      </w:r>
    </w:p>
    <w:bookmarkEnd w:id="6709"/>
    <w:bookmarkStart w:name="z6879" w:id="6710"/>
    <w:p>
      <w:pPr>
        <w:spacing w:after="0"/>
        <w:ind w:left="0"/>
        <w:jc w:val="both"/>
      </w:pPr>
      <w:r>
        <w:rPr>
          <w:rFonts w:ascii="Times New Roman"/>
          <w:b w:val="false"/>
          <w:i w:val="false"/>
          <w:color w:val="000000"/>
          <w:sz w:val="28"/>
        </w:rPr>
        <w:t xml:space="preserve">
      Принятие решения по выполнению дорегистрационной инспекции включает оценку рисков с комплексной оценкой вопросов, касающихся конкретных лекарственных препаратов и системы фармаконадзора. </w:t>
      </w:r>
    </w:p>
    <w:bookmarkEnd w:id="6710"/>
    <w:bookmarkStart w:name="z6880" w:id="6711"/>
    <w:p>
      <w:pPr>
        <w:spacing w:after="0"/>
        <w:ind w:left="0"/>
        <w:jc w:val="both"/>
      </w:pPr>
      <w:r>
        <w:rPr>
          <w:rFonts w:ascii="Times New Roman"/>
          <w:b w:val="false"/>
          <w:i w:val="false"/>
          <w:color w:val="000000"/>
          <w:sz w:val="28"/>
        </w:rPr>
        <w:t>
      117. В случае если в результате дорегистрационной инспекции системы фармаконадзора возникает обеспокоенность по поводу способности держателя регистрационного удостоверения выполнять требования к системе фармаконадзора, установленных действующим законодательством Республики Казахстан и настоящим Стандартом, уполномоченный орган рекомендует следующие меры:</w:t>
      </w:r>
    </w:p>
    <w:bookmarkEnd w:id="6711"/>
    <w:bookmarkStart w:name="z6881" w:id="6712"/>
    <w:p>
      <w:pPr>
        <w:spacing w:after="0"/>
        <w:ind w:left="0"/>
        <w:jc w:val="both"/>
      </w:pPr>
      <w:r>
        <w:rPr>
          <w:rFonts w:ascii="Times New Roman"/>
          <w:b w:val="false"/>
          <w:i w:val="false"/>
          <w:color w:val="000000"/>
          <w:sz w:val="28"/>
        </w:rPr>
        <w:t>
      1) отказ в выдаче удостоверения о государственной регистрации;</w:t>
      </w:r>
    </w:p>
    <w:bookmarkEnd w:id="6712"/>
    <w:bookmarkStart w:name="z6882" w:id="6713"/>
    <w:p>
      <w:pPr>
        <w:spacing w:after="0"/>
        <w:ind w:left="0"/>
        <w:jc w:val="both"/>
      </w:pPr>
      <w:r>
        <w:rPr>
          <w:rFonts w:ascii="Times New Roman"/>
          <w:b w:val="false"/>
          <w:i w:val="false"/>
          <w:color w:val="000000"/>
          <w:sz w:val="28"/>
        </w:rPr>
        <w:t>
      2) выполнение повторной инспекции до выдачи удостоверения о государственной регистрации с целью подтверждения устранения критических несоответствий и выполнения рекомендаций;</w:t>
      </w:r>
    </w:p>
    <w:bookmarkEnd w:id="6713"/>
    <w:bookmarkStart w:name="z6883" w:id="6714"/>
    <w:p>
      <w:pPr>
        <w:spacing w:after="0"/>
        <w:ind w:left="0"/>
        <w:jc w:val="both"/>
      </w:pPr>
      <w:r>
        <w:rPr>
          <w:rFonts w:ascii="Times New Roman"/>
          <w:b w:val="false"/>
          <w:i w:val="false"/>
          <w:color w:val="000000"/>
          <w:sz w:val="28"/>
        </w:rPr>
        <w:t xml:space="preserve">
      3) выдача удостоверения о государственной регистрации с рекомендацией проведения инспекции системы фармаконадзора на раннем пострегистрационном этапе. </w:t>
      </w:r>
    </w:p>
    <w:bookmarkEnd w:id="6714"/>
    <w:bookmarkStart w:name="z6884" w:id="6715"/>
    <w:p>
      <w:pPr>
        <w:spacing w:after="0"/>
        <w:ind w:left="0"/>
        <w:jc w:val="both"/>
      </w:pPr>
      <w:r>
        <w:rPr>
          <w:rFonts w:ascii="Times New Roman"/>
          <w:b w:val="false"/>
          <w:i w:val="false"/>
          <w:color w:val="000000"/>
          <w:sz w:val="28"/>
        </w:rPr>
        <w:t>
      118. 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 обязательства по фармаконадзору.</w:t>
      </w:r>
    </w:p>
    <w:bookmarkEnd w:id="6715"/>
    <w:bookmarkStart w:name="z6885" w:id="6716"/>
    <w:p>
      <w:pPr>
        <w:spacing w:after="0"/>
        <w:ind w:left="0"/>
        <w:jc w:val="left"/>
      </w:pPr>
      <w:r>
        <w:rPr>
          <w:rFonts w:ascii="Times New Roman"/>
          <w:b/>
          <w:i w:val="false"/>
          <w:color w:val="000000"/>
        </w:rPr>
        <w:t xml:space="preserve"> Параграф 4. Объявленные и внезапные инспекции</w:t>
      </w:r>
    </w:p>
    <w:bookmarkEnd w:id="6716"/>
    <w:bookmarkStart w:name="z6886" w:id="6717"/>
    <w:p>
      <w:pPr>
        <w:spacing w:after="0"/>
        <w:ind w:left="0"/>
        <w:jc w:val="both"/>
      </w:pPr>
      <w:r>
        <w:rPr>
          <w:rFonts w:ascii="Times New Roman"/>
          <w:b w:val="false"/>
          <w:i w:val="false"/>
          <w:color w:val="000000"/>
          <w:sz w:val="28"/>
        </w:rPr>
        <w:t>
      119. Большая часть инспекций системы фармаконадзора являются объявленными, что предполагает получение инспектируемой стороной уведомления о необходимости обеспечения присутствия соответствующих лиц во время проведения инспекции. В ряде случаев целесообразным является проведение внезапных инспекций либо выполнение уведомления инспектируемой стороны накануне проведения инспекции (если объявление ставит под угрозу цели инспекции или если инспекция проводится в сжатые сроки по безотлагательным причинам, связанным с угрозой безопасности).</w:t>
      </w:r>
    </w:p>
    <w:bookmarkEnd w:id="6717"/>
    <w:bookmarkStart w:name="z6887" w:id="6718"/>
    <w:p>
      <w:pPr>
        <w:spacing w:after="0"/>
        <w:ind w:left="0"/>
        <w:jc w:val="left"/>
      </w:pPr>
      <w:r>
        <w:rPr>
          <w:rFonts w:ascii="Times New Roman"/>
          <w:b/>
          <w:i w:val="false"/>
          <w:color w:val="000000"/>
        </w:rPr>
        <w:t xml:space="preserve"> Параграф 5. Повторные и дистанционные инспекции</w:t>
      </w:r>
    </w:p>
    <w:bookmarkEnd w:id="6718"/>
    <w:bookmarkStart w:name="z6888" w:id="6719"/>
    <w:p>
      <w:pPr>
        <w:spacing w:after="0"/>
        <w:ind w:left="0"/>
        <w:jc w:val="both"/>
      </w:pPr>
      <w:r>
        <w:rPr>
          <w:rFonts w:ascii="Times New Roman"/>
          <w:b w:val="false"/>
          <w:i w:val="false"/>
          <w:color w:val="000000"/>
          <w:sz w:val="28"/>
        </w:rPr>
        <w:t>
      120. Повторная инспекция проводится на регулярной основе в рамках программы плановых инспекций системы фармаконадзора. Оцениваются факторы риска с целью определения приоритетов повторных инспекций. Повторная инспекция на раннем этапе проводится в том случае, если выявлено значительное число несоответствий и требуется подтверждение надлежащего выполнения действий и мероприятий, направленных на устранение замечаний и оценки постоянного выполнения обязательств и соблюдения требований к системе фармаконадзора, в том числе оценки изменений в системе фармаконадзора. Повторная инспекция на раннем этапе также целесообразна вскоре после выполнения предыдущей инспекции в случае наличия информации о невыполнении инспектируемой стороной надлежащих корректирующих и предупреждающих мероприятий по предписанию более ранней инспекции.</w:t>
      </w:r>
    </w:p>
    <w:bookmarkEnd w:id="6719"/>
    <w:bookmarkStart w:name="z6889" w:id="6720"/>
    <w:p>
      <w:pPr>
        <w:spacing w:after="0"/>
        <w:ind w:left="0"/>
        <w:jc w:val="both"/>
      </w:pPr>
      <w:r>
        <w:rPr>
          <w:rFonts w:ascii="Times New Roman"/>
          <w:b w:val="false"/>
          <w:i w:val="false"/>
          <w:color w:val="000000"/>
          <w:sz w:val="28"/>
        </w:rPr>
        <w:t>
      121. Дистанционные инспекции — это инспекции системы фармаконадзора, проводимые инспекторами, вне территории помещений держателя регистрационного удостоверения либо иной организации, которой делегировано выполнений функций по фармаконадзору. Для проведения данной инспекции используются средства связи, такие как Интернет или телефон. Подобный тип инспекций используется в случае возникновения логистических трудностей в проведении инспекции на месте во время исключительных обстоятельств. Решение о проведении дистанционной инспекции по усмотрению инспекторов подлежит согласованию с уполномоченным органом, выдающим поручение на проведение инспекции. Логистические аспекты дистанционной инспекции согласовываются с держателем регистрационного удостоверения. В случае, если в ходе выполнения дистанционной инспекции выявляются вопросы, требующие выполнения оценки системы фармаконадзора непосредственно на месте их осуществления, принимается решение о проведении инспекции с выездом на место инспектирования.</w:t>
      </w:r>
    </w:p>
    <w:bookmarkEnd w:id="6720"/>
    <w:bookmarkStart w:name="z6890" w:id="6721"/>
    <w:p>
      <w:pPr>
        <w:spacing w:after="0"/>
        <w:ind w:left="0"/>
        <w:jc w:val="left"/>
      </w:pPr>
      <w:r>
        <w:rPr>
          <w:rFonts w:ascii="Times New Roman"/>
          <w:b/>
          <w:i w:val="false"/>
          <w:color w:val="000000"/>
        </w:rPr>
        <w:t xml:space="preserve"> Глава 18. Планирование инспекций</w:t>
      </w:r>
    </w:p>
    <w:bookmarkEnd w:id="6721"/>
    <w:bookmarkStart w:name="z6891" w:id="6722"/>
    <w:p>
      <w:pPr>
        <w:spacing w:after="0"/>
        <w:ind w:left="0"/>
        <w:jc w:val="both"/>
      </w:pPr>
      <w:r>
        <w:rPr>
          <w:rFonts w:ascii="Times New Roman"/>
          <w:b w:val="false"/>
          <w:i w:val="false"/>
          <w:color w:val="000000"/>
          <w:sz w:val="28"/>
        </w:rPr>
        <w:t>
      122. Планирование инспекций систем фармаконадзора основывается на системном подходе, ориентированном на оценку рисков, с целью оптимального использования ресурсов в рамках осуществляемой деятельности по контролю и обеспечению высокого уровня защиты здоровья населения. Подход к планированию инспекций, основанный на рисках, позволяет определить частоту, направленность и объем инспектирования инспекций по фармаконадзору.</w:t>
      </w:r>
    </w:p>
    <w:bookmarkEnd w:id="6722"/>
    <w:bookmarkStart w:name="z6892" w:id="6723"/>
    <w:p>
      <w:pPr>
        <w:spacing w:after="0"/>
        <w:ind w:left="0"/>
        <w:jc w:val="both"/>
      </w:pPr>
      <w:r>
        <w:rPr>
          <w:rFonts w:ascii="Times New Roman"/>
          <w:b w:val="false"/>
          <w:i w:val="false"/>
          <w:color w:val="000000"/>
          <w:sz w:val="28"/>
        </w:rPr>
        <w:t>
      123. При составлении программ инспекций систем фармаконадзора уполномоченным органом принимаются во внимание следующие факторы:</w:t>
      </w:r>
    </w:p>
    <w:bookmarkEnd w:id="6723"/>
    <w:bookmarkStart w:name="z6893" w:id="6724"/>
    <w:p>
      <w:pPr>
        <w:spacing w:after="0"/>
        <w:ind w:left="0"/>
        <w:jc w:val="both"/>
      </w:pPr>
      <w:r>
        <w:rPr>
          <w:rFonts w:ascii="Times New Roman"/>
          <w:b w:val="false"/>
          <w:i w:val="false"/>
          <w:color w:val="000000"/>
          <w:sz w:val="28"/>
        </w:rPr>
        <w:t>
      1) факторы, связанные с инспекцией:</w:t>
      </w:r>
    </w:p>
    <w:bookmarkEnd w:id="6724"/>
    <w:bookmarkStart w:name="z6894" w:id="6725"/>
    <w:p>
      <w:pPr>
        <w:spacing w:after="0"/>
        <w:ind w:left="0"/>
        <w:jc w:val="both"/>
      </w:pPr>
      <w:r>
        <w:rPr>
          <w:rFonts w:ascii="Times New Roman"/>
          <w:b w:val="false"/>
          <w:i w:val="false"/>
          <w:color w:val="000000"/>
          <w:sz w:val="28"/>
        </w:rPr>
        <w:t>
      история выявления несоответствий по результатам предыдущих инспекций фармаконадзора или других типов инспекций (GCP, GMP, GLP, GPP и GDP);</w:t>
      </w:r>
    </w:p>
    <w:bookmarkEnd w:id="6725"/>
    <w:bookmarkStart w:name="z6895" w:id="6726"/>
    <w:p>
      <w:pPr>
        <w:spacing w:after="0"/>
        <w:ind w:left="0"/>
        <w:jc w:val="both"/>
      </w:pPr>
      <w:r>
        <w:rPr>
          <w:rFonts w:ascii="Times New Roman"/>
          <w:b w:val="false"/>
          <w:i w:val="false"/>
          <w:color w:val="000000"/>
          <w:sz w:val="28"/>
        </w:rPr>
        <w:t>
      дата повторной инспекции, рекомендованная инспекторами или экспертами в результате предыдущей инспекции;</w:t>
      </w:r>
    </w:p>
    <w:bookmarkEnd w:id="6726"/>
    <w:bookmarkStart w:name="z6896" w:id="6727"/>
    <w:p>
      <w:pPr>
        <w:spacing w:after="0"/>
        <w:ind w:left="0"/>
        <w:jc w:val="both"/>
      </w:pPr>
      <w:r>
        <w:rPr>
          <w:rFonts w:ascii="Times New Roman"/>
          <w:b w:val="false"/>
          <w:i w:val="false"/>
          <w:color w:val="000000"/>
          <w:sz w:val="28"/>
        </w:rPr>
        <w:t>
      2) факторы, связанные с лекарственными препаратами:</w:t>
      </w:r>
    </w:p>
    <w:bookmarkEnd w:id="6727"/>
    <w:bookmarkStart w:name="z6897" w:id="6728"/>
    <w:p>
      <w:pPr>
        <w:spacing w:after="0"/>
        <w:ind w:left="0"/>
        <w:jc w:val="both"/>
      </w:pPr>
      <w:r>
        <w:rPr>
          <w:rFonts w:ascii="Times New Roman"/>
          <w:b w:val="false"/>
          <w:i w:val="false"/>
          <w:color w:val="000000"/>
          <w:sz w:val="28"/>
        </w:rPr>
        <w:t>
      регистрация лекарственного препарата, для которого назначены дополнительные мероприятия по фармаконадзору или мероприятия, направленные на минимизацию рисков;</w:t>
      </w:r>
    </w:p>
    <w:bookmarkEnd w:id="6728"/>
    <w:bookmarkStart w:name="z6898" w:id="6729"/>
    <w:p>
      <w:pPr>
        <w:spacing w:after="0"/>
        <w:ind w:left="0"/>
        <w:jc w:val="both"/>
      </w:pPr>
      <w:r>
        <w:rPr>
          <w:rFonts w:ascii="Times New Roman"/>
          <w:b w:val="false"/>
          <w:i w:val="false"/>
          <w:color w:val="000000"/>
          <w:sz w:val="28"/>
        </w:rPr>
        <w:t>
      регистрация лекарственного препарата, для которого назначено проведение пострегистрационных исследований по безопасности или назначен дополнительный мониторинг;</w:t>
      </w:r>
    </w:p>
    <w:bookmarkEnd w:id="6729"/>
    <w:bookmarkStart w:name="z6899" w:id="6730"/>
    <w:p>
      <w:pPr>
        <w:spacing w:after="0"/>
        <w:ind w:left="0"/>
        <w:jc w:val="both"/>
      </w:pPr>
      <w:r>
        <w:rPr>
          <w:rFonts w:ascii="Times New Roman"/>
          <w:b w:val="false"/>
          <w:i w:val="false"/>
          <w:color w:val="000000"/>
          <w:sz w:val="28"/>
        </w:rPr>
        <w:t>
      регистрация и поставка лекарственного препарата с большим объемом продаж, т.е. потенциально значимым воздействием на большую популяцию пациентов;</w:t>
      </w:r>
    </w:p>
    <w:bookmarkEnd w:id="6730"/>
    <w:bookmarkStart w:name="z6900" w:id="6731"/>
    <w:p>
      <w:pPr>
        <w:spacing w:after="0"/>
        <w:ind w:left="0"/>
        <w:jc w:val="both"/>
      </w:pPr>
      <w:r>
        <w:rPr>
          <w:rFonts w:ascii="Times New Roman"/>
          <w:b w:val="false"/>
          <w:i w:val="false"/>
          <w:color w:val="000000"/>
          <w:sz w:val="28"/>
        </w:rPr>
        <w:t>
      лекарственный препарат, не имеющий достаточного количества альтернатив на рынке Республики Казахстан;</w:t>
      </w:r>
    </w:p>
    <w:bookmarkEnd w:id="6731"/>
    <w:bookmarkStart w:name="z6901" w:id="6732"/>
    <w:p>
      <w:pPr>
        <w:spacing w:after="0"/>
        <w:ind w:left="0"/>
        <w:jc w:val="both"/>
      </w:pPr>
      <w:r>
        <w:rPr>
          <w:rFonts w:ascii="Times New Roman"/>
          <w:b w:val="false"/>
          <w:i w:val="false"/>
          <w:color w:val="000000"/>
          <w:sz w:val="28"/>
        </w:rPr>
        <w:t>
      3) факторы, связанные с держателем регистрационного удостоверения:</w:t>
      </w:r>
    </w:p>
    <w:bookmarkEnd w:id="6732"/>
    <w:bookmarkStart w:name="z6902" w:id="6733"/>
    <w:p>
      <w:pPr>
        <w:spacing w:after="0"/>
        <w:ind w:left="0"/>
        <w:jc w:val="both"/>
      </w:pPr>
      <w:r>
        <w:rPr>
          <w:rFonts w:ascii="Times New Roman"/>
          <w:b w:val="false"/>
          <w:i w:val="false"/>
          <w:color w:val="000000"/>
          <w:sz w:val="28"/>
        </w:rPr>
        <w:t>
      держатель регистрационного удостоверения, никогда не подвергавшийся инспекции системы фармаконадзора;</w:t>
      </w:r>
    </w:p>
    <w:bookmarkEnd w:id="6733"/>
    <w:bookmarkStart w:name="z6903" w:id="6734"/>
    <w:p>
      <w:pPr>
        <w:spacing w:after="0"/>
        <w:ind w:left="0"/>
        <w:jc w:val="both"/>
      </w:pPr>
      <w:r>
        <w:rPr>
          <w:rFonts w:ascii="Times New Roman"/>
          <w:b w:val="false"/>
          <w:i w:val="false"/>
          <w:color w:val="000000"/>
          <w:sz w:val="28"/>
        </w:rPr>
        <w:t>
      держатель регистрационного удостоверения, имеющий в обращении на рынке Республики Казахстан множество лекарственных препаратов;</w:t>
      </w:r>
    </w:p>
    <w:bookmarkEnd w:id="6734"/>
    <w:bookmarkStart w:name="z6904" w:id="6735"/>
    <w:p>
      <w:pPr>
        <w:spacing w:after="0"/>
        <w:ind w:left="0"/>
        <w:jc w:val="both"/>
      </w:pPr>
      <w:r>
        <w:rPr>
          <w:rFonts w:ascii="Times New Roman"/>
          <w:b w:val="false"/>
          <w:i w:val="false"/>
          <w:color w:val="000000"/>
          <w:sz w:val="28"/>
        </w:rPr>
        <w:t>
      держатель регистрационного удостоверения, ранее не имевший удостоверений о государственной регистрации на территории Республики Казахстан;</w:t>
      </w:r>
    </w:p>
    <w:bookmarkEnd w:id="6735"/>
    <w:bookmarkStart w:name="z6905" w:id="6736"/>
    <w:p>
      <w:pPr>
        <w:spacing w:after="0"/>
        <w:ind w:left="0"/>
        <w:jc w:val="both"/>
      </w:pPr>
      <w:r>
        <w:rPr>
          <w:rFonts w:ascii="Times New Roman"/>
          <w:b w:val="false"/>
          <w:i w:val="false"/>
          <w:color w:val="000000"/>
          <w:sz w:val="28"/>
        </w:rPr>
        <w:t>
      негативная информация в отношении выполнения требований законодательства и (или) проблем по безопасности лекарственных препаратов, полученная со стороны уполномоченного органа Республики Казахстан и иных стран, а также уполномоченных органов в других областях регулирования обращения лекарственных препаратов (т.е. GCP, GMP, GLP, GPP и GDP);</w:t>
      </w:r>
    </w:p>
    <w:bookmarkEnd w:id="6736"/>
    <w:bookmarkStart w:name="z6906" w:id="6737"/>
    <w:p>
      <w:pPr>
        <w:spacing w:after="0"/>
        <w:ind w:left="0"/>
        <w:jc w:val="both"/>
      </w:pPr>
      <w:r>
        <w:rPr>
          <w:rFonts w:ascii="Times New Roman"/>
          <w:b w:val="false"/>
          <w:i w:val="false"/>
          <w:color w:val="000000"/>
          <w:sz w:val="28"/>
        </w:rPr>
        <w:t>
      изменения в организационной структуре держателя регистрационного удостоверения, такие как слияния и поглощения;</w:t>
      </w:r>
    </w:p>
    <w:bookmarkEnd w:id="6737"/>
    <w:bookmarkStart w:name="z6907" w:id="6738"/>
    <w:p>
      <w:pPr>
        <w:spacing w:after="0"/>
        <w:ind w:left="0"/>
        <w:jc w:val="both"/>
      </w:pPr>
      <w:r>
        <w:rPr>
          <w:rFonts w:ascii="Times New Roman"/>
          <w:b w:val="false"/>
          <w:i w:val="false"/>
          <w:color w:val="000000"/>
          <w:sz w:val="28"/>
        </w:rPr>
        <w:t>
      4) факторы, связанные с системой фармаконадзора:</w:t>
      </w:r>
    </w:p>
    <w:bookmarkEnd w:id="6738"/>
    <w:bookmarkStart w:name="z6908" w:id="6739"/>
    <w:p>
      <w:pPr>
        <w:spacing w:after="0"/>
        <w:ind w:left="0"/>
        <w:jc w:val="both"/>
      </w:pPr>
      <w:r>
        <w:rPr>
          <w:rFonts w:ascii="Times New Roman"/>
          <w:b w:val="false"/>
          <w:i w:val="false"/>
          <w:color w:val="000000"/>
          <w:sz w:val="28"/>
        </w:rPr>
        <w:t>
      держатель регистрационного удостоверения, имеющий субподрядную организацию по осуществлению деятельности по фармаконадзору (в части функций УЛФ в Республике Казахстан, представления отчетов по безопасности) и (или) несколько организаций, привлеченных для осуществления мероприятий по фармаконадзору;</w:t>
      </w:r>
    </w:p>
    <w:bookmarkEnd w:id="6739"/>
    <w:bookmarkStart w:name="z6909" w:id="6740"/>
    <w:p>
      <w:pPr>
        <w:spacing w:after="0"/>
        <w:ind w:left="0"/>
        <w:jc w:val="both"/>
      </w:pPr>
      <w:r>
        <w:rPr>
          <w:rFonts w:ascii="Times New Roman"/>
          <w:b w:val="false"/>
          <w:i w:val="false"/>
          <w:color w:val="000000"/>
          <w:sz w:val="28"/>
        </w:rPr>
        <w:t>
      замена УЛФ с момента последней инспекции;</w:t>
      </w:r>
    </w:p>
    <w:bookmarkEnd w:id="6740"/>
    <w:bookmarkStart w:name="z6910" w:id="6741"/>
    <w:p>
      <w:pPr>
        <w:spacing w:after="0"/>
        <w:ind w:left="0"/>
        <w:jc w:val="both"/>
      </w:pPr>
      <w:r>
        <w:rPr>
          <w:rFonts w:ascii="Times New Roman"/>
          <w:b w:val="false"/>
          <w:i w:val="false"/>
          <w:color w:val="000000"/>
          <w:sz w:val="28"/>
        </w:rPr>
        <w:t>
      изменения в базе данных по безопасности лекарственных препаратов, включающие в себя изменение самой базы данных или взаимосвязанных баз данных, статус валидации базы данных и информации о переданных или перенесенных данных;</w:t>
      </w:r>
    </w:p>
    <w:bookmarkEnd w:id="6741"/>
    <w:bookmarkStart w:name="z6911" w:id="6742"/>
    <w:p>
      <w:pPr>
        <w:spacing w:after="0"/>
        <w:ind w:left="0"/>
        <w:jc w:val="both"/>
      </w:pPr>
      <w:r>
        <w:rPr>
          <w:rFonts w:ascii="Times New Roman"/>
          <w:b w:val="false"/>
          <w:i w:val="false"/>
          <w:color w:val="000000"/>
          <w:sz w:val="28"/>
        </w:rPr>
        <w:t>
      изменения в договорных отношениях с поставщиками услуг по фармаконадзору или мест выполнения функций по фармаконадзору;</w:t>
      </w:r>
    </w:p>
    <w:bookmarkEnd w:id="6742"/>
    <w:bookmarkStart w:name="z6912" w:id="6743"/>
    <w:p>
      <w:pPr>
        <w:spacing w:after="0"/>
        <w:ind w:left="0"/>
        <w:jc w:val="both"/>
      </w:pPr>
      <w:r>
        <w:rPr>
          <w:rFonts w:ascii="Times New Roman"/>
          <w:b w:val="false"/>
          <w:i w:val="false"/>
          <w:color w:val="000000"/>
          <w:sz w:val="28"/>
        </w:rPr>
        <w:t>
      делегирование или передача управления мастер-файлом системы фармаконадзора.</w:t>
      </w:r>
    </w:p>
    <w:bookmarkEnd w:id="6743"/>
    <w:bookmarkStart w:name="z6913" w:id="6744"/>
    <w:p>
      <w:pPr>
        <w:spacing w:after="0"/>
        <w:ind w:left="0"/>
        <w:jc w:val="both"/>
      </w:pPr>
      <w:r>
        <w:rPr>
          <w:rFonts w:ascii="Times New Roman"/>
          <w:b w:val="false"/>
          <w:i w:val="false"/>
          <w:color w:val="000000"/>
          <w:sz w:val="28"/>
        </w:rPr>
        <w:t>
      124. Уполномоченный орган, уполномоченная организация запрашивают требуемую информацию у держателя регистрационного удостоверения в целях планирования инспекции на основании подхода по оценке рисков, в случае если на момент планирования она не является доступной.</w:t>
      </w:r>
    </w:p>
    <w:bookmarkEnd w:id="6744"/>
    <w:bookmarkStart w:name="z6914" w:id="6745"/>
    <w:p>
      <w:pPr>
        <w:spacing w:after="0"/>
        <w:ind w:left="0"/>
        <w:jc w:val="left"/>
      </w:pPr>
      <w:r>
        <w:rPr>
          <w:rFonts w:ascii="Times New Roman"/>
          <w:b/>
          <w:i w:val="false"/>
          <w:color w:val="000000"/>
        </w:rPr>
        <w:t xml:space="preserve"> Глава 19. Инспектируемые объекты</w:t>
      </w:r>
    </w:p>
    <w:bookmarkEnd w:id="6745"/>
    <w:bookmarkStart w:name="z6915" w:id="6746"/>
    <w:p>
      <w:pPr>
        <w:spacing w:after="0"/>
        <w:ind w:left="0"/>
        <w:jc w:val="both"/>
      </w:pPr>
      <w:r>
        <w:rPr>
          <w:rFonts w:ascii="Times New Roman"/>
          <w:b w:val="false"/>
          <w:i w:val="false"/>
          <w:color w:val="000000"/>
          <w:sz w:val="28"/>
        </w:rPr>
        <w:t>
      125. Любая сторона, осуществляющая мероприятия по фармаконадзору полностью или частично, от имени держателя регистрационного удостоверения либо совместно с ним, подвергается инспекции на подтверждение способности надлежащего выполнения обязательств и соблюдения требований действующего законодательства Республики Казахстан по фармаконадзору держателя регистрационного удостоверения. Объекты для инспектирования располагаются на территории Республики Казахстан либо за ее пределами. Инспекции объектов за пределами Республики Казахстан являются уместными, если главный центр фармаконадзора, базы данных и (или) выполняемая деятельность по фармаконадзору находятся за пределами Республики Казахстан. Тип и количество инспектируемых объектов выбираются соответствующим образом с целью гарантирования достижения ключевых целей инспекции.</w:t>
      </w:r>
    </w:p>
    <w:bookmarkEnd w:id="6746"/>
    <w:bookmarkStart w:name="z6916" w:id="6747"/>
    <w:p>
      <w:pPr>
        <w:spacing w:after="0"/>
        <w:ind w:left="0"/>
        <w:jc w:val="both"/>
      </w:pPr>
      <w:r>
        <w:rPr>
          <w:rFonts w:ascii="Times New Roman"/>
          <w:b w:val="false"/>
          <w:i w:val="false"/>
          <w:color w:val="000000"/>
          <w:sz w:val="28"/>
        </w:rPr>
        <w:t>
      126. Объем инспекции зависит от целей инспекции, от охвата предыдущими инспекциями уполномоченной организацией и от типа инспекции. При подготовке объема инспекции учитывается:</w:t>
      </w:r>
    </w:p>
    <w:bookmarkEnd w:id="6747"/>
    <w:bookmarkStart w:name="z6917" w:id="6748"/>
    <w:p>
      <w:pPr>
        <w:spacing w:after="0"/>
        <w:ind w:left="0"/>
        <w:jc w:val="both"/>
      </w:pPr>
      <w:r>
        <w:rPr>
          <w:rFonts w:ascii="Times New Roman"/>
          <w:b w:val="false"/>
          <w:i w:val="false"/>
          <w:color w:val="000000"/>
          <w:sz w:val="28"/>
        </w:rPr>
        <w:t>
      1) информация, представленная в мастер-файле системы фармаконадзора;</w:t>
      </w:r>
    </w:p>
    <w:bookmarkEnd w:id="6748"/>
    <w:bookmarkStart w:name="z6918" w:id="6749"/>
    <w:p>
      <w:pPr>
        <w:spacing w:after="0"/>
        <w:ind w:left="0"/>
        <w:jc w:val="both"/>
      </w:pPr>
      <w:r>
        <w:rPr>
          <w:rFonts w:ascii="Times New Roman"/>
          <w:b w:val="false"/>
          <w:i w:val="false"/>
          <w:color w:val="000000"/>
          <w:sz w:val="28"/>
        </w:rPr>
        <w:t>
      2) информация о функционировании системы фармаконадзора (наличие у уполномоченного органа данных о соответствии системы фармаконадзора);</w:t>
      </w:r>
    </w:p>
    <w:bookmarkEnd w:id="6749"/>
    <w:bookmarkStart w:name="z6919" w:id="6750"/>
    <w:p>
      <w:pPr>
        <w:spacing w:after="0"/>
        <w:ind w:left="0"/>
        <w:jc w:val="both"/>
      </w:pPr>
      <w:r>
        <w:rPr>
          <w:rFonts w:ascii="Times New Roman"/>
          <w:b w:val="false"/>
          <w:i w:val="false"/>
          <w:color w:val="000000"/>
          <w:sz w:val="28"/>
        </w:rPr>
        <w:t>
      3) конкретные факторы инициирования инспекции (п 4).</w:t>
      </w:r>
    </w:p>
    <w:bookmarkEnd w:id="6750"/>
    <w:bookmarkStart w:name="z6920" w:id="6751"/>
    <w:p>
      <w:pPr>
        <w:spacing w:after="0"/>
        <w:ind w:left="0"/>
        <w:jc w:val="left"/>
      </w:pPr>
      <w:r>
        <w:rPr>
          <w:rFonts w:ascii="Times New Roman"/>
          <w:b/>
          <w:i w:val="false"/>
          <w:color w:val="000000"/>
        </w:rPr>
        <w:t xml:space="preserve"> Глава 20. Стандартные инспекции фармаконадзора</w:t>
      </w:r>
    </w:p>
    <w:bookmarkEnd w:id="6751"/>
    <w:bookmarkStart w:name="z6921" w:id="6752"/>
    <w:p>
      <w:pPr>
        <w:spacing w:after="0"/>
        <w:ind w:left="0"/>
        <w:jc w:val="both"/>
      </w:pPr>
      <w:r>
        <w:rPr>
          <w:rFonts w:ascii="Times New Roman"/>
          <w:b w:val="false"/>
          <w:i w:val="false"/>
          <w:color w:val="000000"/>
          <w:sz w:val="28"/>
        </w:rPr>
        <w:t>
      127. В процессе стандартных инспекций системы фармаконадзора проверяется соблюдение нормативных требований (норм регулирования) по фармаконадзору и настоящему Стандарту. В случаях если это применимо, инспектирование включает оценку следующих элементов системы:</w:t>
      </w:r>
    </w:p>
    <w:bookmarkEnd w:id="6752"/>
    <w:bookmarkStart w:name="z6922" w:id="6753"/>
    <w:p>
      <w:pPr>
        <w:spacing w:after="0"/>
        <w:ind w:left="0"/>
        <w:jc w:val="both"/>
      </w:pPr>
      <w:r>
        <w:rPr>
          <w:rFonts w:ascii="Times New Roman"/>
          <w:b w:val="false"/>
          <w:i w:val="false"/>
          <w:color w:val="000000"/>
          <w:sz w:val="28"/>
        </w:rPr>
        <w:t>
      1) процедуры работы с индивидуальными сообщениями о нежелательных реакциях на лекарственный препарат (ИСНР):</w:t>
      </w:r>
    </w:p>
    <w:bookmarkEnd w:id="6753"/>
    <w:bookmarkStart w:name="z6923" w:id="6754"/>
    <w:p>
      <w:pPr>
        <w:spacing w:after="0"/>
        <w:ind w:left="0"/>
        <w:jc w:val="both"/>
      </w:pPr>
      <w:r>
        <w:rPr>
          <w:rFonts w:ascii="Times New Roman"/>
          <w:b w:val="false"/>
          <w:i w:val="false"/>
          <w:color w:val="000000"/>
          <w:sz w:val="28"/>
        </w:rPr>
        <w:t>
      сбор, получение и обмен сообщениями, полученными от источников всех видов, объектов и организаций в рамках системы фармаконадзора, в том числе от организаций, выполняющих на контрактной основе обязательства по фармаконадзору для держателя регистрационного удостоверения и иных подразделений организации, не относящихся к системе фармаконадзора;</w:t>
      </w:r>
    </w:p>
    <w:bookmarkEnd w:id="6754"/>
    <w:bookmarkStart w:name="z6924" w:id="6755"/>
    <w:p>
      <w:pPr>
        <w:spacing w:after="0"/>
        <w:ind w:left="0"/>
        <w:jc w:val="both"/>
      </w:pPr>
      <w:r>
        <w:rPr>
          <w:rFonts w:ascii="Times New Roman"/>
          <w:b w:val="false"/>
          <w:i w:val="false"/>
          <w:color w:val="000000"/>
          <w:sz w:val="28"/>
        </w:rPr>
        <w:t>
      оценка, в том числе механизмы получения и процедура регистрации оценки лиц, представивших сообщения; используемая терминология; оценка серьезности, ожидаемости и причинно-следственной связи;</w:t>
      </w:r>
    </w:p>
    <w:bookmarkEnd w:id="6755"/>
    <w:bookmarkStart w:name="z6925" w:id="6756"/>
    <w:p>
      <w:pPr>
        <w:spacing w:after="0"/>
        <w:ind w:left="0"/>
        <w:jc w:val="both"/>
      </w:pPr>
      <w:r>
        <w:rPr>
          <w:rFonts w:ascii="Times New Roman"/>
          <w:b w:val="false"/>
          <w:i w:val="false"/>
          <w:color w:val="000000"/>
          <w:sz w:val="28"/>
        </w:rPr>
        <w:t>
      регистрация результатов последующего наблюдения и исходов (исход в случаях воздействия лекарственного препарата на плод в период беременности и медицинское подтверждение сообщений, полученных со стороны пациентов);</w:t>
      </w:r>
    </w:p>
    <w:bookmarkEnd w:id="6756"/>
    <w:bookmarkStart w:name="z6926" w:id="6757"/>
    <w:p>
      <w:pPr>
        <w:spacing w:after="0"/>
        <w:ind w:left="0"/>
        <w:jc w:val="both"/>
      </w:pPr>
      <w:r>
        <w:rPr>
          <w:rFonts w:ascii="Times New Roman"/>
          <w:b w:val="false"/>
          <w:i w:val="false"/>
          <w:color w:val="000000"/>
          <w:sz w:val="28"/>
        </w:rPr>
        <w:t>
      выполнение требований действующего законодательства Республики Казахстан по представлению различных типов ИСНР в соответствующие компетентные органы;</w:t>
      </w:r>
    </w:p>
    <w:bookmarkEnd w:id="6757"/>
    <w:bookmarkStart w:name="z6927" w:id="6758"/>
    <w:p>
      <w:pPr>
        <w:spacing w:after="0"/>
        <w:ind w:left="0"/>
        <w:jc w:val="both"/>
      </w:pPr>
      <w:r>
        <w:rPr>
          <w:rFonts w:ascii="Times New Roman"/>
          <w:b w:val="false"/>
          <w:i w:val="false"/>
          <w:color w:val="000000"/>
          <w:sz w:val="28"/>
        </w:rPr>
        <w:t>
      ведение документации и архивирование ИСНР;</w:t>
      </w:r>
    </w:p>
    <w:bookmarkEnd w:id="6758"/>
    <w:bookmarkStart w:name="z6928" w:id="6759"/>
    <w:p>
      <w:pPr>
        <w:spacing w:after="0"/>
        <w:ind w:left="0"/>
        <w:jc w:val="both"/>
      </w:pPr>
      <w:r>
        <w:rPr>
          <w:rFonts w:ascii="Times New Roman"/>
          <w:b w:val="false"/>
          <w:i w:val="false"/>
          <w:color w:val="000000"/>
          <w:sz w:val="28"/>
        </w:rPr>
        <w:t>
      2) периодические отчеты по безопасности (ПОБ) (если применимо):</w:t>
      </w:r>
    </w:p>
    <w:bookmarkEnd w:id="6759"/>
    <w:bookmarkStart w:name="z6929" w:id="6760"/>
    <w:p>
      <w:pPr>
        <w:spacing w:after="0"/>
        <w:ind w:left="0"/>
        <w:jc w:val="both"/>
      </w:pPr>
      <w:r>
        <w:rPr>
          <w:rFonts w:ascii="Times New Roman"/>
          <w:b w:val="false"/>
          <w:i w:val="false"/>
          <w:color w:val="000000"/>
          <w:sz w:val="28"/>
        </w:rPr>
        <w:t>
      полнота и достоверность включенных данных, обоснованность решений, относящихся к данным, которые не включены;</w:t>
      </w:r>
    </w:p>
    <w:bookmarkEnd w:id="6760"/>
    <w:bookmarkStart w:name="z6930" w:id="6761"/>
    <w:p>
      <w:pPr>
        <w:spacing w:after="0"/>
        <w:ind w:left="0"/>
        <w:jc w:val="both"/>
      </w:pPr>
      <w:r>
        <w:rPr>
          <w:rFonts w:ascii="Times New Roman"/>
          <w:b w:val="false"/>
          <w:i w:val="false"/>
          <w:color w:val="000000"/>
          <w:sz w:val="28"/>
        </w:rPr>
        <w:t>
      решение вопросов по изменению профиля безопасности, представление соответствующих анализов и мер;</w:t>
      </w:r>
    </w:p>
    <w:bookmarkEnd w:id="6761"/>
    <w:bookmarkStart w:name="z6931" w:id="6762"/>
    <w:p>
      <w:pPr>
        <w:spacing w:after="0"/>
        <w:ind w:left="0"/>
        <w:jc w:val="both"/>
      </w:pPr>
      <w:r>
        <w:rPr>
          <w:rFonts w:ascii="Times New Roman"/>
          <w:b w:val="false"/>
          <w:i w:val="false"/>
          <w:color w:val="000000"/>
          <w:sz w:val="28"/>
        </w:rPr>
        <w:t>
      оформление в соответствии с требованиями законодательства;</w:t>
      </w:r>
    </w:p>
    <w:bookmarkEnd w:id="6762"/>
    <w:bookmarkStart w:name="z6932" w:id="6763"/>
    <w:p>
      <w:pPr>
        <w:spacing w:after="0"/>
        <w:ind w:left="0"/>
        <w:jc w:val="both"/>
      </w:pPr>
      <w:r>
        <w:rPr>
          <w:rFonts w:ascii="Times New Roman"/>
          <w:b w:val="false"/>
          <w:i w:val="false"/>
          <w:color w:val="000000"/>
          <w:sz w:val="28"/>
        </w:rPr>
        <w:t>
      своевременность представления;</w:t>
      </w:r>
    </w:p>
    <w:bookmarkEnd w:id="6763"/>
    <w:bookmarkStart w:name="z6933" w:id="6764"/>
    <w:p>
      <w:pPr>
        <w:spacing w:after="0"/>
        <w:ind w:left="0"/>
        <w:jc w:val="both"/>
      </w:pPr>
      <w:r>
        <w:rPr>
          <w:rFonts w:ascii="Times New Roman"/>
          <w:b w:val="false"/>
          <w:i w:val="false"/>
          <w:color w:val="000000"/>
          <w:sz w:val="28"/>
        </w:rPr>
        <w:t>
      3) непрерывная оценка профиля безопасности:</w:t>
      </w:r>
    </w:p>
    <w:bookmarkEnd w:id="6764"/>
    <w:bookmarkStart w:name="z6934" w:id="6765"/>
    <w:p>
      <w:pPr>
        <w:spacing w:after="0"/>
        <w:ind w:left="0"/>
        <w:jc w:val="both"/>
      </w:pPr>
      <w:r>
        <w:rPr>
          <w:rFonts w:ascii="Times New Roman"/>
          <w:b w:val="false"/>
          <w:i w:val="false"/>
          <w:color w:val="000000"/>
          <w:sz w:val="28"/>
        </w:rPr>
        <w:t>
      использование всех источников информации для обнаружения сигнала;</w:t>
      </w:r>
    </w:p>
    <w:bookmarkEnd w:id="6765"/>
    <w:bookmarkStart w:name="z6935" w:id="6766"/>
    <w:p>
      <w:pPr>
        <w:spacing w:after="0"/>
        <w:ind w:left="0"/>
        <w:jc w:val="both"/>
      </w:pPr>
      <w:r>
        <w:rPr>
          <w:rFonts w:ascii="Times New Roman"/>
          <w:b w:val="false"/>
          <w:i w:val="false"/>
          <w:color w:val="000000"/>
          <w:sz w:val="28"/>
        </w:rPr>
        <w:t>
      правильное применение методологии анализа информации;</w:t>
      </w:r>
    </w:p>
    <w:bookmarkEnd w:id="6766"/>
    <w:bookmarkStart w:name="z6936" w:id="6767"/>
    <w:p>
      <w:pPr>
        <w:spacing w:after="0"/>
        <w:ind w:left="0"/>
        <w:jc w:val="both"/>
      </w:pPr>
      <w:r>
        <w:rPr>
          <w:rFonts w:ascii="Times New Roman"/>
          <w:b w:val="false"/>
          <w:i w:val="false"/>
          <w:color w:val="000000"/>
          <w:sz w:val="28"/>
        </w:rPr>
        <w:t>
      соответствие процедур расследования и последующих действий (внедрение рекомендаций после анализа данных);</w:t>
      </w:r>
    </w:p>
    <w:bookmarkEnd w:id="6767"/>
    <w:bookmarkStart w:name="z6937" w:id="6768"/>
    <w:p>
      <w:pPr>
        <w:spacing w:after="0"/>
        <w:ind w:left="0"/>
        <w:jc w:val="both"/>
      </w:pPr>
      <w:r>
        <w:rPr>
          <w:rFonts w:ascii="Times New Roman"/>
          <w:b w:val="false"/>
          <w:i w:val="false"/>
          <w:color w:val="000000"/>
          <w:sz w:val="28"/>
        </w:rPr>
        <w:t>
      реализация плана управления рисками или других обязательств;</w:t>
      </w:r>
    </w:p>
    <w:bookmarkEnd w:id="6768"/>
    <w:bookmarkStart w:name="z6938" w:id="6769"/>
    <w:p>
      <w:pPr>
        <w:spacing w:after="0"/>
        <w:ind w:left="0"/>
        <w:jc w:val="both"/>
      </w:pPr>
      <w:r>
        <w:rPr>
          <w:rFonts w:ascii="Times New Roman"/>
          <w:b w:val="false"/>
          <w:i w:val="false"/>
          <w:color w:val="000000"/>
          <w:sz w:val="28"/>
        </w:rPr>
        <w:t>
      своевременное выявление и представление полных и точных данных уполномоченному органу, а именно ответ на конкретные запросы данных;</w:t>
      </w:r>
    </w:p>
    <w:bookmarkEnd w:id="6769"/>
    <w:bookmarkStart w:name="z6939" w:id="6770"/>
    <w:p>
      <w:pPr>
        <w:spacing w:after="0"/>
        <w:ind w:left="0"/>
        <w:jc w:val="both"/>
      </w:pPr>
      <w:r>
        <w:rPr>
          <w:rFonts w:ascii="Times New Roman"/>
          <w:b w:val="false"/>
          <w:i w:val="false"/>
          <w:color w:val="000000"/>
          <w:sz w:val="28"/>
        </w:rPr>
        <w:t>
      включение утвержденных изменений в сообщения, касающихся безопасности, и информацию о лекарственном препарате;</w:t>
      </w:r>
    </w:p>
    <w:bookmarkEnd w:id="6770"/>
    <w:bookmarkStart w:name="z6940" w:id="6771"/>
    <w:p>
      <w:pPr>
        <w:spacing w:after="0"/>
        <w:ind w:left="0"/>
        <w:jc w:val="both"/>
      </w:pPr>
      <w:r>
        <w:rPr>
          <w:rFonts w:ascii="Times New Roman"/>
          <w:b w:val="false"/>
          <w:i w:val="false"/>
          <w:color w:val="000000"/>
          <w:sz w:val="28"/>
        </w:rPr>
        <w:t>
      4) интервенционные (при необходимости) и неинтервенционные клинические исследования (испытания):</w:t>
      </w:r>
    </w:p>
    <w:bookmarkEnd w:id="6771"/>
    <w:bookmarkStart w:name="z6941" w:id="6772"/>
    <w:p>
      <w:pPr>
        <w:spacing w:after="0"/>
        <w:ind w:left="0"/>
        <w:jc w:val="both"/>
      </w:pPr>
      <w:r>
        <w:rPr>
          <w:rFonts w:ascii="Times New Roman"/>
          <w:b w:val="false"/>
          <w:i w:val="false"/>
          <w:color w:val="000000"/>
          <w:sz w:val="28"/>
        </w:rPr>
        <w:t>
      представление сообщений о подозреваемых серьезных неожиданных нежелательных реакциях в соответствии с требованиями действующего законодательства Республики Казахстан;</w:t>
      </w:r>
    </w:p>
    <w:bookmarkEnd w:id="6772"/>
    <w:bookmarkStart w:name="z6942" w:id="6773"/>
    <w:p>
      <w:pPr>
        <w:spacing w:after="0"/>
        <w:ind w:left="0"/>
        <w:jc w:val="both"/>
      </w:pPr>
      <w:r>
        <w:rPr>
          <w:rFonts w:ascii="Times New Roman"/>
          <w:b w:val="false"/>
          <w:i w:val="false"/>
          <w:color w:val="000000"/>
          <w:sz w:val="28"/>
        </w:rPr>
        <w:t>
      получение, регистрация и оценка случаев нежелательных реакций, выявленных в ходе интервенционных и неинтервенционных клинических исследований (испытаний);</w:t>
      </w:r>
    </w:p>
    <w:bookmarkEnd w:id="6773"/>
    <w:bookmarkStart w:name="z6943" w:id="6774"/>
    <w:p>
      <w:pPr>
        <w:spacing w:after="0"/>
        <w:ind w:left="0"/>
        <w:jc w:val="both"/>
      </w:pPr>
      <w:r>
        <w:rPr>
          <w:rFonts w:ascii="Times New Roman"/>
          <w:b w:val="false"/>
          <w:i w:val="false"/>
          <w:color w:val="000000"/>
          <w:sz w:val="28"/>
        </w:rPr>
        <w:t>
      представление результатов исследования (испытания) и соответствующей информации по безопасности лекарственных препаратов в форме отчетов согласно требованиям действующего законодательства Республики, Казахстан;</w:t>
      </w:r>
    </w:p>
    <w:bookmarkEnd w:id="6774"/>
    <w:bookmarkStart w:name="z6944" w:id="6775"/>
    <w:p>
      <w:pPr>
        <w:spacing w:after="0"/>
        <w:ind w:left="0"/>
        <w:jc w:val="both"/>
      </w:pPr>
      <w:r>
        <w:rPr>
          <w:rFonts w:ascii="Times New Roman"/>
          <w:b w:val="false"/>
          <w:i w:val="false"/>
          <w:color w:val="000000"/>
          <w:sz w:val="28"/>
        </w:rPr>
        <w:t>
      соответствующий выбор справочной информации по безопасности, поддержание актуального уровня информации в брошюрах исследователя или информации о безопасности для пациента;</w:t>
      </w:r>
    </w:p>
    <w:bookmarkEnd w:id="6775"/>
    <w:bookmarkStart w:name="z6945" w:id="6776"/>
    <w:p>
      <w:pPr>
        <w:spacing w:after="0"/>
        <w:ind w:left="0"/>
        <w:jc w:val="both"/>
      </w:pPr>
      <w:r>
        <w:rPr>
          <w:rFonts w:ascii="Times New Roman"/>
          <w:b w:val="false"/>
          <w:i w:val="false"/>
          <w:color w:val="000000"/>
          <w:sz w:val="28"/>
        </w:rPr>
        <w:t>
      включение данных исследования (испытания) в текущую оценку профиля безопасности лекарственного препарата;</w:t>
      </w:r>
    </w:p>
    <w:bookmarkEnd w:id="6776"/>
    <w:bookmarkStart w:name="z6946" w:id="6777"/>
    <w:p>
      <w:pPr>
        <w:spacing w:after="0"/>
        <w:ind w:left="0"/>
        <w:jc w:val="both"/>
      </w:pPr>
      <w:r>
        <w:rPr>
          <w:rFonts w:ascii="Times New Roman"/>
          <w:b w:val="false"/>
          <w:i w:val="false"/>
          <w:color w:val="000000"/>
          <w:sz w:val="28"/>
        </w:rPr>
        <w:t>
      5) процедуры системы фармаконадзора:</w:t>
      </w:r>
    </w:p>
    <w:bookmarkEnd w:id="6777"/>
    <w:bookmarkStart w:name="z6947" w:id="6778"/>
    <w:p>
      <w:pPr>
        <w:spacing w:after="0"/>
        <w:ind w:left="0"/>
        <w:jc w:val="both"/>
      </w:pPr>
      <w:r>
        <w:rPr>
          <w:rFonts w:ascii="Times New Roman"/>
          <w:b w:val="false"/>
          <w:i w:val="false"/>
          <w:color w:val="000000"/>
          <w:sz w:val="28"/>
        </w:rPr>
        <w:t>
      роли и обязанности УЛФ (доступ к системе качества фармаконадзора, мастер-файлу системы фармаконадзора, показателям эффективности и индикаторам системы, отчетам по аудитам и инспекциям) и способность принимать меры по улучшению соответствия;</w:t>
      </w:r>
    </w:p>
    <w:bookmarkEnd w:id="6778"/>
    <w:bookmarkStart w:name="z6948" w:id="6779"/>
    <w:p>
      <w:pPr>
        <w:spacing w:after="0"/>
        <w:ind w:left="0"/>
        <w:jc w:val="both"/>
      </w:pPr>
      <w:r>
        <w:rPr>
          <w:rFonts w:ascii="Times New Roman"/>
          <w:b w:val="false"/>
          <w:i w:val="false"/>
          <w:color w:val="000000"/>
          <w:sz w:val="28"/>
        </w:rPr>
        <w:t>
      роли и обязанности держателя регистрационного удостоверения в отношении системы фармаконадзора;</w:t>
      </w:r>
    </w:p>
    <w:bookmarkEnd w:id="6779"/>
    <w:bookmarkStart w:name="z6949" w:id="6780"/>
    <w:p>
      <w:pPr>
        <w:spacing w:after="0"/>
        <w:ind w:left="0"/>
        <w:jc w:val="both"/>
      </w:pPr>
      <w:r>
        <w:rPr>
          <w:rFonts w:ascii="Times New Roman"/>
          <w:b w:val="false"/>
          <w:i w:val="false"/>
          <w:color w:val="000000"/>
          <w:sz w:val="28"/>
        </w:rPr>
        <w:t>
      точность, полнота и поддержание актуального уровня информации в мастер-файле системы фармаконадзора;</w:t>
      </w:r>
    </w:p>
    <w:bookmarkEnd w:id="6780"/>
    <w:bookmarkStart w:name="z6950" w:id="6781"/>
    <w:p>
      <w:pPr>
        <w:spacing w:after="0"/>
        <w:ind w:left="0"/>
        <w:jc w:val="both"/>
      </w:pPr>
      <w:r>
        <w:rPr>
          <w:rFonts w:ascii="Times New Roman"/>
          <w:b w:val="false"/>
          <w:i w:val="false"/>
          <w:color w:val="000000"/>
          <w:sz w:val="28"/>
        </w:rPr>
        <w:t>
      качество и соответствие уровня подготовки, квалификации и опыта персонала;</w:t>
      </w:r>
    </w:p>
    <w:bookmarkEnd w:id="6781"/>
    <w:bookmarkStart w:name="z6951" w:id="6782"/>
    <w:p>
      <w:pPr>
        <w:spacing w:after="0"/>
        <w:ind w:left="0"/>
        <w:jc w:val="both"/>
      </w:pPr>
      <w:r>
        <w:rPr>
          <w:rFonts w:ascii="Times New Roman"/>
          <w:b w:val="false"/>
          <w:i w:val="false"/>
          <w:color w:val="000000"/>
          <w:sz w:val="28"/>
        </w:rPr>
        <w:t>
      охват и соответствие системы качества в отношении системы фармаконадзора, в том числе выполнение процессов контроля качества и обеспечения качества;</w:t>
      </w:r>
    </w:p>
    <w:bookmarkEnd w:id="6782"/>
    <w:bookmarkStart w:name="z6952" w:id="6783"/>
    <w:p>
      <w:pPr>
        <w:spacing w:after="0"/>
        <w:ind w:left="0"/>
        <w:jc w:val="both"/>
      </w:pPr>
      <w:r>
        <w:rPr>
          <w:rFonts w:ascii="Times New Roman"/>
          <w:b w:val="false"/>
          <w:i w:val="false"/>
          <w:color w:val="000000"/>
          <w:sz w:val="28"/>
        </w:rPr>
        <w:t>
      пригодность используемых компьютеризированных систем для выполнения конкретных функций;</w:t>
      </w:r>
    </w:p>
    <w:bookmarkEnd w:id="6783"/>
    <w:bookmarkStart w:name="z6953" w:id="6784"/>
    <w:p>
      <w:pPr>
        <w:spacing w:after="0"/>
        <w:ind w:left="0"/>
        <w:jc w:val="both"/>
      </w:pPr>
      <w:r>
        <w:rPr>
          <w:rFonts w:ascii="Times New Roman"/>
          <w:b w:val="false"/>
          <w:i w:val="false"/>
          <w:color w:val="000000"/>
          <w:sz w:val="28"/>
        </w:rPr>
        <w:t xml:space="preserve">
      договоры и соглашения со всеми участвующими сторонами, соответствующим образом отражающие обязанности и мероприятия по выполнению фармаконадзора и надлежащее их выполнение. </w:t>
      </w:r>
    </w:p>
    <w:bookmarkEnd w:id="6784"/>
    <w:bookmarkStart w:name="z6954" w:id="6785"/>
    <w:p>
      <w:pPr>
        <w:spacing w:after="0"/>
        <w:ind w:left="0"/>
        <w:jc w:val="both"/>
      </w:pPr>
      <w:r>
        <w:rPr>
          <w:rFonts w:ascii="Times New Roman"/>
          <w:b w:val="false"/>
          <w:i w:val="false"/>
          <w:color w:val="000000"/>
          <w:sz w:val="28"/>
        </w:rPr>
        <w:t xml:space="preserve">
      Инспекция включает и оценку соответствия осуществляемых мер по минимизации рисков установленным требованиям. </w:t>
      </w:r>
    </w:p>
    <w:bookmarkEnd w:id="6785"/>
    <w:bookmarkStart w:name="z6955" w:id="6786"/>
    <w:p>
      <w:pPr>
        <w:spacing w:after="0"/>
        <w:ind w:left="0"/>
        <w:jc w:val="left"/>
      </w:pPr>
      <w:r>
        <w:rPr>
          <w:rFonts w:ascii="Times New Roman"/>
          <w:b/>
          <w:i w:val="false"/>
          <w:color w:val="000000"/>
        </w:rPr>
        <w:t xml:space="preserve"> Глава 21. Внеплановые инспекции</w:t>
      </w:r>
    </w:p>
    <w:bookmarkEnd w:id="6786"/>
    <w:bookmarkStart w:name="z6956" w:id="6787"/>
    <w:p>
      <w:pPr>
        <w:spacing w:after="0"/>
        <w:ind w:left="0"/>
        <w:jc w:val="both"/>
      </w:pPr>
      <w:r>
        <w:rPr>
          <w:rFonts w:ascii="Times New Roman"/>
          <w:b w:val="false"/>
          <w:i w:val="false"/>
          <w:color w:val="000000"/>
          <w:sz w:val="28"/>
        </w:rPr>
        <w:t>
      128. Объем внеплановой инспекции зависит от причин ее назначения. В число оцениваемых аспектов системы входят перечисленные выше параметры, и:</w:t>
      </w:r>
    </w:p>
    <w:bookmarkEnd w:id="6787"/>
    <w:bookmarkStart w:name="z6957" w:id="6788"/>
    <w:p>
      <w:pPr>
        <w:spacing w:after="0"/>
        <w:ind w:left="0"/>
        <w:jc w:val="both"/>
      </w:pPr>
      <w:r>
        <w:rPr>
          <w:rFonts w:ascii="Times New Roman"/>
          <w:b w:val="false"/>
          <w:i w:val="false"/>
          <w:color w:val="000000"/>
          <w:sz w:val="28"/>
        </w:rPr>
        <w:t>
      1) вовлечение и информированность УЛФ по вопросам, связанным с конкретным лекарственным препаратом;</w:t>
      </w:r>
    </w:p>
    <w:bookmarkEnd w:id="6788"/>
    <w:bookmarkStart w:name="z6958" w:id="6789"/>
    <w:p>
      <w:pPr>
        <w:spacing w:after="0"/>
        <w:ind w:left="0"/>
        <w:jc w:val="both"/>
      </w:pPr>
      <w:r>
        <w:rPr>
          <w:rFonts w:ascii="Times New Roman"/>
          <w:b w:val="false"/>
          <w:i w:val="false"/>
          <w:color w:val="000000"/>
          <w:sz w:val="28"/>
        </w:rPr>
        <w:t>
      2) углубленное изучение процессов, процедур принятия решений, выполнения информирования и реализации мер, связанных с конкретным фактором инициирования инспекции и (или) лекарственным препаратом.</w:t>
      </w:r>
    </w:p>
    <w:bookmarkEnd w:id="6789"/>
    <w:bookmarkStart w:name="z6959" w:id="6790"/>
    <w:p>
      <w:pPr>
        <w:spacing w:after="0"/>
        <w:ind w:left="0"/>
        <w:jc w:val="left"/>
      </w:pPr>
      <w:r>
        <w:rPr>
          <w:rFonts w:ascii="Times New Roman"/>
          <w:b/>
          <w:i w:val="false"/>
          <w:color w:val="000000"/>
        </w:rPr>
        <w:t xml:space="preserve"> Глава 22. Повторные инспекции</w:t>
      </w:r>
    </w:p>
    <w:bookmarkEnd w:id="6790"/>
    <w:bookmarkStart w:name="z6960" w:id="6791"/>
    <w:p>
      <w:pPr>
        <w:spacing w:after="0"/>
        <w:ind w:left="0"/>
        <w:jc w:val="both"/>
      </w:pPr>
      <w:r>
        <w:rPr>
          <w:rFonts w:ascii="Times New Roman"/>
          <w:b w:val="false"/>
          <w:i w:val="false"/>
          <w:color w:val="000000"/>
          <w:sz w:val="28"/>
        </w:rPr>
        <w:t>
      129. Определяя объемы работ по выполнению повторной инспекции, учитываются следующие аспекты:</w:t>
      </w:r>
    </w:p>
    <w:bookmarkEnd w:id="6791"/>
    <w:bookmarkStart w:name="z6961" w:id="6792"/>
    <w:p>
      <w:pPr>
        <w:spacing w:after="0"/>
        <w:ind w:left="0"/>
        <w:jc w:val="both"/>
      </w:pPr>
      <w:r>
        <w:rPr>
          <w:rFonts w:ascii="Times New Roman"/>
          <w:b w:val="false"/>
          <w:i w:val="false"/>
          <w:color w:val="000000"/>
          <w:sz w:val="28"/>
        </w:rPr>
        <w:t>
      1) анализ состояния системы и (или) плана корректирующих и предупреждающих мероприятий, разработанный по результатам предыдущей инспекции фармаконадзора;</w:t>
      </w:r>
    </w:p>
    <w:bookmarkEnd w:id="6792"/>
    <w:bookmarkStart w:name="z6962" w:id="6793"/>
    <w:p>
      <w:pPr>
        <w:spacing w:after="0"/>
        <w:ind w:left="0"/>
        <w:jc w:val="both"/>
      </w:pPr>
      <w:r>
        <w:rPr>
          <w:rFonts w:ascii="Times New Roman"/>
          <w:b w:val="false"/>
          <w:i w:val="false"/>
          <w:color w:val="000000"/>
          <w:sz w:val="28"/>
        </w:rPr>
        <w:t>
      2) анализ значительных изменений, внесенных в систему фармаконадзора со времени последней инспекции фармаконадзора (изменение базы данных фармаконадзора, слияния или поглощения компании, значительных изменений в договорных видах деятельности, замена УЛФ);</w:t>
      </w:r>
    </w:p>
    <w:bookmarkEnd w:id="6793"/>
    <w:bookmarkStart w:name="z6963" w:id="6794"/>
    <w:p>
      <w:pPr>
        <w:spacing w:after="0"/>
        <w:ind w:left="0"/>
        <w:jc w:val="both"/>
      </w:pPr>
      <w:r>
        <w:rPr>
          <w:rFonts w:ascii="Times New Roman"/>
          <w:b w:val="false"/>
          <w:i w:val="false"/>
          <w:color w:val="000000"/>
          <w:sz w:val="28"/>
        </w:rPr>
        <w:t xml:space="preserve">
      3) анализ процессов (или) вопросов в отношении конкретного лекарственного препарата, выявленных в результате оценки информации, представленной держателем регистрационного удостоверения или не включенных в объем инспектирования предыдущей инспекцией. </w:t>
      </w:r>
    </w:p>
    <w:bookmarkEnd w:id="6794"/>
    <w:bookmarkStart w:name="z6964" w:id="6795"/>
    <w:p>
      <w:pPr>
        <w:spacing w:after="0"/>
        <w:ind w:left="0"/>
        <w:jc w:val="both"/>
      </w:pPr>
      <w:r>
        <w:rPr>
          <w:rFonts w:ascii="Times New Roman"/>
          <w:b w:val="false"/>
          <w:i w:val="false"/>
          <w:color w:val="000000"/>
          <w:sz w:val="28"/>
        </w:rPr>
        <w:t>
      130. Объем повторной инспекции определяется результатами предшествующих инспекций и расширяется с учетом ряда факторов (времени от даты проведения предшествующей инспекции, объема предшествующей инспекции, если это применимо).</w:t>
      </w:r>
    </w:p>
    <w:bookmarkEnd w:id="6795"/>
    <w:bookmarkStart w:name="z6965" w:id="6796"/>
    <w:p>
      <w:pPr>
        <w:spacing w:after="0"/>
        <w:ind w:left="0"/>
        <w:jc w:val="left"/>
      </w:pPr>
      <w:r>
        <w:rPr>
          <w:rFonts w:ascii="Times New Roman"/>
          <w:b/>
          <w:i w:val="false"/>
          <w:color w:val="000000"/>
        </w:rPr>
        <w:t xml:space="preserve"> Глава 23. Процесс инспекции</w:t>
      </w:r>
    </w:p>
    <w:bookmarkEnd w:id="6796"/>
    <w:bookmarkStart w:name="z6966" w:id="6797"/>
    <w:p>
      <w:pPr>
        <w:spacing w:after="0"/>
        <w:ind w:left="0"/>
        <w:jc w:val="both"/>
      </w:pPr>
      <w:r>
        <w:rPr>
          <w:rFonts w:ascii="Times New Roman"/>
          <w:b w:val="false"/>
          <w:i w:val="false"/>
          <w:color w:val="000000"/>
          <w:sz w:val="28"/>
        </w:rPr>
        <w:t xml:space="preserve">
      131. Инспекции фармаконадзора планируют, координируют, проводят, представляют отчеты о них, контролируют выполнение замечаний и документируют в соответствии с процедурами инспекций, выполняемых на территории Республики Казахстан. </w:t>
      </w:r>
    </w:p>
    <w:bookmarkEnd w:id="6797"/>
    <w:bookmarkStart w:name="z6967" w:id="6798"/>
    <w:p>
      <w:pPr>
        <w:spacing w:after="0"/>
        <w:ind w:left="0"/>
        <w:jc w:val="both"/>
      </w:pPr>
      <w:r>
        <w:rPr>
          <w:rFonts w:ascii="Times New Roman"/>
          <w:b w:val="false"/>
          <w:i w:val="false"/>
          <w:color w:val="000000"/>
          <w:sz w:val="28"/>
        </w:rPr>
        <w:t>
      132. Процедуры по инспекциям фармаконадзора систем фармаконадзора включают следующие процессы:</w:t>
      </w:r>
    </w:p>
    <w:bookmarkEnd w:id="6798"/>
    <w:bookmarkStart w:name="z6968" w:id="6799"/>
    <w:p>
      <w:pPr>
        <w:spacing w:after="0"/>
        <w:ind w:left="0"/>
        <w:jc w:val="both"/>
      </w:pPr>
      <w:r>
        <w:rPr>
          <w:rFonts w:ascii="Times New Roman"/>
          <w:b w:val="false"/>
          <w:i w:val="false"/>
          <w:color w:val="000000"/>
          <w:sz w:val="28"/>
        </w:rPr>
        <w:t>
      1) обмен информацией;</w:t>
      </w:r>
    </w:p>
    <w:bookmarkEnd w:id="6799"/>
    <w:bookmarkStart w:name="z6969" w:id="6800"/>
    <w:p>
      <w:pPr>
        <w:spacing w:after="0"/>
        <w:ind w:left="0"/>
        <w:jc w:val="both"/>
      </w:pPr>
      <w:r>
        <w:rPr>
          <w:rFonts w:ascii="Times New Roman"/>
          <w:b w:val="false"/>
          <w:i w:val="false"/>
          <w:color w:val="000000"/>
          <w:sz w:val="28"/>
        </w:rPr>
        <w:t>
      2) планирование инспекций;</w:t>
      </w:r>
    </w:p>
    <w:bookmarkEnd w:id="6800"/>
    <w:bookmarkStart w:name="z6970" w:id="6801"/>
    <w:p>
      <w:pPr>
        <w:spacing w:after="0"/>
        <w:ind w:left="0"/>
        <w:jc w:val="both"/>
      </w:pPr>
      <w:r>
        <w:rPr>
          <w:rFonts w:ascii="Times New Roman"/>
          <w:b w:val="false"/>
          <w:i w:val="false"/>
          <w:color w:val="000000"/>
          <w:sz w:val="28"/>
        </w:rPr>
        <w:t>
      3) дорегистрационные инспекции;</w:t>
      </w:r>
    </w:p>
    <w:bookmarkEnd w:id="6801"/>
    <w:bookmarkStart w:name="z6971" w:id="6802"/>
    <w:p>
      <w:pPr>
        <w:spacing w:after="0"/>
        <w:ind w:left="0"/>
        <w:jc w:val="both"/>
      </w:pPr>
      <w:r>
        <w:rPr>
          <w:rFonts w:ascii="Times New Roman"/>
          <w:b w:val="false"/>
          <w:i w:val="false"/>
          <w:color w:val="000000"/>
          <w:sz w:val="28"/>
        </w:rPr>
        <w:t>
      4) координация инспекций систем фармаконадзора в Республике Казахстан;</w:t>
      </w:r>
    </w:p>
    <w:bookmarkEnd w:id="6802"/>
    <w:bookmarkStart w:name="z6972" w:id="6803"/>
    <w:p>
      <w:pPr>
        <w:spacing w:after="0"/>
        <w:ind w:left="0"/>
        <w:jc w:val="both"/>
      </w:pPr>
      <w:r>
        <w:rPr>
          <w:rFonts w:ascii="Times New Roman"/>
          <w:b w:val="false"/>
          <w:i w:val="false"/>
          <w:color w:val="000000"/>
          <w:sz w:val="28"/>
        </w:rPr>
        <w:t>
      5) координация инспекций третьей страны (в том числе инспекций подрядчиков в третьих странах);</w:t>
      </w:r>
    </w:p>
    <w:bookmarkEnd w:id="6803"/>
    <w:bookmarkStart w:name="z6973" w:id="6804"/>
    <w:p>
      <w:pPr>
        <w:spacing w:after="0"/>
        <w:ind w:left="0"/>
        <w:jc w:val="both"/>
      </w:pPr>
      <w:r>
        <w:rPr>
          <w:rFonts w:ascii="Times New Roman"/>
          <w:b w:val="false"/>
          <w:i w:val="false"/>
          <w:color w:val="000000"/>
          <w:sz w:val="28"/>
        </w:rPr>
        <w:t>
      6) подготовка инспекций систем фармаконадзора;</w:t>
      </w:r>
    </w:p>
    <w:bookmarkEnd w:id="6804"/>
    <w:bookmarkStart w:name="z6974" w:id="6805"/>
    <w:p>
      <w:pPr>
        <w:spacing w:after="0"/>
        <w:ind w:left="0"/>
        <w:jc w:val="both"/>
      </w:pPr>
      <w:r>
        <w:rPr>
          <w:rFonts w:ascii="Times New Roman"/>
          <w:b w:val="false"/>
          <w:i w:val="false"/>
          <w:color w:val="000000"/>
          <w:sz w:val="28"/>
        </w:rPr>
        <w:t>
      7) проведение инспекций систем фармаконадзора;</w:t>
      </w:r>
    </w:p>
    <w:bookmarkEnd w:id="6805"/>
    <w:bookmarkStart w:name="z6975" w:id="6806"/>
    <w:p>
      <w:pPr>
        <w:spacing w:after="0"/>
        <w:ind w:left="0"/>
        <w:jc w:val="both"/>
      </w:pPr>
      <w:r>
        <w:rPr>
          <w:rFonts w:ascii="Times New Roman"/>
          <w:b w:val="false"/>
          <w:i w:val="false"/>
          <w:color w:val="000000"/>
          <w:sz w:val="28"/>
        </w:rPr>
        <w:t>
      8) отчетность по инспекциям систем фармаконадзора и последующий контроль;</w:t>
      </w:r>
    </w:p>
    <w:bookmarkEnd w:id="6806"/>
    <w:bookmarkStart w:name="z6976" w:id="6807"/>
    <w:p>
      <w:pPr>
        <w:spacing w:after="0"/>
        <w:ind w:left="0"/>
        <w:jc w:val="both"/>
      </w:pPr>
      <w:r>
        <w:rPr>
          <w:rFonts w:ascii="Times New Roman"/>
          <w:b w:val="false"/>
          <w:i w:val="false"/>
          <w:color w:val="000000"/>
          <w:sz w:val="28"/>
        </w:rPr>
        <w:t>
      9) информирование и приоритетность инспекций фармаконадзора и полученных результатов;</w:t>
      </w:r>
    </w:p>
    <w:bookmarkEnd w:id="6807"/>
    <w:bookmarkStart w:name="z6977" w:id="6808"/>
    <w:p>
      <w:pPr>
        <w:spacing w:after="0"/>
        <w:ind w:left="0"/>
        <w:jc w:val="both"/>
      </w:pPr>
      <w:r>
        <w:rPr>
          <w:rFonts w:ascii="Times New Roman"/>
          <w:b w:val="false"/>
          <w:i w:val="false"/>
          <w:color w:val="000000"/>
          <w:sz w:val="28"/>
        </w:rPr>
        <w:t>
      10) ведение учета и архивирования документов, полученных в результате инспекций систем фармаконадзора;</w:t>
      </w:r>
    </w:p>
    <w:bookmarkEnd w:id="6808"/>
    <w:bookmarkStart w:name="z6978" w:id="6809"/>
    <w:p>
      <w:pPr>
        <w:spacing w:after="0"/>
        <w:ind w:left="0"/>
        <w:jc w:val="both"/>
      </w:pPr>
      <w:r>
        <w:rPr>
          <w:rFonts w:ascii="Times New Roman"/>
          <w:b w:val="false"/>
          <w:i w:val="false"/>
          <w:color w:val="000000"/>
          <w:sz w:val="28"/>
        </w:rPr>
        <w:t>
      11) внезапные инспекции;</w:t>
      </w:r>
    </w:p>
    <w:bookmarkEnd w:id="6809"/>
    <w:bookmarkStart w:name="z6979" w:id="6810"/>
    <w:p>
      <w:pPr>
        <w:spacing w:after="0"/>
        <w:ind w:left="0"/>
        <w:jc w:val="both"/>
      </w:pPr>
      <w:r>
        <w:rPr>
          <w:rFonts w:ascii="Times New Roman"/>
          <w:b w:val="false"/>
          <w:i w:val="false"/>
          <w:color w:val="000000"/>
          <w:sz w:val="28"/>
        </w:rPr>
        <w:t>
      12) санкции и уполномоченные (принудительные) меры в случае серьезного несоблюдения требований действующего законодательства Республики Казахстан и настоящего Стандарта;</w:t>
      </w:r>
    </w:p>
    <w:bookmarkEnd w:id="6810"/>
    <w:bookmarkStart w:name="z6980" w:id="6811"/>
    <w:p>
      <w:pPr>
        <w:spacing w:after="0"/>
        <w:ind w:left="0"/>
        <w:jc w:val="both"/>
      </w:pPr>
      <w:r>
        <w:rPr>
          <w:rFonts w:ascii="Times New Roman"/>
          <w:b w:val="false"/>
          <w:i w:val="false"/>
          <w:color w:val="000000"/>
          <w:sz w:val="28"/>
        </w:rPr>
        <w:t>
      13) рекомендации по подготовке инспекторов, выполняющих инспекции систем фармаконадзора, и обмену опытом работы.</w:t>
      </w:r>
    </w:p>
    <w:bookmarkEnd w:id="6811"/>
    <w:bookmarkStart w:name="z6981" w:id="6812"/>
    <w:p>
      <w:pPr>
        <w:spacing w:after="0"/>
        <w:ind w:left="0"/>
        <w:jc w:val="both"/>
      </w:pPr>
      <w:r>
        <w:rPr>
          <w:rFonts w:ascii="Times New Roman"/>
          <w:b w:val="false"/>
          <w:i w:val="false"/>
          <w:color w:val="000000"/>
          <w:sz w:val="28"/>
        </w:rPr>
        <w:t>
      133. По мере необходимости обеспечивается разработка новых процедур.</w:t>
      </w:r>
    </w:p>
    <w:bookmarkEnd w:id="6812"/>
    <w:bookmarkStart w:name="z6982" w:id="6813"/>
    <w:p>
      <w:pPr>
        <w:spacing w:after="0"/>
        <w:ind w:left="0"/>
        <w:jc w:val="left"/>
      </w:pPr>
      <w:r>
        <w:rPr>
          <w:rFonts w:ascii="Times New Roman"/>
          <w:b/>
          <w:i w:val="false"/>
          <w:color w:val="000000"/>
        </w:rPr>
        <w:t xml:space="preserve"> Глава 24. Контроль исполнения замечаний инспекции, действия и санкции уполномоченного органа</w:t>
      </w:r>
    </w:p>
    <w:bookmarkEnd w:id="6813"/>
    <w:bookmarkStart w:name="z6983" w:id="6814"/>
    <w:p>
      <w:pPr>
        <w:spacing w:after="0"/>
        <w:ind w:left="0"/>
        <w:jc w:val="both"/>
      </w:pPr>
      <w:r>
        <w:rPr>
          <w:rFonts w:ascii="Times New Roman"/>
          <w:b w:val="false"/>
          <w:i w:val="false"/>
          <w:color w:val="000000"/>
          <w:sz w:val="28"/>
        </w:rPr>
        <w:t>
      134. В случае выявления в ходе выполнения инспекции несоблюдения обязательств по фармаконадзору, требуется установление последующего контроля до полного выполнения плана корректирующих и предупреждающих мероприятий. Учитываются перечисленные ниже методы контроля:</w:t>
      </w:r>
    </w:p>
    <w:bookmarkEnd w:id="6814"/>
    <w:bookmarkStart w:name="z6984" w:id="6815"/>
    <w:p>
      <w:pPr>
        <w:spacing w:after="0"/>
        <w:ind w:left="0"/>
        <w:jc w:val="both"/>
      </w:pPr>
      <w:r>
        <w:rPr>
          <w:rFonts w:ascii="Times New Roman"/>
          <w:b w:val="false"/>
          <w:i w:val="false"/>
          <w:color w:val="000000"/>
          <w:sz w:val="28"/>
        </w:rPr>
        <w:t>
      1) анализ плана корректирующих и предупреждающих мероприятий держателя регистрационного удостоверения;</w:t>
      </w:r>
    </w:p>
    <w:bookmarkEnd w:id="6815"/>
    <w:bookmarkStart w:name="z6985" w:id="6816"/>
    <w:p>
      <w:pPr>
        <w:spacing w:after="0"/>
        <w:ind w:left="0"/>
        <w:jc w:val="both"/>
      </w:pPr>
      <w:r>
        <w:rPr>
          <w:rFonts w:ascii="Times New Roman"/>
          <w:b w:val="false"/>
          <w:i w:val="false"/>
          <w:color w:val="000000"/>
          <w:sz w:val="28"/>
        </w:rPr>
        <w:t>
      2) анализ периодических отчетов о ходе работ в случае необходимости;</w:t>
      </w:r>
    </w:p>
    <w:bookmarkEnd w:id="6816"/>
    <w:bookmarkStart w:name="z6986" w:id="6817"/>
    <w:p>
      <w:pPr>
        <w:spacing w:after="0"/>
        <w:ind w:left="0"/>
        <w:jc w:val="both"/>
      </w:pPr>
      <w:r>
        <w:rPr>
          <w:rFonts w:ascii="Times New Roman"/>
          <w:b w:val="false"/>
          <w:i w:val="false"/>
          <w:color w:val="000000"/>
          <w:sz w:val="28"/>
        </w:rPr>
        <w:t>
      3) повторная инспекция для оценки надлежащего выполнения плана корректирующих и предупреждающих мероприятий;</w:t>
      </w:r>
    </w:p>
    <w:bookmarkEnd w:id="6817"/>
    <w:bookmarkStart w:name="z6987" w:id="6818"/>
    <w:p>
      <w:pPr>
        <w:spacing w:after="0"/>
        <w:ind w:left="0"/>
        <w:jc w:val="both"/>
      </w:pPr>
      <w:r>
        <w:rPr>
          <w:rFonts w:ascii="Times New Roman"/>
          <w:b w:val="false"/>
          <w:i w:val="false"/>
          <w:color w:val="000000"/>
          <w:sz w:val="28"/>
        </w:rPr>
        <w:t>
      4) запрос о представлении ранее не представленных данных; представлении изменений (в информацию о лекарственном препарате); представлении анализа влияния (результат анализа ранее не включенных в анализ данных при выполнении процедуры выявления сигнала);</w:t>
      </w:r>
    </w:p>
    <w:bookmarkEnd w:id="6818"/>
    <w:bookmarkStart w:name="z6988" w:id="6819"/>
    <w:p>
      <w:pPr>
        <w:spacing w:after="0"/>
        <w:ind w:left="0"/>
        <w:jc w:val="both"/>
      </w:pPr>
      <w:r>
        <w:rPr>
          <w:rFonts w:ascii="Times New Roman"/>
          <w:b w:val="false"/>
          <w:i w:val="false"/>
          <w:color w:val="000000"/>
          <w:sz w:val="28"/>
        </w:rPr>
        <w:t>
      5) запрос о выполнении надлежащего информирования, включая внесение изменений в информацию, представляемую в рамках маркетинговой деятельности, и (или) рекламную информацию;</w:t>
      </w:r>
    </w:p>
    <w:bookmarkEnd w:id="6819"/>
    <w:bookmarkStart w:name="z6989" w:id="6820"/>
    <w:p>
      <w:pPr>
        <w:spacing w:after="0"/>
        <w:ind w:left="0"/>
        <w:jc w:val="both"/>
      </w:pPr>
      <w:r>
        <w:rPr>
          <w:rFonts w:ascii="Times New Roman"/>
          <w:b w:val="false"/>
          <w:i w:val="false"/>
          <w:color w:val="000000"/>
          <w:sz w:val="28"/>
        </w:rPr>
        <w:t>
      6) запрос о встрече с держателем регистрационного удостоверения с целью обсуждения выявленных недостатков (несоответствий) и их влияния на план мероприятий;</w:t>
      </w:r>
    </w:p>
    <w:bookmarkEnd w:id="6820"/>
    <w:bookmarkStart w:name="z6990" w:id="6821"/>
    <w:p>
      <w:pPr>
        <w:spacing w:after="0"/>
        <w:ind w:left="0"/>
        <w:jc w:val="both"/>
      </w:pPr>
      <w:r>
        <w:rPr>
          <w:rFonts w:ascii="Times New Roman"/>
          <w:b w:val="false"/>
          <w:i w:val="false"/>
          <w:color w:val="000000"/>
          <w:sz w:val="28"/>
        </w:rPr>
        <w:t>
      7) передача результатов инспекции другим уполномоченным органам;</w:t>
      </w:r>
    </w:p>
    <w:bookmarkEnd w:id="6821"/>
    <w:bookmarkStart w:name="z6991" w:id="6822"/>
    <w:p>
      <w:pPr>
        <w:spacing w:after="0"/>
        <w:ind w:left="0"/>
        <w:jc w:val="both"/>
      </w:pPr>
      <w:r>
        <w:rPr>
          <w:rFonts w:ascii="Times New Roman"/>
          <w:b w:val="false"/>
          <w:i w:val="false"/>
          <w:color w:val="000000"/>
          <w:sz w:val="28"/>
        </w:rPr>
        <w:t>
      8) другие действия, связанные с лекарственным препаратом, в зависимости от влияния недостатков (несоответствий) и результатов последующих действий (отзывы или действия, связанные с выдачей регистрационного удостоверения или разрешения на проведение клинических испытаний).</w:t>
      </w:r>
    </w:p>
    <w:bookmarkEnd w:id="6822"/>
    <w:bookmarkStart w:name="z6992" w:id="6823"/>
    <w:p>
      <w:pPr>
        <w:spacing w:after="0"/>
        <w:ind w:left="0"/>
        <w:jc w:val="both"/>
      </w:pPr>
      <w:r>
        <w:rPr>
          <w:rFonts w:ascii="Times New Roman"/>
          <w:b w:val="false"/>
          <w:i w:val="false"/>
          <w:color w:val="000000"/>
          <w:sz w:val="28"/>
        </w:rPr>
        <w:t>
      135. Согласно законодательству Республики Казахстан, в целях охраны здоровья населения, уполномоченный орган обеспечивает выполнение держателем регистрационного удостоверения обязательств по фармаконадзору. В случае обнаружения несоблюдения требований или невыполнения обязательств по фармаконадзору, предпринимаемые действия определяются по каждому конкретному случаю отдельно. Выбор предпринимаемых действий зависит от потенциального негативного влияния несоответствий (несоблюдения) на здоровье населения, но любой случай несоответствий (несоблюдения) учитывается при применении принудительных мер. Уполномоченный орган предпринимает необходимые меры для применения к держателю регистрационного удостоверения эффективных, соразмерных и сдерживающих санкций.</w:t>
      </w:r>
    </w:p>
    <w:bookmarkEnd w:id="6823"/>
    <w:bookmarkStart w:name="z6993" w:id="6824"/>
    <w:p>
      <w:pPr>
        <w:spacing w:after="0"/>
        <w:ind w:left="0"/>
        <w:jc w:val="both"/>
      </w:pPr>
      <w:r>
        <w:rPr>
          <w:rFonts w:ascii="Times New Roman"/>
          <w:b w:val="false"/>
          <w:i w:val="false"/>
          <w:color w:val="000000"/>
          <w:sz w:val="28"/>
        </w:rPr>
        <w:t>
      136. В случае несоблюдения, принимаются одна или несколько нижеуказанных мер:</w:t>
      </w:r>
    </w:p>
    <w:bookmarkEnd w:id="6824"/>
    <w:bookmarkStart w:name="z6994" w:id="6825"/>
    <w:p>
      <w:pPr>
        <w:spacing w:after="0"/>
        <w:ind w:left="0"/>
        <w:jc w:val="both"/>
      </w:pPr>
      <w:r>
        <w:rPr>
          <w:rFonts w:ascii="Times New Roman"/>
          <w:b w:val="false"/>
          <w:i w:val="false"/>
          <w:color w:val="000000"/>
          <w:sz w:val="28"/>
        </w:rPr>
        <w:t>
      1) обучение и содействие: уполномоченная организация обеспечивает коммуникацию с представителями держателя регистрационного удостоверения (на собрании) с целью обобщения выявленных несоответствий, разъяснения законодательных требований и ожиданий уполномоченного органа, рассмотрения корректирующих и предупреждающих мероприятий, предлагаемых держателем регистрационного удостоверения;</w:t>
      </w:r>
    </w:p>
    <w:bookmarkEnd w:id="6825"/>
    <w:bookmarkStart w:name="z6995" w:id="6826"/>
    <w:p>
      <w:pPr>
        <w:spacing w:after="0"/>
        <w:ind w:left="0"/>
        <w:jc w:val="both"/>
      </w:pPr>
      <w:r>
        <w:rPr>
          <w:rFonts w:ascii="Times New Roman"/>
          <w:b w:val="false"/>
          <w:i w:val="false"/>
          <w:color w:val="000000"/>
          <w:sz w:val="28"/>
        </w:rPr>
        <w:t>
      2) представление информации уполномоченным органам других стран в рамках договоренностей по обеспечению конфиденциальности;</w:t>
      </w:r>
    </w:p>
    <w:bookmarkEnd w:id="6826"/>
    <w:bookmarkStart w:name="z6996" w:id="6827"/>
    <w:p>
      <w:pPr>
        <w:spacing w:after="0"/>
        <w:ind w:left="0"/>
        <w:jc w:val="both"/>
      </w:pPr>
      <w:r>
        <w:rPr>
          <w:rFonts w:ascii="Times New Roman"/>
          <w:b w:val="false"/>
          <w:i w:val="false"/>
          <w:color w:val="000000"/>
          <w:sz w:val="28"/>
        </w:rPr>
        <w:t>
      3) инспекция: инспектирование держателей регистрационного удостоверения, не соблюдающих обязательства (не выполняющих требования), проводится с целью определения степени несоблюдения (невыполнения) действующего законодательства Республики Казахстан и в последующем с целью подтверждения соблюдения (выполнения) законодательных требований;</w:t>
      </w:r>
    </w:p>
    <w:bookmarkEnd w:id="6827"/>
    <w:bookmarkStart w:name="z6997" w:id="6828"/>
    <w:p>
      <w:pPr>
        <w:spacing w:after="0"/>
        <w:ind w:left="0"/>
        <w:jc w:val="both"/>
      </w:pPr>
      <w:r>
        <w:rPr>
          <w:rFonts w:ascii="Times New Roman"/>
          <w:b w:val="false"/>
          <w:i w:val="false"/>
          <w:color w:val="000000"/>
          <w:sz w:val="28"/>
        </w:rPr>
        <w:t xml:space="preserve">
      4) письмо-предупреждение, заявление о несоблюдении (невыполнении) или уведомление о нарушении: эти документы выдаются уполномоченным органом с указанием нарушенного законодательного документа или руководства с целью напомнить держателю регистрационного удостоверения о его обязательствах по фармаконадзору или предпринимаемых держателем регистрационного удостоверения мерах, сроков, установленных для устранения несоответствий (нарушений), чтобы предотвратить дальнейшие несоответствия (нарушения); </w:t>
      </w:r>
    </w:p>
    <w:bookmarkEnd w:id="6828"/>
    <w:bookmarkStart w:name="z6998" w:id="6829"/>
    <w:p>
      <w:pPr>
        <w:spacing w:after="0"/>
        <w:ind w:left="0"/>
        <w:jc w:val="both"/>
      </w:pPr>
      <w:r>
        <w:rPr>
          <w:rFonts w:ascii="Times New Roman"/>
          <w:b w:val="false"/>
          <w:i w:val="false"/>
          <w:color w:val="000000"/>
          <w:sz w:val="28"/>
        </w:rPr>
        <w:t>
      5) уполномоченный орган опубликовывает списки держателей регистрационного удостоверения, серьезно или постоянно нарушающих требования действующего законодательства Республики Казахстан по фармаконадзору;</w:t>
      </w:r>
    </w:p>
    <w:bookmarkEnd w:id="6829"/>
    <w:bookmarkStart w:name="z6999" w:id="6830"/>
    <w:p>
      <w:pPr>
        <w:spacing w:after="0"/>
        <w:ind w:left="0"/>
        <w:jc w:val="both"/>
      </w:pPr>
      <w:r>
        <w:rPr>
          <w:rFonts w:ascii="Times New Roman"/>
          <w:b w:val="false"/>
          <w:i w:val="false"/>
          <w:color w:val="000000"/>
          <w:sz w:val="28"/>
        </w:rPr>
        <w:t>
      6) действия в отношении удостоверения о государственной регистрации или заявления на государственную регистрацию, как правило:</w:t>
      </w:r>
    </w:p>
    <w:bookmarkEnd w:id="6830"/>
    <w:bookmarkStart w:name="z7000" w:id="6831"/>
    <w:p>
      <w:pPr>
        <w:spacing w:after="0"/>
        <w:ind w:left="0"/>
        <w:jc w:val="both"/>
      </w:pPr>
      <w:r>
        <w:rPr>
          <w:rFonts w:ascii="Times New Roman"/>
          <w:b w:val="false"/>
          <w:i w:val="false"/>
          <w:color w:val="000000"/>
          <w:sz w:val="28"/>
        </w:rPr>
        <w:t>
      экстренное введение ограничений, связанных с профилем безопасности лекарственного препарата;</w:t>
      </w:r>
    </w:p>
    <w:bookmarkEnd w:id="6831"/>
    <w:bookmarkStart w:name="z7001" w:id="6832"/>
    <w:p>
      <w:pPr>
        <w:spacing w:after="0"/>
        <w:ind w:left="0"/>
        <w:jc w:val="both"/>
      </w:pPr>
      <w:r>
        <w:rPr>
          <w:rFonts w:ascii="Times New Roman"/>
          <w:b w:val="false"/>
          <w:i w:val="false"/>
          <w:color w:val="000000"/>
          <w:sz w:val="28"/>
        </w:rPr>
        <w:t>
      приостановка или аннулирование удостоверения о государственной регистрации;</w:t>
      </w:r>
    </w:p>
    <w:bookmarkEnd w:id="6832"/>
    <w:bookmarkStart w:name="z7002" w:id="6833"/>
    <w:p>
      <w:pPr>
        <w:spacing w:after="0"/>
        <w:ind w:left="0"/>
        <w:jc w:val="both"/>
      </w:pPr>
      <w:r>
        <w:rPr>
          <w:rFonts w:ascii="Times New Roman"/>
          <w:b w:val="false"/>
          <w:i w:val="false"/>
          <w:color w:val="000000"/>
          <w:sz w:val="28"/>
        </w:rPr>
        <w:t>
      приостановка рассмотрения новых заявлений на получение удостоверения о государственной регистрации до реализации корректирующих и предупреждающих мероприятий;</w:t>
      </w:r>
    </w:p>
    <w:bookmarkEnd w:id="6833"/>
    <w:bookmarkStart w:name="z7003" w:id="6834"/>
    <w:p>
      <w:pPr>
        <w:spacing w:after="0"/>
        <w:ind w:left="0"/>
        <w:jc w:val="both"/>
      </w:pPr>
      <w:r>
        <w:rPr>
          <w:rFonts w:ascii="Times New Roman"/>
          <w:b w:val="false"/>
          <w:i w:val="false"/>
          <w:color w:val="000000"/>
          <w:sz w:val="28"/>
        </w:rPr>
        <w:t>
      назначение дорегистрационных инспекций системы фармаконадзора;</w:t>
      </w:r>
    </w:p>
    <w:bookmarkEnd w:id="6834"/>
    <w:bookmarkStart w:name="z7004" w:id="6835"/>
    <w:p>
      <w:pPr>
        <w:spacing w:after="0"/>
        <w:ind w:left="0"/>
        <w:jc w:val="both"/>
      </w:pPr>
      <w:r>
        <w:rPr>
          <w:rFonts w:ascii="Times New Roman"/>
          <w:b w:val="false"/>
          <w:i w:val="false"/>
          <w:color w:val="000000"/>
          <w:sz w:val="28"/>
        </w:rPr>
        <w:t xml:space="preserve">
      7) отзывы лекарственных препаратов (в случае, если в информацию о лекарственном препарате не включены очень важные предупреждения по безопасности); </w:t>
      </w:r>
    </w:p>
    <w:bookmarkEnd w:id="6835"/>
    <w:bookmarkStart w:name="z7005" w:id="6836"/>
    <w:p>
      <w:pPr>
        <w:spacing w:after="0"/>
        <w:ind w:left="0"/>
        <w:jc w:val="both"/>
      </w:pPr>
      <w:r>
        <w:rPr>
          <w:rFonts w:ascii="Times New Roman"/>
          <w:b w:val="false"/>
          <w:i w:val="false"/>
          <w:color w:val="000000"/>
          <w:sz w:val="28"/>
        </w:rPr>
        <w:t>
      8) действия, связанные с маркетинговой или рекламной информацией;</w:t>
      </w:r>
    </w:p>
    <w:bookmarkEnd w:id="6836"/>
    <w:bookmarkStart w:name="z7006" w:id="6837"/>
    <w:p>
      <w:pPr>
        <w:spacing w:after="0"/>
        <w:ind w:left="0"/>
        <w:jc w:val="both"/>
      </w:pPr>
      <w:r>
        <w:rPr>
          <w:rFonts w:ascii="Times New Roman"/>
          <w:b w:val="false"/>
          <w:i w:val="false"/>
          <w:color w:val="000000"/>
          <w:sz w:val="28"/>
        </w:rPr>
        <w:t>
      9) внесение поправок в протоколы или приостановка клинических исследований (испытаний) в случае выявления изменений профиля безопасности конкретного лекарственного препарата;</w:t>
      </w:r>
    </w:p>
    <w:bookmarkEnd w:id="6837"/>
    <w:bookmarkStart w:name="z7007" w:id="6838"/>
    <w:p>
      <w:pPr>
        <w:spacing w:after="0"/>
        <w:ind w:left="0"/>
        <w:jc w:val="both"/>
      </w:pPr>
      <w:r>
        <w:rPr>
          <w:rFonts w:ascii="Times New Roman"/>
          <w:b w:val="false"/>
          <w:i w:val="false"/>
          <w:color w:val="000000"/>
          <w:sz w:val="28"/>
        </w:rPr>
        <w:t>
      10) административные штрафы, как правило, фиксированные или основанные на прибыли компании штрафы, или взимаемые ежедневно.</w:t>
      </w:r>
    </w:p>
    <w:bookmarkEnd w:id="6838"/>
    <w:bookmarkStart w:name="z7008" w:id="6839"/>
    <w:p>
      <w:pPr>
        <w:spacing w:after="0"/>
        <w:ind w:left="0"/>
        <w:jc w:val="left"/>
      </w:pPr>
      <w:r>
        <w:rPr>
          <w:rFonts w:ascii="Times New Roman"/>
          <w:b/>
          <w:i w:val="false"/>
          <w:color w:val="000000"/>
        </w:rPr>
        <w:t xml:space="preserve"> Глава 25. Квалификация и обучение инспекторов</w:t>
      </w:r>
    </w:p>
    <w:bookmarkEnd w:id="6839"/>
    <w:bookmarkStart w:name="z7009" w:id="6840"/>
    <w:p>
      <w:pPr>
        <w:spacing w:after="0"/>
        <w:ind w:left="0"/>
        <w:jc w:val="both"/>
      </w:pPr>
      <w:r>
        <w:rPr>
          <w:rFonts w:ascii="Times New Roman"/>
          <w:b w:val="false"/>
          <w:i w:val="false"/>
          <w:color w:val="000000"/>
          <w:sz w:val="28"/>
        </w:rPr>
        <w:t>
      137. Инспектора, участвующие в проведении инспекции систем фармаконадзора, являются специалистами уполномоченного органа, или уполномоченной организации. Назначение инспекторов основывается на их опыте и минимальных требованиях, определенных уполномоченным органом. Инспектора проходят обучение в объеме, необходимом для обеспечения их компетентности в областях, необходимых для подготовки и проведения инспекций и отчета о них. Инспектора проходят обучение процессам и требованиям фармаконадзора таким образом, чтобы иметь способность, в случае если не располагают соответствующим опытом, оценить различные аспекты системы фармаконадзора.</w:t>
      </w:r>
    </w:p>
    <w:bookmarkEnd w:id="6840"/>
    <w:bookmarkStart w:name="z7010" w:id="6841"/>
    <w:p>
      <w:pPr>
        <w:spacing w:after="0"/>
        <w:ind w:left="0"/>
        <w:jc w:val="both"/>
      </w:pPr>
      <w:r>
        <w:rPr>
          <w:rFonts w:ascii="Times New Roman"/>
          <w:b w:val="false"/>
          <w:i w:val="false"/>
          <w:color w:val="000000"/>
          <w:sz w:val="28"/>
        </w:rPr>
        <w:t>
      138. Качество процесса инспекции системы фармаконадзора регулируется уполномоченным органом, входит в число вопросов, на которые распространяется система качества системы фармаконадзора уполномоченного органа и подлежит аудиту.</w:t>
      </w:r>
    </w:p>
    <w:bookmarkEnd w:id="6841"/>
    <w:bookmarkStart w:name="z7011" w:id="6842"/>
    <w:p>
      <w:pPr>
        <w:spacing w:after="0"/>
        <w:ind w:left="0"/>
        <w:jc w:val="left"/>
      </w:pPr>
      <w:r>
        <w:rPr>
          <w:rFonts w:ascii="Times New Roman"/>
          <w:b/>
          <w:i w:val="false"/>
          <w:color w:val="000000"/>
        </w:rPr>
        <w:t xml:space="preserve"> Глава 26. Сотрудничество в рамках фармаконадзора</w:t>
      </w:r>
    </w:p>
    <w:bookmarkEnd w:id="6842"/>
    <w:bookmarkStart w:name="z7012" w:id="6843"/>
    <w:p>
      <w:pPr>
        <w:spacing w:after="0"/>
        <w:ind w:left="0"/>
        <w:jc w:val="both"/>
      </w:pPr>
      <w:r>
        <w:rPr>
          <w:rFonts w:ascii="Times New Roman"/>
          <w:b w:val="false"/>
          <w:i w:val="false"/>
          <w:color w:val="000000"/>
          <w:sz w:val="28"/>
        </w:rPr>
        <w:t>
      139. Уполномоченный орган сотрудничает с целью облегчения обмена информацией по инспекциям системы фармаконадзора, в частности:</w:t>
      </w:r>
    </w:p>
    <w:bookmarkEnd w:id="6843"/>
    <w:bookmarkStart w:name="z7013" w:id="6844"/>
    <w:p>
      <w:pPr>
        <w:spacing w:after="0"/>
        <w:ind w:left="0"/>
        <w:jc w:val="both"/>
      </w:pPr>
      <w:r>
        <w:rPr>
          <w:rFonts w:ascii="Times New Roman"/>
          <w:b w:val="false"/>
          <w:i w:val="false"/>
          <w:color w:val="000000"/>
          <w:sz w:val="28"/>
        </w:rPr>
        <w:t xml:space="preserve">
      1) информацией об инспекциях, запланированных и проведенных уполномочеными органами других стран с целью оптимизации использования инспекционных ресурсов; </w:t>
      </w:r>
    </w:p>
    <w:bookmarkEnd w:id="6844"/>
    <w:bookmarkStart w:name="z7014" w:id="6845"/>
    <w:p>
      <w:pPr>
        <w:spacing w:after="0"/>
        <w:ind w:left="0"/>
        <w:jc w:val="both"/>
      </w:pPr>
      <w:r>
        <w:rPr>
          <w:rFonts w:ascii="Times New Roman"/>
          <w:b w:val="false"/>
          <w:i w:val="false"/>
          <w:color w:val="000000"/>
          <w:sz w:val="28"/>
        </w:rPr>
        <w:t>
      2) информацией об объеме инспекции с тем, чтобы наметить будущие инспекции;</w:t>
      </w:r>
    </w:p>
    <w:bookmarkEnd w:id="6845"/>
    <w:bookmarkStart w:name="z7015" w:id="6846"/>
    <w:p>
      <w:pPr>
        <w:spacing w:after="0"/>
        <w:ind w:left="0"/>
        <w:jc w:val="both"/>
      </w:pPr>
      <w:r>
        <w:rPr>
          <w:rFonts w:ascii="Times New Roman"/>
          <w:b w:val="false"/>
          <w:i w:val="false"/>
          <w:color w:val="000000"/>
          <w:sz w:val="28"/>
        </w:rPr>
        <w:t>
      3) информацией о результатах инспекции, в частности в том случае, когда результатом является выявление факта невыполнения держателем регистрационного удостоверения требований действующего законодательства Республики Казахстан по фармаконадзору и настоящего Стандарта. Уполномоченный орган обменивается информацией о критических и (или) существенных выявленных недостатках и кратком изложении корректирующих и предупреждающих мероприятий и их дальнейшим контролем.</w:t>
      </w:r>
    </w:p>
    <w:bookmarkEnd w:id="6846"/>
    <w:bookmarkStart w:name="z7016" w:id="6847"/>
    <w:p>
      <w:pPr>
        <w:spacing w:after="0"/>
        <w:ind w:left="0"/>
        <w:jc w:val="left"/>
      </w:pPr>
      <w:r>
        <w:rPr>
          <w:rFonts w:ascii="Times New Roman"/>
          <w:b/>
          <w:i w:val="false"/>
          <w:color w:val="000000"/>
        </w:rPr>
        <w:t xml:space="preserve"> Глава 27. Роль держателя регистрационного удостоверения и инспекционные сборы</w:t>
      </w:r>
    </w:p>
    <w:bookmarkEnd w:id="6847"/>
    <w:bookmarkStart w:name="z7017" w:id="6848"/>
    <w:p>
      <w:pPr>
        <w:spacing w:after="0"/>
        <w:ind w:left="0"/>
        <w:jc w:val="both"/>
      </w:pPr>
      <w:r>
        <w:rPr>
          <w:rFonts w:ascii="Times New Roman"/>
          <w:b w:val="false"/>
          <w:i w:val="false"/>
          <w:color w:val="000000"/>
          <w:sz w:val="28"/>
        </w:rPr>
        <w:t xml:space="preserve">
      140. Держатель регистрационного удостоверения, имеющий зарегистрированные на территории Республики Казахстан лекарственные препараты, подлежит инспекции системы фармаконадзора. </w:t>
      </w:r>
    </w:p>
    <w:bookmarkEnd w:id="6848"/>
    <w:bookmarkStart w:name="z7018" w:id="6849"/>
    <w:p>
      <w:pPr>
        <w:spacing w:after="0"/>
        <w:ind w:left="0"/>
        <w:jc w:val="both"/>
      </w:pPr>
      <w:r>
        <w:rPr>
          <w:rFonts w:ascii="Times New Roman"/>
          <w:b w:val="false"/>
          <w:i w:val="false"/>
          <w:color w:val="000000"/>
          <w:sz w:val="28"/>
        </w:rPr>
        <w:t>
      Держатель регистрационного удостоверения:</w:t>
      </w:r>
    </w:p>
    <w:bookmarkEnd w:id="6849"/>
    <w:bookmarkStart w:name="z7019" w:id="6850"/>
    <w:p>
      <w:pPr>
        <w:spacing w:after="0"/>
        <w:ind w:left="0"/>
        <w:jc w:val="both"/>
      </w:pPr>
      <w:r>
        <w:rPr>
          <w:rFonts w:ascii="Times New Roman"/>
          <w:b w:val="false"/>
          <w:i w:val="false"/>
          <w:color w:val="000000"/>
          <w:sz w:val="28"/>
        </w:rPr>
        <w:t>
      1) всегда готов к инспекции, так как инспекции бывают внезапными;</w:t>
      </w:r>
    </w:p>
    <w:bookmarkEnd w:id="6850"/>
    <w:bookmarkStart w:name="z7020" w:id="6851"/>
    <w:p>
      <w:pPr>
        <w:spacing w:after="0"/>
        <w:ind w:left="0"/>
        <w:jc w:val="both"/>
      </w:pPr>
      <w:r>
        <w:rPr>
          <w:rFonts w:ascii="Times New Roman"/>
          <w:b w:val="false"/>
          <w:i w:val="false"/>
          <w:color w:val="000000"/>
          <w:sz w:val="28"/>
        </w:rPr>
        <w:t>
      2) ведет и представляет по требованию инспекторов не позднее чем через 7 календарных дней после получения запроса, мастер-файл системы фармаконадзора;</w:t>
      </w:r>
    </w:p>
    <w:bookmarkEnd w:id="6851"/>
    <w:bookmarkStart w:name="z7021" w:id="6852"/>
    <w:p>
      <w:pPr>
        <w:spacing w:after="0"/>
        <w:ind w:left="0"/>
        <w:jc w:val="both"/>
      </w:pPr>
      <w:r>
        <w:rPr>
          <w:rFonts w:ascii="Times New Roman"/>
          <w:b w:val="false"/>
          <w:i w:val="false"/>
          <w:color w:val="000000"/>
          <w:sz w:val="28"/>
        </w:rPr>
        <w:t>
      3) гарантирует получение согласия до начала инспекции на проведение инспекции от объектов, выбранных для инспекции, к которым относятся организации, выполняющие функции по фармаконадзору на контрактной основе по договору с держателем регистрационного удостоверения;</w:t>
      </w:r>
    </w:p>
    <w:bookmarkEnd w:id="6852"/>
    <w:bookmarkStart w:name="z7022" w:id="6853"/>
    <w:p>
      <w:pPr>
        <w:spacing w:after="0"/>
        <w:ind w:left="0"/>
        <w:jc w:val="both"/>
      </w:pPr>
      <w:r>
        <w:rPr>
          <w:rFonts w:ascii="Times New Roman"/>
          <w:b w:val="false"/>
          <w:i w:val="false"/>
          <w:color w:val="000000"/>
          <w:sz w:val="28"/>
        </w:rPr>
        <w:t>
      4) предоставляет инспекторам любую информацию и (или) документацию, необходимую для подготовки к инспекции в установленные сроки или во время проведения инспекции;</w:t>
      </w:r>
    </w:p>
    <w:bookmarkEnd w:id="6853"/>
    <w:bookmarkStart w:name="z7023" w:id="6854"/>
    <w:p>
      <w:pPr>
        <w:spacing w:after="0"/>
        <w:ind w:left="0"/>
        <w:jc w:val="both"/>
      </w:pPr>
      <w:r>
        <w:rPr>
          <w:rFonts w:ascii="Times New Roman"/>
          <w:b w:val="false"/>
          <w:i w:val="false"/>
          <w:color w:val="000000"/>
          <w:sz w:val="28"/>
        </w:rPr>
        <w:t>
      5) гарантирует присутствие во время инспекции соответствующего персонала, участвующего в деятельности по фармаконадзору или взаимосвязанной деятельности, с целью представления разъяснений по возникающим вопросам;</w:t>
      </w:r>
    </w:p>
    <w:bookmarkEnd w:id="6854"/>
    <w:bookmarkStart w:name="z7024" w:id="6855"/>
    <w:p>
      <w:pPr>
        <w:spacing w:after="0"/>
        <w:ind w:left="0"/>
        <w:jc w:val="both"/>
      </w:pPr>
      <w:r>
        <w:rPr>
          <w:rFonts w:ascii="Times New Roman"/>
          <w:b w:val="false"/>
          <w:i w:val="false"/>
          <w:color w:val="000000"/>
          <w:sz w:val="28"/>
        </w:rPr>
        <w:t>
      6) гарантирует надлежащее и своевременное выполнение планов корректирующих и предупреждающих мероприятий для устранения выявленных во время инспекции недостатков (несоответствий) с установлением приоритетов по критическим и (или) существенным недостаткам (несоответствиям).</w:t>
      </w:r>
    </w:p>
    <w:bookmarkEnd w:id="6855"/>
    <w:bookmarkStart w:name="z7025" w:id="6856"/>
    <w:p>
      <w:pPr>
        <w:spacing w:after="0"/>
        <w:ind w:left="0"/>
        <w:jc w:val="both"/>
      </w:pPr>
      <w:r>
        <w:rPr>
          <w:rFonts w:ascii="Times New Roman"/>
          <w:b w:val="false"/>
          <w:i w:val="false"/>
          <w:color w:val="000000"/>
          <w:sz w:val="28"/>
        </w:rPr>
        <w:t>
      141. Сбор за проведение инспекции взимается согласно регулированию вопроса взимания сборов за выполнение инспекции в рамках действующего законодательства Республики Казахстан.</w:t>
      </w:r>
    </w:p>
    <w:bookmarkEnd w:id="6856"/>
    <w:bookmarkStart w:name="z7026" w:id="6857"/>
    <w:p>
      <w:pPr>
        <w:spacing w:after="0"/>
        <w:ind w:left="0"/>
        <w:jc w:val="left"/>
      </w:pPr>
      <w:r>
        <w:rPr>
          <w:rFonts w:ascii="Times New Roman"/>
          <w:b/>
          <w:i w:val="false"/>
          <w:color w:val="000000"/>
        </w:rPr>
        <w:t xml:space="preserve"> Раздел III. Аудит системы фармаконадзора</w:t>
      </w:r>
    </w:p>
    <w:bookmarkEnd w:id="6857"/>
    <w:bookmarkStart w:name="z7027" w:id="6858"/>
    <w:p>
      <w:pPr>
        <w:spacing w:after="0"/>
        <w:ind w:left="0"/>
        <w:jc w:val="left"/>
      </w:pPr>
      <w:r>
        <w:rPr>
          <w:rFonts w:ascii="Times New Roman"/>
          <w:b/>
          <w:i w:val="false"/>
          <w:color w:val="000000"/>
        </w:rPr>
        <w:t xml:space="preserve"> Глава 28. Структуры и процессы</w:t>
      </w:r>
    </w:p>
    <w:bookmarkEnd w:id="6858"/>
    <w:bookmarkStart w:name="z7028" w:id="6859"/>
    <w:p>
      <w:pPr>
        <w:spacing w:after="0"/>
        <w:ind w:left="0"/>
        <w:jc w:val="left"/>
      </w:pPr>
      <w:r>
        <w:rPr>
          <w:rFonts w:ascii="Times New Roman"/>
          <w:b/>
          <w:i w:val="false"/>
          <w:color w:val="000000"/>
        </w:rPr>
        <w:t xml:space="preserve"> Параграф 1. Аудит системы фармаконадзора и его цели</w:t>
      </w:r>
    </w:p>
    <w:bookmarkEnd w:id="6859"/>
    <w:bookmarkStart w:name="z7029" w:id="6860"/>
    <w:p>
      <w:pPr>
        <w:spacing w:after="0"/>
        <w:ind w:left="0"/>
        <w:jc w:val="both"/>
      </w:pPr>
      <w:r>
        <w:rPr>
          <w:rFonts w:ascii="Times New Roman"/>
          <w:b w:val="false"/>
          <w:i w:val="false"/>
          <w:color w:val="000000"/>
          <w:sz w:val="28"/>
        </w:rPr>
        <w:t>
      142. Целью проведения аудита системы 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 фактов, включая систему качества системы фармаконадзора.</w:t>
      </w:r>
    </w:p>
    <w:bookmarkEnd w:id="6860"/>
    <w:bookmarkStart w:name="z7030" w:id="6861"/>
    <w:p>
      <w:pPr>
        <w:spacing w:after="0"/>
        <w:ind w:left="0"/>
        <w:jc w:val="both"/>
      </w:pPr>
      <w:r>
        <w:rPr>
          <w:rFonts w:ascii="Times New Roman"/>
          <w:b w:val="false"/>
          <w:i w:val="false"/>
          <w:color w:val="000000"/>
          <w:sz w:val="28"/>
        </w:rPr>
        <w:t>
      143. Аудит представляет собой систематический, упорядоченный, независимый и документированный процесс получения и объективной оценки фактов, характеризующих работу системы фармаконадзора, с целью определения степени выполнения критериев аудита, способствующих улучшению процессов управления рисками, контроля и управления процессами. Аудиторские факты состоят из записей, документальных подтверждений или иной информации, имеющей отношение к критериям аудита и поддающейся проверке. Критерии аудита отражают стандарты выполнения и контроля деятельности, по отношению к которым выполняется оценка проверяемой стороны и ее деятельности. Применительно к системе фармаконадзора критерии аудита отражают требования, предъявляемые к системе фармаконадзора, в том числе его системе качества, выполняемых процедур по фармаконадзору, определяемых требованиями действующего законодательства Республики Казахстан по фармаконадзору и настоящего Стандарта.</w:t>
      </w:r>
    </w:p>
    <w:bookmarkEnd w:id="6861"/>
    <w:bookmarkStart w:name="z7031" w:id="6862"/>
    <w:p>
      <w:pPr>
        <w:spacing w:after="0"/>
        <w:ind w:left="0"/>
        <w:jc w:val="both"/>
      </w:pPr>
      <w:r>
        <w:rPr>
          <w:rFonts w:ascii="Times New Roman"/>
          <w:b w:val="false"/>
          <w:i w:val="false"/>
          <w:color w:val="000000"/>
          <w:sz w:val="28"/>
        </w:rPr>
        <w:t>
      144. Основанный на рисках подход к аудитам системы фармаконадзора является подход, использующий методы определения области риска. Под риском понимается вероятность наступления события, оказывающая влияние на достижение поставленных целей с учетом серьезности его последствий и (или) вероятности не обнаружения другими методами. Основанный на риске подход к аудитам ориентирован на области самого высокого риска для системы фармаконадзора организации, в том числе системы качества системы фармаконадзора. В контексте фармаконадзора, первостепенное значение имеет риск причинения вреда здоровью населения. Риск оценивается на следующих этапах:</w:t>
      </w:r>
    </w:p>
    <w:bookmarkEnd w:id="6862"/>
    <w:bookmarkStart w:name="z7032" w:id="6863"/>
    <w:p>
      <w:pPr>
        <w:spacing w:after="0"/>
        <w:ind w:left="0"/>
        <w:jc w:val="both"/>
      </w:pPr>
      <w:r>
        <w:rPr>
          <w:rFonts w:ascii="Times New Roman"/>
          <w:b w:val="false"/>
          <w:i w:val="false"/>
          <w:color w:val="000000"/>
          <w:sz w:val="28"/>
        </w:rPr>
        <w:t>
      1) планирование аудита на стратегическом уровне, результатом которого является стратегия аудита (долгосрочный подход), утверждаемая высшим руководством;</w:t>
      </w:r>
    </w:p>
    <w:bookmarkEnd w:id="6863"/>
    <w:bookmarkStart w:name="z7033" w:id="6864"/>
    <w:p>
      <w:pPr>
        <w:spacing w:after="0"/>
        <w:ind w:left="0"/>
        <w:jc w:val="both"/>
      </w:pPr>
      <w:r>
        <w:rPr>
          <w:rFonts w:ascii="Times New Roman"/>
          <w:b w:val="false"/>
          <w:i w:val="false"/>
          <w:color w:val="000000"/>
          <w:sz w:val="28"/>
        </w:rPr>
        <w:t>
      2) планирование аудита на тактическом уровне, результатом которого является программа аудита, установление целей аудита, а также области распространения аудита;</w:t>
      </w:r>
    </w:p>
    <w:bookmarkEnd w:id="6864"/>
    <w:bookmarkStart w:name="z7034" w:id="6865"/>
    <w:p>
      <w:pPr>
        <w:spacing w:after="0"/>
        <w:ind w:left="0"/>
        <w:jc w:val="both"/>
      </w:pPr>
      <w:r>
        <w:rPr>
          <w:rFonts w:ascii="Times New Roman"/>
          <w:b w:val="false"/>
          <w:i w:val="false"/>
          <w:color w:val="000000"/>
          <w:sz w:val="28"/>
        </w:rPr>
        <w:t>
      3) планирование аудита на оперативном уровне, результатом которого является план аудита для отдельных аудиторских задач, определение приоритетов задач аудита на основании оценки рисков, использование методов выборочного исследования и тестирования, основанных на риске, отчетность по результатам аудитов в соответствии с относительным уровнем риска, а также рекомендации по аудиту.</w:t>
      </w:r>
    </w:p>
    <w:bookmarkEnd w:id="6865"/>
    <w:bookmarkStart w:name="z7035" w:id="6866"/>
    <w:p>
      <w:pPr>
        <w:spacing w:after="0"/>
        <w:ind w:left="0"/>
        <w:jc w:val="both"/>
      </w:pPr>
      <w:r>
        <w:rPr>
          <w:rFonts w:ascii="Times New Roman"/>
          <w:b w:val="false"/>
          <w:i w:val="false"/>
          <w:color w:val="000000"/>
          <w:sz w:val="28"/>
        </w:rPr>
        <w:t>
      Оценка риска документально подтверждается для стратегического, тактического и оперативного планирования аудиторской деятельности системы фармаконадзора в организации.</w:t>
      </w:r>
    </w:p>
    <w:bookmarkEnd w:id="6866"/>
    <w:bookmarkStart w:name="z7036" w:id="6867"/>
    <w:p>
      <w:pPr>
        <w:spacing w:after="0"/>
        <w:ind w:left="0"/>
        <w:jc w:val="left"/>
      </w:pPr>
      <w:r>
        <w:rPr>
          <w:rFonts w:ascii="Times New Roman"/>
          <w:b/>
          <w:i w:val="false"/>
          <w:color w:val="000000"/>
        </w:rPr>
        <w:t xml:space="preserve"> Параграф 2. Планирование аудита на стратегическом и на тактическом уровне</w:t>
      </w:r>
    </w:p>
    <w:bookmarkEnd w:id="6867"/>
    <w:bookmarkStart w:name="z7037" w:id="68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 Стратегия аудита представляет собой определение на высшем уровне планирования аудиторских мероприятий, запланированных на срок более одного года, как правило, на период 2-5 лет. Стратегия аудита включает достаточный перечень аудиторских проверок. Стратегия аудита используется для определения области, намеченной для проведения аудита, темы аудита, методов и допущений (включая оценку риска), на основании которых выполняется программа аудита.</w:t>
      </w:r>
    </w:p>
    <w:bookmarkEnd w:id="6868"/>
    <w:bookmarkStart w:name="z7039" w:id="6869"/>
    <w:p>
      <w:pPr>
        <w:spacing w:after="0"/>
        <w:ind w:left="0"/>
        <w:jc w:val="both"/>
      </w:pPr>
      <w:r>
        <w:rPr>
          <w:rFonts w:ascii="Times New Roman"/>
          <w:b w:val="false"/>
          <w:i w:val="false"/>
          <w:color w:val="000000"/>
          <w:sz w:val="28"/>
        </w:rPr>
        <w:t>
      146. Стратегия аудита охватывает организацию управления процессом, управление рисками и средства внутреннего контроля всех составляющих системы фармаконадзора, включая следующие:</w:t>
      </w:r>
    </w:p>
    <w:bookmarkEnd w:id="6869"/>
    <w:bookmarkStart w:name="z7040" w:id="6870"/>
    <w:p>
      <w:pPr>
        <w:spacing w:after="0"/>
        <w:ind w:left="0"/>
        <w:jc w:val="both"/>
      </w:pPr>
      <w:r>
        <w:rPr>
          <w:rFonts w:ascii="Times New Roman"/>
          <w:b w:val="false"/>
          <w:i w:val="false"/>
          <w:color w:val="000000"/>
          <w:sz w:val="28"/>
        </w:rPr>
        <w:t>
      1) все процессы и задачи системы фармаконадзора;</w:t>
      </w:r>
    </w:p>
    <w:bookmarkEnd w:id="6870"/>
    <w:bookmarkStart w:name="z7041" w:id="6871"/>
    <w:p>
      <w:pPr>
        <w:spacing w:after="0"/>
        <w:ind w:left="0"/>
        <w:jc w:val="both"/>
      </w:pPr>
      <w:r>
        <w:rPr>
          <w:rFonts w:ascii="Times New Roman"/>
          <w:b w:val="false"/>
          <w:i w:val="false"/>
          <w:color w:val="000000"/>
          <w:sz w:val="28"/>
        </w:rPr>
        <w:t>
      2) система качества деятельности в системе фармаконадзора;</w:t>
      </w:r>
    </w:p>
    <w:bookmarkEnd w:id="6871"/>
    <w:bookmarkStart w:name="z7042" w:id="6872"/>
    <w:p>
      <w:pPr>
        <w:spacing w:after="0"/>
        <w:ind w:left="0"/>
        <w:jc w:val="both"/>
      </w:pPr>
      <w:r>
        <w:rPr>
          <w:rFonts w:ascii="Times New Roman"/>
          <w:b w:val="false"/>
          <w:i w:val="false"/>
          <w:color w:val="000000"/>
          <w:sz w:val="28"/>
        </w:rPr>
        <w:t>
      3) взаимодействия и связующие звенья с другими подразделениями, в случае необходимости;</w:t>
      </w:r>
    </w:p>
    <w:bookmarkEnd w:id="6872"/>
    <w:bookmarkStart w:name="z7043" w:id="6873"/>
    <w:p>
      <w:pPr>
        <w:spacing w:after="0"/>
        <w:ind w:left="0"/>
        <w:jc w:val="both"/>
      </w:pPr>
      <w:r>
        <w:rPr>
          <w:rFonts w:ascii="Times New Roman"/>
          <w:b w:val="false"/>
          <w:i w:val="false"/>
          <w:color w:val="000000"/>
          <w:sz w:val="28"/>
        </w:rPr>
        <w:t>
      4) мероприятия по фармаконадзору, проводимые подчиненными организациями или делегированные другой организации (региональным центрам, представляющим информацию; филиалам держателя регистрационного удостоверения; третьим лицам, таким как подрядные организации и другие держатели регистрационного удостоверения).</w:t>
      </w:r>
    </w:p>
    <w:bookmarkEnd w:id="6873"/>
    <w:bookmarkStart w:name="z7044" w:id="6874"/>
    <w:p>
      <w:pPr>
        <w:spacing w:after="0"/>
        <w:ind w:left="0"/>
        <w:jc w:val="both"/>
      </w:pPr>
      <w:r>
        <w:rPr>
          <w:rFonts w:ascii="Times New Roman"/>
          <w:b w:val="false"/>
          <w:i w:val="false"/>
          <w:color w:val="000000"/>
          <w:sz w:val="28"/>
        </w:rPr>
        <w:t>
      147. Факторы риска, учитываемые при выполнении процедуры оценки риска, включают, но не ограничиваются следующими:</w:t>
      </w:r>
    </w:p>
    <w:bookmarkEnd w:id="6874"/>
    <w:bookmarkStart w:name="z7045" w:id="6875"/>
    <w:p>
      <w:pPr>
        <w:spacing w:after="0"/>
        <w:ind w:left="0"/>
        <w:jc w:val="both"/>
      </w:pPr>
      <w:r>
        <w:rPr>
          <w:rFonts w:ascii="Times New Roman"/>
          <w:b w:val="false"/>
          <w:i w:val="false"/>
          <w:color w:val="000000"/>
          <w:sz w:val="28"/>
        </w:rPr>
        <w:t>
      1) изменения в действующем законодательстве Республике Казахстан по фармаконадзору или настоящем Стандарте;</w:t>
      </w:r>
    </w:p>
    <w:bookmarkEnd w:id="6875"/>
    <w:bookmarkStart w:name="z7046" w:id="6876"/>
    <w:p>
      <w:pPr>
        <w:spacing w:after="0"/>
        <w:ind w:left="0"/>
        <w:jc w:val="both"/>
      </w:pPr>
      <w:r>
        <w:rPr>
          <w:rFonts w:ascii="Times New Roman"/>
          <w:b w:val="false"/>
          <w:i w:val="false"/>
          <w:color w:val="000000"/>
          <w:sz w:val="28"/>
        </w:rPr>
        <w:t>
      2) крупная реорганизация или другие преобразования системы фармаконадзора, слияния, приобретения;</w:t>
      </w:r>
    </w:p>
    <w:bookmarkEnd w:id="6876"/>
    <w:bookmarkStart w:name="z7047" w:id="6877"/>
    <w:p>
      <w:pPr>
        <w:spacing w:after="0"/>
        <w:ind w:left="0"/>
        <w:jc w:val="both"/>
      </w:pPr>
      <w:r>
        <w:rPr>
          <w:rFonts w:ascii="Times New Roman"/>
          <w:b w:val="false"/>
          <w:i w:val="false"/>
          <w:color w:val="000000"/>
          <w:sz w:val="28"/>
        </w:rPr>
        <w:t>
      3) изменение ключевых управленческих функций;</w:t>
      </w:r>
    </w:p>
    <w:bookmarkEnd w:id="6877"/>
    <w:bookmarkStart w:name="z7048" w:id="6878"/>
    <w:p>
      <w:pPr>
        <w:spacing w:after="0"/>
        <w:ind w:left="0"/>
        <w:jc w:val="both"/>
      </w:pPr>
      <w:r>
        <w:rPr>
          <w:rFonts w:ascii="Times New Roman"/>
          <w:b w:val="false"/>
          <w:i w:val="false"/>
          <w:color w:val="000000"/>
          <w:sz w:val="28"/>
        </w:rPr>
        <w:t>
      4) риск нехватки надлежащим образом подготовленных и опытных сотрудников фармаконадзора (ввиду значительной текучести персонала, недостатков в процессах обучения, реорганизации, увеличения объемов работ);</w:t>
      </w:r>
    </w:p>
    <w:bookmarkEnd w:id="6878"/>
    <w:bookmarkStart w:name="z7049" w:id="6879"/>
    <w:p>
      <w:pPr>
        <w:spacing w:after="0"/>
        <w:ind w:left="0"/>
        <w:jc w:val="both"/>
      </w:pPr>
      <w:r>
        <w:rPr>
          <w:rFonts w:ascii="Times New Roman"/>
          <w:b w:val="false"/>
          <w:i w:val="false"/>
          <w:color w:val="000000"/>
          <w:sz w:val="28"/>
        </w:rPr>
        <w:t>
      5) существенные изменения в системе фармаконадзора с момента предыдущего аудита (введение новой базы данных по деятельности по фармаконадзору или значительное обновление существующей базы данных, изменения процессов и видов деятельности с учетом новых или измененных требований действующего законодательства Республики Казахстан);</w:t>
      </w:r>
    </w:p>
    <w:bookmarkEnd w:id="6879"/>
    <w:bookmarkStart w:name="z7050" w:id="6880"/>
    <w:p>
      <w:pPr>
        <w:spacing w:after="0"/>
        <w:ind w:left="0"/>
        <w:jc w:val="both"/>
      </w:pPr>
      <w:r>
        <w:rPr>
          <w:rFonts w:ascii="Times New Roman"/>
          <w:b w:val="false"/>
          <w:i w:val="false"/>
          <w:color w:val="000000"/>
          <w:sz w:val="28"/>
        </w:rPr>
        <w:t>
      6) первый лекарственный препарат на рынке (для держателя регистрационного удостоверения);</w:t>
      </w:r>
    </w:p>
    <w:bookmarkEnd w:id="6880"/>
    <w:bookmarkStart w:name="z7051" w:id="6881"/>
    <w:p>
      <w:pPr>
        <w:spacing w:after="0"/>
        <w:ind w:left="0"/>
        <w:jc w:val="both"/>
      </w:pPr>
      <w:r>
        <w:rPr>
          <w:rFonts w:ascii="Times New Roman"/>
          <w:b w:val="false"/>
          <w:i w:val="false"/>
          <w:color w:val="000000"/>
          <w:sz w:val="28"/>
        </w:rPr>
        <w:t>
      7) лекарственный препарат на рынке с введенными мерами по минимизации рисков или другими условиями обращения, связанными с профилем безопасности лекарственных препаратов (назначение дополнительного мониторинга);</w:t>
      </w:r>
    </w:p>
    <w:bookmarkEnd w:id="6881"/>
    <w:bookmarkStart w:name="z7052" w:id="6882"/>
    <w:p>
      <w:pPr>
        <w:spacing w:after="0"/>
        <w:ind w:left="0"/>
        <w:jc w:val="both"/>
      </w:pPr>
      <w:r>
        <w:rPr>
          <w:rFonts w:ascii="Times New Roman"/>
          <w:b w:val="false"/>
          <w:i w:val="false"/>
          <w:color w:val="000000"/>
          <w:sz w:val="28"/>
        </w:rPr>
        <w:t>
      8) степень критичности процесса, как правило:</w:t>
      </w:r>
    </w:p>
    <w:bookmarkEnd w:id="6882"/>
    <w:bookmarkStart w:name="z7053" w:id="6883"/>
    <w:p>
      <w:pPr>
        <w:spacing w:after="0"/>
        <w:ind w:left="0"/>
        <w:jc w:val="both"/>
      </w:pPr>
      <w:r>
        <w:rPr>
          <w:rFonts w:ascii="Times New Roman"/>
          <w:b w:val="false"/>
          <w:i w:val="false"/>
          <w:color w:val="000000"/>
          <w:sz w:val="28"/>
        </w:rPr>
        <w:t>
      для уполномоченного органа: насколько критична область (процесс) по отношению к надлежащему функционированию системы фармаконадзора Республики Казахстан и общей цели системы здравоохранения;</w:t>
      </w:r>
    </w:p>
    <w:bookmarkEnd w:id="6883"/>
    <w:bookmarkStart w:name="z7054" w:id="6884"/>
    <w:p>
      <w:pPr>
        <w:spacing w:after="0"/>
        <w:ind w:left="0"/>
        <w:jc w:val="both"/>
      </w:pPr>
      <w:r>
        <w:rPr>
          <w:rFonts w:ascii="Times New Roman"/>
          <w:b w:val="false"/>
          <w:i w:val="false"/>
          <w:color w:val="000000"/>
          <w:sz w:val="28"/>
        </w:rPr>
        <w:t>
      для держателя регистрационного удостоверения: насколько критична область (процесс) по отношению к надлежащему функционированию системы фармаконадзора. При принятии решения о проведении аудита филиала или третьего лица, держатель регистрационного удостоверения учитывает характер и критичность мероприятий по фармаконадзору, проводимых филиалом или третьей стороной от имени держателя регистрационного удостоверения, помимо учета других факторов, включенных в этот список;</w:t>
      </w:r>
    </w:p>
    <w:bookmarkEnd w:id="6884"/>
    <w:bookmarkStart w:name="z7055" w:id="6885"/>
    <w:p>
      <w:pPr>
        <w:spacing w:after="0"/>
        <w:ind w:left="0"/>
        <w:jc w:val="both"/>
      </w:pPr>
      <w:r>
        <w:rPr>
          <w:rFonts w:ascii="Times New Roman"/>
          <w:b w:val="false"/>
          <w:i w:val="false"/>
          <w:color w:val="000000"/>
          <w:sz w:val="28"/>
        </w:rPr>
        <w:t>
      9) результаты предыдущих аудитов (наличие предыдущих аудитов этой области (процесса), результаты предыдущего аудита);</w:t>
      </w:r>
    </w:p>
    <w:bookmarkEnd w:id="6885"/>
    <w:bookmarkStart w:name="z7056" w:id="6886"/>
    <w:p>
      <w:pPr>
        <w:spacing w:after="0"/>
        <w:ind w:left="0"/>
        <w:jc w:val="both"/>
      </w:pPr>
      <w:r>
        <w:rPr>
          <w:rFonts w:ascii="Times New Roman"/>
          <w:b w:val="false"/>
          <w:i w:val="false"/>
          <w:color w:val="000000"/>
          <w:sz w:val="28"/>
        </w:rPr>
        <w:t>
      10) выявленные процедурные недостатки (несоответствия), касающиеся конкретных областей деятельности (процессов);</w:t>
      </w:r>
    </w:p>
    <w:bookmarkEnd w:id="6886"/>
    <w:bookmarkStart w:name="z7057" w:id="6887"/>
    <w:p>
      <w:pPr>
        <w:spacing w:after="0"/>
        <w:ind w:left="0"/>
        <w:jc w:val="both"/>
      </w:pPr>
      <w:r>
        <w:rPr>
          <w:rFonts w:ascii="Times New Roman"/>
          <w:b w:val="false"/>
          <w:i w:val="false"/>
          <w:color w:val="000000"/>
          <w:sz w:val="28"/>
        </w:rPr>
        <w:t>
      11) другие организационные изменения, негативно отражающиеся на области деятельности (процессе), в частности, изменение вспомогательной функции (такой как информационно-технологическая поддержка) негативно сказывается на деятельности по фармаконадзору.</w:t>
      </w:r>
    </w:p>
    <w:bookmarkEnd w:id="6887"/>
    <w:bookmarkStart w:name="z7058" w:id="6888"/>
    <w:p>
      <w:pPr>
        <w:spacing w:after="0"/>
        <w:ind w:left="0"/>
        <w:jc w:val="both"/>
      </w:pPr>
      <w:r>
        <w:rPr>
          <w:rFonts w:ascii="Times New Roman"/>
          <w:b w:val="false"/>
          <w:i w:val="false"/>
          <w:color w:val="000000"/>
          <w:sz w:val="28"/>
        </w:rPr>
        <w:t>
      148. Программа аудита представляет собой перечень аудитов, состоящий из одного или нескольких аудитов, запланированных на конкретный срок, обычно на один год. Подготовка программы аудитов осуществляется в соответствии с долгосрочной стратегией аудита. Программа аудита утверждается высшим руководством.</w:t>
      </w:r>
    </w:p>
    <w:bookmarkEnd w:id="6888"/>
    <w:bookmarkStart w:name="z7059" w:id="6889"/>
    <w:p>
      <w:pPr>
        <w:spacing w:after="0"/>
        <w:ind w:left="0"/>
        <w:jc w:val="both"/>
      </w:pPr>
      <w:r>
        <w:rPr>
          <w:rFonts w:ascii="Times New Roman"/>
          <w:b w:val="false"/>
          <w:i w:val="false"/>
          <w:color w:val="000000"/>
          <w:sz w:val="28"/>
        </w:rPr>
        <w:t>
      149. Основанная на риске программа аудита основывается на надлежащей оценке рисков и ориентируется на оценку следующих аспектов:</w:t>
      </w:r>
    </w:p>
    <w:bookmarkEnd w:id="6889"/>
    <w:bookmarkStart w:name="z7060" w:id="6890"/>
    <w:p>
      <w:pPr>
        <w:spacing w:after="0"/>
        <w:ind w:left="0"/>
        <w:jc w:val="both"/>
      </w:pPr>
      <w:r>
        <w:rPr>
          <w:rFonts w:ascii="Times New Roman"/>
          <w:b w:val="false"/>
          <w:i w:val="false"/>
          <w:color w:val="000000"/>
          <w:sz w:val="28"/>
        </w:rPr>
        <w:t>
      1) система качества системы фармаконадзора;</w:t>
      </w:r>
    </w:p>
    <w:bookmarkEnd w:id="6890"/>
    <w:bookmarkStart w:name="z7061" w:id="6891"/>
    <w:p>
      <w:pPr>
        <w:spacing w:after="0"/>
        <w:ind w:left="0"/>
        <w:jc w:val="both"/>
      </w:pPr>
      <w:r>
        <w:rPr>
          <w:rFonts w:ascii="Times New Roman"/>
          <w:b w:val="false"/>
          <w:i w:val="false"/>
          <w:color w:val="000000"/>
          <w:sz w:val="28"/>
        </w:rPr>
        <w:t>
      2) критические процессы в системе фармаконадзора;</w:t>
      </w:r>
    </w:p>
    <w:bookmarkEnd w:id="6891"/>
    <w:bookmarkStart w:name="z7062" w:id="6892"/>
    <w:p>
      <w:pPr>
        <w:spacing w:after="0"/>
        <w:ind w:left="0"/>
        <w:jc w:val="both"/>
      </w:pPr>
      <w:r>
        <w:rPr>
          <w:rFonts w:ascii="Times New Roman"/>
          <w:b w:val="false"/>
          <w:i w:val="false"/>
          <w:color w:val="000000"/>
          <w:sz w:val="28"/>
        </w:rPr>
        <w:t>
      3) ключевые системы контроля, опирающиеся на мероприятия фармаконадзора;</w:t>
      </w:r>
    </w:p>
    <w:bookmarkEnd w:id="6892"/>
    <w:bookmarkStart w:name="z7063" w:id="6893"/>
    <w:p>
      <w:pPr>
        <w:spacing w:after="0"/>
        <w:ind w:left="0"/>
        <w:jc w:val="both"/>
      </w:pPr>
      <w:r>
        <w:rPr>
          <w:rFonts w:ascii="Times New Roman"/>
          <w:b w:val="false"/>
          <w:i w:val="false"/>
          <w:color w:val="000000"/>
          <w:sz w:val="28"/>
        </w:rPr>
        <w:t>
      4) области высокого риска после внедрения процедур контроля и мер по минимизации риска;</w:t>
      </w:r>
    </w:p>
    <w:bookmarkEnd w:id="6893"/>
    <w:bookmarkStart w:name="z7064" w:id="6894"/>
    <w:p>
      <w:pPr>
        <w:spacing w:after="0"/>
        <w:ind w:left="0"/>
        <w:jc w:val="both"/>
      </w:pPr>
      <w:r>
        <w:rPr>
          <w:rFonts w:ascii="Times New Roman"/>
          <w:b w:val="false"/>
          <w:i w:val="false"/>
          <w:color w:val="000000"/>
          <w:sz w:val="28"/>
        </w:rPr>
        <w:t>
      150. Основанная на риске программа аудита учитывает результаты предыдущих аудитов в части недостаточного охвата областей деятельности, направлений высокого риска, непосредственного указания руководства и (или) лиц, осуществляющих систему фармаконадзора.</w:t>
      </w:r>
    </w:p>
    <w:bookmarkEnd w:id="6894"/>
    <w:bookmarkStart w:name="z7065" w:id="6895"/>
    <w:p>
      <w:pPr>
        <w:spacing w:after="0"/>
        <w:ind w:left="0"/>
        <w:jc w:val="both"/>
      </w:pPr>
      <w:r>
        <w:rPr>
          <w:rFonts w:ascii="Times New Roman"/>
          <w:b w:val="false"/>
          <w:i w:val="false"/>
          <w:color w:val="000000"/>
          <w:sz w:val="28"/>
        </w:rPr>
        <w:t>
      151. Документация программы аудита включает краткое описание плана каждого запланированного аудита, в том числе объем аудита и цели. Обоснование сроков, периодичности и объема отдельных аудитов, являющихся частью программы аудитов, основывается на документально оформленной оценке рисков. Основанные на оценке риска аудиты системы фармаконадзора выполняются регулярно в соответствии с требованиями действующего законодательства Республики Казахстан по фармаконадзору и настоящего Стандарта. Внесение обоснованных изменений в программу аудита надлежащим образом документируется.</w:t>
      </w:r>
    </w:p>
    <w:bookmarkEnd w:id="6895"/>
    <w:bookmarkStart w:name="z7066" w:id="6896"/>
    <w:p>
      <w:pPr>
        <w:spacing w:after="0"/>
        <w:ind w:left="0"/>
        <w:jc w:val="left"/>
      </w:pPr>
      <w:r>
        <w:rPr>
          <w:rFonts w:ascii="Times New Roman"/>
          <w:b/>
          <w:i w:val="false"/>
          <w:color w:val="000000"/>
        </w:rPr>
        <w:t xml:space="preserve"> Параграф 3. Планирование и отчетность по аудиту на оперативном уровне</w:t>
      </w:r>
    </w:p>
    <w:bookmarkEnd w:id="6896"/>
    <w:bookmarkStart w:name="z7067" w:id="6897"/>
    <w:p>
      <w:pPr>
        <w:spacing w:after="0"/>
        <w:ind w:left="0"/>
        <w:jc w:val="both"/>
      </w:pPr>
      <w:r>
        <w:rPr>
          <w:rFonts w:ascii="Times New Roman"/>
          <w:b w:val="false"/>
          <w:i w:val="false"/>
          <w:color w:val="000000"/>
          <w:sz w:val="28"/>
        </w:rPr>
        <w:t>
      152. Организация внедряет письменные процедуры с учетом планирования и проведения отдельных аудитов. Сроки реализации всех мер, необходимых для выполнения отдельного аудита, устанавливаются в соответствующих процедурах, связанных с проведением аудита. Организация обеспечивает проведение аудитов в соответствии с письменными процедурами, в соответствии с данным разделом настоящего Стандарта.</w:t>
      </w:r>
    </w:p>
    <w:bookmarkEnd w:id="6897"/>
    <w:bookmarkStart w:name="z7068" w:id="6898"/>
    <w:p>
      <w:pPr>
        <w:spacing w:after="0"/>
        <w:ind w:left="0"/>
        <w:jc w:val="both"/>
      </w:pPr>
      <w:r>
        <w:rPr>
          <w:rFonts w:ascii="Times New Roman"/>
          <w:b w:val="false"/>
          <w:i w:val="false"/>
          <w:color w:val="000000"/>
          <w:sz w:val="28"/>
        </w:rPr>
        <w:t>
      Отдельные аудиты системы фармаконадзора проводятся в соответствии с утвержденной программой аудита, основанной на рисках. При планировании отдельных аудитов аудитор определяет и оценивает риски, сопряженные с рассматриваемой областью, применяя самые подходящие методы выборочных исследований и тестирования. Метод выполнения аудита надлежащим образом документируется в плане проведения аудита.</w:t>
      </w:r>
    </w:p>
    <w:bookmarkEnd w:id="6898"/>
    <w:bookmarkStart w:name="z7069" w:id="6899"/>
    <w:p>
      <w:pPr>
        <w:spacing w:after="0"/>
        <w:ind w:left="0"/>
        <w:jc w:val="both"/>
      </w:pPr>
      <w:r>
        <w:rPr>
          <w:rFonts w:ascii="Times New Roman"/>
          <w:b w:val="false"/>
          <w:i w:val="false"/>
          <w:color w:val="000000"/>
          <w:sz w:val="28"/>
        </w:rPr>
        <w:t>
      153. Выводы аудиторов документально отражаются в аудиторском заключении и своевременно докладываются руководству. Процесс аудита включает механизмы передачи выводов аудита объекту аудита, получения обратной связи и представления аудиторской отчетности руководству и заинтересованным сторонам, в том числе лицам, осуществляющим систему фармаконадзора, в соответствии с требованиями действующего законодательства Республики Казахстан и рекомендаций по аудиту системы фармаконадзора. Результаты аудита представляются в соответствии с относительным уровнем риска и классифицируются с целью указания их критичности по отношению к рискам, влияющим на систему фармаконадзора, процессы и компоненты процессов. Система классификации определяется в описании системы качества фармаконадзора и учитывает отмеченные ниже пороговые значения, используемые в дальнейшей отчетности:</w:t>
      </w:r>
    </w:p>
    <w:bookmarkEnd w:id="6899"/>
    <w:bookmarkStart w:name="z7070" w:id="6900"/>
    <w:p>
      <w:pPr>
        <w:spacing w:after="0"/>
        <w:ind w:left="0"/>
        <w:jc w:val="both"/>
      </w:pPr>
      <w:r>
        <w:rPr>
          <w:rFonts w:ascii="Times New Roman"/>
          <w:b w:val="false"/>
          <w:i w:val="false"/>
          <w:color w:val="000000"/>
          <w:sz w:val="28"/>
        </w:rPr>
        <w:t>
      1) критическим является принципиальный недостаток (несоответствие) одного или нескольких процессов, или выполняемых процедур системы фармаконадзора, отрицательно влияющий на всю систему фармаконадзора и (или) безопасность и благополучие пациентов, и (или) представляет потенциальную угрозу здоровью населения и (или) представляет серьезное нарушение действующих требований законодательства Республики Казахстан;</w:t>
      </w:r>
    </w:p>
    <w:bookmarkEnd w:id="6900"/>
    <w:bookmarkStart w:name="z7071" w:id="6901"/>
    <w:p>
      <w:pPr>
        <w:spacing w:after="0"/>
        <w:ind w:left="0"/>
        <w:jc w:val="both"/>
      </w:pPr>
      <w:r>
        <w:rPr>
          <w:rFonts w:ascii="Times New Roman"/>
          <w:b w:val="false"/>
          <w:i w:val="false"/>
          <w:color w:val="000000"/>
          <w:sz w:val="28"/>
        </w:rPr>
        <w:t>
      2) существенным является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сказывается на безопасности и благополучии пациентов, и (или) представляет потенциальную опасность для здоровья населения и (или) нарушает действующие требования законодательства Республики Казахстан по фармаконадзору, не считающиеся однако серьезными.</w:t>
      </w:r>
    </w:p>
    <w:bookmarkEnd w:id="6901"/>
    <w:bookmarkStart w:name="z7072" w:id="6902"/>
    <w:p>
      <w:pPr>
        <w:spacing w:after="0"/>
        <w:ind w:left="0"/>
        <w:jc w:val="both"/>
      </w:pPr>
      <w:r>
        <w:rPr>
          <w:rFonts w:ascii="Times New Roman"/>
          <w:b w:val="false"/>
          <w:i w:val="false"/>
          <w:color w:val="000000"/>
          <w:sz w:val="28"/>
        </w:rPr>
        <w:t>
      3) несущественным является недостаток (несоответствие) какого-либо компонента одного или нескольких процессов, или выполняемых процедур системы фармаконадзора, не сказывающихся отрицательно на всей системе фармаконадзора или процессе и (или) безопасности и благополучии пациентов.</w:t>
      </w:r>
    </w:p>
    <w:bookmarkEnd w:id="6902"/>
    <w:bookmarkStart w:name="z7073" w:id="6903"/>
    <w:p>
      <w:pPr>
        <w:spacing w:after="0"/>
        <w:ind w:left="0"/>
        <w:jc w:val="both"/>
      </w:pPr>
      <w:r>
        <w:rPr>
          <w:rFonts w:ascii="Times New Roman"/>
          <w:b w:val="false"/>
          <w:i w:val="false"/>
          <w:color w:val="000000"/>
          <w:sz w:val="28"/>
        </w:rPr>
        <w:t>
      По вопросам, требующим решения в срочном порядке, незамедлительно информируется руководство объекта аудита и высшее руководство.</w:t>
      </w:r>
    </w:p>
    <w:bookmarkEnd w:id="6903"/>
    <w:bookmarkStart w:name="z7074" w:id="6904"/>
    <w:p>
      <w:pPr>
        <w:spacing w:after="0"/>
        <w:ind w:left="0"/>
        <w:jc w:val="left"/>
      </w:pPr>
      <w:r>
        <w:rPr>
          <w:rFonts w:ascii="Times New Roman"/>
          <w:b/>
          <w:i w:val="false"/>
          <w:color w:val="000000"/>
        </w:rPr>
        <w:t xml:space="preserve"> Параграф 4. Действия, основанные на результатах аудита и последующего контроля аудитов</w:t>
      </w:r>
    </w:p>
    <w:bookmarkEnd w:id="6904"/>
    <w:bookmarkStart w:name="z7075" w:id="6905"/>
    <w:p>
      <w:pPr>
        <w:spacing w:after="0"/>
        <w:ind w:left="0"/>
        <w:jc w:val="both"/>
      </w:pPr>
      <w:r>
        <w:rPr>
          <w:rFonts w:ascii="Times New Roman"/>
          <w:b w:val="false"/>
          <w:i w:val="false"/>
          <w:color w:val="000000"/>
          <w:sz w:val="28"/>
        </w:rPr>
        <w:t xml:space="preserve">
      154. Действия, указанные в данном разделе руководства, такие как незамедлительные действия, оперативные действия, действия в разумные сроки и вопросы, требующие срочного принятия решения либо срочное информирование, предназначены для выполнения в надлежащие и уместные сроки, соответствующими относительному риску для системы фармаконадзора. Устанавливаются приоритеты корректирующих и предупреждающих мероприятий для устранения выявленных критических и существенных недостатков (несоответствий). Точные сроки действий, связанных с выявленным критическим недостатком (несоответствием), варьируются в зависимости от характера выводов и запланированного действия. </w:t>
      </w:r>
    </w:p>
    <w:bookmarkEnd w:id="6905"/>
    <w:bookmarkStart w:name="z7076" w:id="6906"/>
    <w:p>
      <w:pPr>
        <w:spacing w:after="0"/>
        <w:ind w:left="0"/>
        <w:jc w:val="both"/>
      </w:pPr>
      <w:r>
        <w:rPr>
          <w:rFonts w:ascii="Times New Roman"/>
          <w:b w:val="false"/>
          <w:i w:val="false"/>
          <w:color w:val="000000"/>
          <w:sz w:val="28"/>
        </w:rPr>
        <w:t>
      155. Руководство организации осуществляет работу по обеспечению организации механизмом, позволяющим надлежащим образом решать вопросы, связанные с результатами аудита системы фармаконадзора. Комплекс мероприятий включает: анализ изначальной причины выявленного недостатка, анализ влияния выявленных результатов аудита и подготовку плана корректирующих и предупреждающих мероприятий.</w:t>
      </w:r>
    </w:p>
    <w:bookmarkEnd w:id="6906"/>
    <w:bookmarkStart w:name="z7077" w:id="6907"/>
    <w:p>
      <w:pPr>
        <w:spacing w:after="0"/>
        <w:ind w:left="0"/>
        <w:jc w:val="both"/>
      </w:pPr>
      <w:r>
        <w:rPr>
          <w:rFonts w:ascii="Times New Roman"/>
          <w:b w:val="false"/>
          <w:i w:val="false"/>
          <w:color w:val="000000"/>
          <w:sz w:val="28"/>
        </w:rPr>
        <w:t>
      156. Высшее руководство и лица, наделенные руководящими полномочиями, предпринимают все необходимые эффективные меры по устранению недостатков, выявленных в процессе аудита. Выполнение согласованных действий систематически контролируется. Информация о ходе реализации корректирующих и предупреждающих мероприятий периодически доводится до сведения высшего руководства согласно запланированным действиям. Подтверждение завершения комплекса корректирующих и предупреждающих мероприятий надлежащим образом документируется. Программа аудита предусматривает потенциальную возможность проведения контрольных аудитов, выполняемых по мере необходимости, с целью подтверждения завершения выполнения согласованных действий.</w:t>
      </w:r>
    </w:p>
    <w:bookmarkEnd w:id="6907"/>
    <w:bookmarkStart w:name="z7078" w:id="6908"/>
    <w:p>
      <w:pPr>
        <w:spacing w:after="0"/>
        <w:ind w:left="0"/>
        <w:jc w:val="left"/>
      </w:pPr>
      <w:r>
        <w:rPr>
          <w:rFonts w:ascii="Times New Roman"/>
          <w:b/>
          <w:i w:val="false"/>
          <w:color w:val="000000"/>
        </w:rPr>
        <w:t xml:space="preserve"> Глава 29. Система качества и документирования</w:t>
      </w:r>
    </w:p>
    <w:bookmarkEnd w:id="6908"/>
    <w:bookmarkStart w:name="z7079" w:id="6909"/>
    <w:p>
      <w:pPr>
        <w:spacing w:after="0"/>
        <w:ind w:left="0"/>
        <w:jc w:val="left"/>
      </w:pPr>
      <w:r>
        <w:rPr>
          <w:rFonts w:ascii="Times New Roman"/>
          <w:b/>
          <w:i w:val="false"/>
          <w:color w:val="000000"/>
        </w:rPr>
        <w:t xml:space="preserve"> Параграф 1. Компетентность аудитора и управления качеством аудиторской деятельности</w:t>
      </w:r>
    </w:p>
    <w:bookmarkEnd w:id="6909"/>
    <w:bookmarkStart w:name="z7080" w:id="6910"/>
    <w:p>
      <w:pPr>
        <w:spacing w:after="0"/>
        <w:ind w:left="0"/>
        <w:jc w:val="both"/>
      </w:pPr>
      <w:r>
        <w:rPr>
          <w:rFonts w:ascii="Times New Roman"/>
          <w:b w:val="false"/>
          <w:i w:val="false"/>
          <w:color w:val="000000"/>
          <w:sz w:val="28"/>
        </w:rPr>
        <w:t>
      157. Организация назначает конкретное лицо по аудиту в области фармаконадзора. Деятельность по выполнению аудитов системы фармаконадзора является независимой. Руководство организации обеспечивает и документирует независимость и объективность аудитора.</w:t>
      </w:r>
    </w:p>
    <w:bookmarkEnd w:id="6910"/>
    <w:bookmarkStart w:name="z7081" w:id="6911"/>
    <w:p>
      <w:pPr>
        <w:spacing w:after="0"/>
        <w:ind w:left="0"/>
        <w:jc w:val="both"/>
      </w:pPr>
      <w:r>
        <w:rPr>
          <w:rFonts w:ascii="Times New Roman"/>
          <w:b w:val="false"/>
          <w:i w:val="false"/>
          <w:color w:val="000000"/>
          <w:sz w:val="28"/>
        </w:rPr>
        <w:t xml:space="preserve">
      Аудитор свободен от вмешательства в определение объема аудита, проведение аудита системы фармаконадзора и информирование о результатах аудита. Основная отчетность направляется высшему руководству, осуществляющему руководство по исполнительской и управленческой структуре, что позволяет аудитору выполнять свои обязанности и представить независимое и объективное аудиторское заключение. Аудиторы консультируются с экспертами, персоналом, участвующим в процессах по фармаконадзору, с лицом, уполномоченным по фармаконадзору, при сохранении непредвзятого отношения и отсутствии влияния на объективность и качество выполняемых работ. </w:t>
      </w:r>
    </w:p>
    <w:bookmarkEnd w:id="6911"/>
    <w:bookmarkStart w:name="z7082" w:id="6912"/>
    <w:p>
      <w:pPr>
        <w:spacing w:after="0"/>
        <w:ind w:left="0"/>
        <w:jc w:val="both"/>
      </w:pPr>
      <w:r>
        <w:rPr>
          <w:rFonts w:ascii="Times New Roman"/>
          <w:b w:val="false"/>
          <w:i w:val="false"/>
          <w:color w:val="000000"/>
          <w:sz w:val="28"/>
        </w:rPr>
        <w:t>
      158. Аудитор обязан обладать и поддерживать требуемую квалификацию с точки зрения знаний, навыков и способностей, необходимых для эффективного проведения аудиторских мероприятий системы фармаконадзора и участия в них. Аудиторы обязан обладать навыками, умениями и знаниями по разделам:</w:t>
      </w:r>
    </w:p>
    <w:bookmarkEnd w:id="6912"/>
    <w:bookmarkStart w:name="z7083" w:id="6913"/>
    <w:p>
      <w:pPr>
        <w:spacing w:after="0"/>
        <w:ind w:left="0"/>
        <w:jc w:val="both"/>
      </w:pPr>
      <w:r>
        <w:rPr>
          <w:rFonts w:ascii="Times New Roman"/>
          <w:b w:val="false"/>
          <w:i w:val="false"/>
          <w:color w:val="000000"/>
          <w:sz w:val="28"/>
        </w:rPr>
        <w:t>
      1) принципов, процедур и методов аудита;</w:t>
      </w:r>
    </w:p>
    <w:bookmarkEnd w:id="6913"/>
    <w:bookmarkStart w:name="z7084" w:id="6914"/>
    <w:p>
      <w:pPr>
        <w:spacing w:after="0"/>
        <w:ind w:left="0"/>
        <w:jc w:val="both"/>
      </w:pPr>
      <w:r>
        <w:rPr>
          <w:rFonts w:ascii="Times New Roman"/>
          <w:b w:val="false"/>
          <w:i w:val="false"/>
          <w:color w:val="000000"/>
          <w:sz w:val="28"/>
        </w:rPr>
        <w:t>
      2) существующих законодательных актов, руководств и других требований, относящихся к системе фармаконадзора;</w:t>
      </w:r>
    </w:p>
    <w:bookmarkEnd w:id="6914"/>
    <w:bookmarkStart w:name="z7085" w:id="6915"/>
    <w:p>
      <w:pPr>
        <w:spacing w:after="0"/>
        <w:ind w:left="0"/>
        <w:jc w:val="both"/>
      </w:pPr>
      <w:r>
        <w:rPr>
          <w:rFonts w:ascii="Times New Roman"/>
          <w:b w:val="false"/>
          <w:i w:val="false"/>
          <w:color w:val="000000"/>
          <w:sz w:val="28"/>
        </w:rPr>
        <w:t>
      3) мероприятий, процессов и процедур фармаконадзора;</w:t>
      </w:r>
    </w:p>
    <w:bookmarkEnd w:id="6915"/>
    <w:bookmarkStart w:name="z7086" w:id="6916"/>
    <w:p>
      <w:pPr>
        <w:spacing w:after="0"/>
        <w:ind w:left="0"/>
        <w:jc w:val="both"/>
      </w:pPr>
      <w:r>
        <w:rPr>
          <w:rFonts w:ascii="Times New Roman"/>
          <w:b w:val="false"/>
          <w:i w:val="false"/>
          <w:color w:val="000000"/>
          <w:sz w:val="28"/>
        </w:rPr>
        <w:t>
      4) систем управления;</w:t>
      </w:r>
    </w:p>
    <w:bookmarkEnd w:id="6916"/>
    <w:bookmarkStart w:name="z7087" w:id="6917"/>
    <w:p>
      <w:pPr>
        <w:spacing w:after="0"/>
        <w:ind w:left="0"/>
        <w:jc w:val="both"/>
      </w:pPr>
      <w:r>
        <w:rPr>
          <w:rFonts w:ascii="Times New Roman"/>
          <w:b w:val="false"/>
          <w:i w:val="false"/>
          <w:color w:val="000000"/>
          <w:sz w:val="28"/>
        </w:rPr>
        <w:t>
      5) организационных систем.</w:t>
      </w:r>
    </w:p>
    <w:bookmarkEnd w:id="6917"/>
    <w:bookmarkStart w:name="z7088" w:id="6918"/>
    <w:p>
      <w:pPr>
        <w:spacing w:after="0"/>
        <w:ind w:left="0"/>
        <w:jc w:val="both"/>
      </w:pPr>
      <w:r>
        <w:rPr>
          <w:rFonts w:ascii="Times New Roman"/>
          <w:b w:val="false"/>
          <w:i w:val="false"/>
          <w:color w:val="000000"/>
          <w:sz w:val="28"/>
        </w:rPr>
        <w:t>
      159. Оценка аудиторской деятельности осуществляется посредством текущей и периодической оценки всей аудиторской деятельности, отзывов объекта аудита и самооценки аудиторской деятельности (контроль качества аудиторской деятельности, соблюдение кодекса поведения, программ аудита и аудиторских процедур).</w:t>
      </w:r>
    </w:p>
    <w:bookmarkEnd w:id="6918"/>
    <w:bookmarkStart w:name="z7089" w:id="6919"/>
    <w:p>
      <w:pPr>
        <w:spacing w:after="0"/>
        <w:ind w:left="0"/>
        <w:jc w:val="left"/>
      </w:pPr>
      <w:r>
        <w:rPr>
          <w:rFonts w:ascii="Times New Roman"/>
          <w:b/>
          <w:i w:val="false"/>
          <w:color w:val="000000"/>
        </w:rPr>
        <w:t xml:space="preserve"> Параграф 2. Аудиты, проведенные внешними поставщиками аудиторских услуг</w:t>
      </w:r>
    </w:p>
    <w:bookmarkEnd w:id="6919"/>
    <w:bookmarkStart w:name="z7090" w:id="6920"/>
    <w:p>
      <w:pPr>
        <w:spacing w:after="0"/>
        <w:ind w:left="0"/>
        <w:jc w:val="both"/>
      </w:pPr>
      <w:r>
        <w:rPr>
          <w:rFonts w:ascii="Times New Roman"/>
          <w:b w:val="false"/>
          <w:i w:val="false"/>
          <w:color w:val="000000"/>
          <w:sz w:val="28"/>
        </w:rPr>
        <w:t>
      160. Основная работа по функционированию и эффективности системы фармаконадзора лежит на организации. В случае если организация принимает решение прибегнуть к внешнему поставщику аудиторских услуг для выполнения требований по аудиту системы фармаконадзора на основе данного раздела требований надлежащей практики фармаконадзора, соблюдает следующие требования:</w:t>
      </w:r>
    </w:p>
    <w:bookmarkEnd w:id="6920"/>
    <w:bookmarkStart w:name="z7091" w:id="6921"/>
    <w:p>
      <w:pPr>
        <w:spacing w:after="0"/>
        <w:ind w:left="0"/>
        <w:jc w:val="both"/>
      </w:pPr>
      <w:r>
        <w:rPr>
          <w:rFonts w:ascii="Times New Roman"/>
          <w:b w:val="false"/>
          <w:i w:val="false"/>
          <w:color w:val="000000"/>
          <w:sz w:val="28"/>
        </w:rPr>
        <w:t>
      1) требования и подготовка оценки аудиторского риска, стратегии аудита, программы аудита и отдельных аудиторских заданий доводятся организацией до сведения внешних поставщиков услуг в письменной форме;</w:t>
      </w:r>
    </w:p>
    <w:bookmarkEnd w:id="6921"/>
    <w:bookmarkStart w:name="z7092" w:id="6922"/>
    <w:p>
      <w:pPr>
        <w:spacing w:after="0"/>
        <w:ind w:left="0"/>
        <w:jc w:val="both"/>
      </w:pPr>
      <w:r>
        <w:rPr>
          <w:rFonts w:ascii="Times New Roman"/>
          <w:b w:val="false"/>
          <w:i w:val="false"/>
          <w:color w:val="000000"/>
          <w:sz w:val="28"/>
        </w:rPr>
        <w:t>
      2) объем работы, задачи и процедурные требования к проведению аудита доводятся организацией до сведения внешних поставщиков услуг в письменной форме;</w:t>
      </w:r>
    </w:p>
    <w:bookmarkEnd w:id="6922"/>
    <w:bookmarkStart w:name="z7093" w:id="6923"/>
    <w:p>
      <w:pPr>
        <w:spacing w:after="0"/>
        <w:ind w:left="0"/>
        <w:jc w:val="both"/>
      </w:pPr>
      <w:r>
        <w:rPr>
          <w:rFonts w:ascii="Times New Roman"/>
          <w:b w:val="false"/>
          <w:i w:val="false"/>
          <w:color w:val="000000"/>
          <w:sz w:val="28"/>
        </w:rPr>
        <w:t>
      3) организация обязана получить документальное подтверждение независимости и объективности внешних поставщиков аудиторских услуг;</w:t>
      </w:r>
    </w:p>
    <w:bookmarkEnd w:id="6923"/>
    <w:bookmarkStart w:name="z7094" w:id="6924"/>
    <w:p>
      <w:pPr>
        <w:spacing w:after="0"/>
        <w:ind w:left="0"/>
        <w:jc w:val="both"/>
      </w:pPr>
      <w:r>
        <w:rPr>
          <w:rFonts w:ascii="Times New Roman"/>
          <w:b w:val="false"/>
          <w:i w:val="false"/>
          <w:color w:val="000000"/>
          <w:sz w:val="28"/>
        </w:rPr>
        <w:t>
      4) внешний поставщик аудиторских услуг обязан соблюдать соответствующие разделы настоящего Стандарта.</w:t>
      </w:r>
    </w:p>
    <w:bookmarkEnd w:id="6924"/>
    <w:bookmarkStart w:name="z7095" w:id="6925"/>
    <w:p>
      <w:pPr>
        <w:spacing w:after="0"/>
        <w:ind w:left="0"/>
        <w:jc w:val="both"/>
      </w:pPr>
      <w:r>
        <w:rPr>
          <w:rFonts w:ascii="Times New Roman"/>
          <w:b w:val="false"/>
          <w:i w:val="false"/>
          <w:color w:val="000000"/>
          <w:sz w:val="28"/>
        </w:rPr>
        <w:t>
      161. Отчеты об аудитах и сведения, подтверждающие завершение действий по результатам аудита, хранятся в соответствии с требованиями, приведенными в разделе 2.</w:t>
      </w:r>
    </w:p>
    <w:bookmarkEnd w:id="6925"/>
    <w:bookmarkStart w:name="z7096" w:id="6926"/>
    <w:p>
      <w:pPr>
        <w:spacing w:after="0"/>
        <w:ind w:left="0"/>
        <w:jc w:val="left"/>
      </w:pPr>
      <w:r>
        <w:rPr>
          <w:rFonts w:ascii="Times New Roman"/>
          <w:b/>
          <w:i w:val="false"/>
          <w:color w:val="000000"/>
        </w:rPr>
        <w:t xml:space="preserve"> Параграф 3. Требования к проведению аудита</w:t>
      </w:r>
    </w:p>
    <w:bookmarkEnd w:id="6926"/>
    <w:bookmarkStart w:name="z7097" w:id="6927"/>
    <w:p>
      <w:pPr>
        <w:spacing w:after="0"/>
        <w:ind w:left="0"/>
        <w:jc w:val="both"/>
      </w:pPr>
      <w:r>
        <w:rPr>
          <w:rFonts w:ascii="Times New Roman"/>
          <w:b w:val="false"/>
          <w:i w:val="false"/>
          <w:color w:val="000000"/>
          <w:sz w:val="28"/>
        </w:rPr>
        <w:t>
      162. Держатель регистрационного удостоверения обязан регулярно проводить основанные на риске аудиторские проверки своей системы фармаконадзора, включая аудит системы качества системы фармаконадзора, с целью обеспечения соответствия действующей системы качества предъявляемым требованиям. Даты проведения аудитов, результаты проведенных аудитов и контрольные аудиты надлежащим образом документируются.</w:t>
      </w:r>
    </w:p>
    <w:bookmarkEnd w:id="6927"/>
    <w:bookmarkStart w:name="z7098" w:id="6928"/>
    <w:p>
      <w:pPr>
        <w:spacing w:after="0"/>
        <w:ind w:left="0"/>
        <w:jc w:val="both"/>
      </w:pPr>
      <w:r>
        <w:rPr>
          <w:rFonts w:ascii="Times New Roman"/>
          <w:b w:val="false"/>
          <w:i w:val="false"/>
          <w:color w:val="000000"/>
          <w:sz w:val="28"/>
        </w:rPr>
        <w:t>
      163. Уполномоченное лицо по фармаконадзору в Республике Казахстан получает отчеты о результатах аудита системы фармаконадзора и представляет информацию аудиторам, имеющим отношение к оценке рисков, включая сведения о состоянии выполнения корректирующих и предупреждающих мероприятий. УЛФ получает информацию о результатах любого аудита, имеющего отношение к системе фармаконадзора в Республике Казахстан, вне зависимости от места его проведения.</w:t>
      </w:r>
    </w:p>
    <w:bookmarkEnd w:id="6928"/>
    <w:bookmarkStart w:name="z7099" w:id="6929"/>
    <w:p>
      <w:pPr>
        <w:spacing w:after="0"/>
        <w:ind w:left="0"/>
        <w:jc w:val="both"/>
      </w:pPr>
      <w:r>
        <w:rPr>
          <w:rFonts w:ascii="Times New Roman"/>
          <w:b w:val="false"/>
          <w:i w:val="false"/>
          <w:color w:val="000000"/>
          <w:sz w:val="28"/>
        </w:rPr>
        <w:t xml:space="preserve">
      164. Уполномоченный орган, уполномоченная организация регулярно проводят независимые проверки задач системы фармаконадзора и регулярный аудит своей системы фармаконадзора и основанные на рисках аудиты системы качества с целью обеспечения соответствия системы качества предъявляемым требованиям. Даты проведения, результаты проведенных аудитов и контрольные аудиты, надлежащим образом документируются. </w:t>
      </w:r>
    </w:p>
    <w:bookmarkEnd w:id="6929"/>
    <w:bookmarkStart w:name="z7100" w:id="6930"/>
    <w:p>
      <w:pPr>
        <w:spacing w:after="0"/>
        <w:ind w:left="0"/>
        <w:jc w:val="both"/>
      </w:pPr>
      <w:r>
        <w:rPr>
          <w:rFonts w:ascii="Times New Roman"/>
          <w:b w:val="false"/>
          <w:i w:val="false"/>
          <w:color w:val="000000"/>
          <w:sz w:val="28"/>
        </w:rPr>
        <w:t xml:space="preserve">
      165. В целях обеспечения согласованного и гармонизированного планирования, реализации и отчетности, аудиты, проводимые в уполномоченном органе, уполномоченной организации, основываются на принятой терминологии и методологии. </w:t>
      </w:r>
    </w:p>
    <w:bookmarkEnd w:id="6930"/>
    <w:bookmarkStart w:name="z7101" w:id="6931"/>
    <w:p>
      <w:pPr>
        <w:spacing w:after="0"/>
        <w:ind w:left="0"/>
        <w:jc w:val="left"/>
      </w:pPr>
      <w:r>
        <w:rPr>
          <w:rFonts w:ascii="Times New Roman"/>
          <w:b/>
          <w:i w:val="false"/>
          <w:color w:val="000000"/>
        </w:rPr>
        <w:t xml:space="preserve"> Параграф 4. Требования к аудиторской отчетности</w:t>
      </w:r>
    </w:p>
    <w:bookmarkEnd w:id="6931"/>
    <w:bookmarkStart w:name="z7102" w:id="6932"/>
    <w:p>
      <w:pPr>
        <w:spacing w:after="0"/>
        <w:ind w:left="0"/>
        <w:jc w:val="both"/>
      </w:pPr>
      <w:r>
        <w:rPr>
          <w:rFonts w:ascii="Times New Roman"/>
          <w:b w:val="false"/>
          <w:i w:val="false"/>
          <w:color w:val="000000"/>
          <w:sz w:val="28"/>
        </w:rPr>
        <w:t xml:space="preserve">
      166. Держатель регистрационного удостоверения включает пояснительную запись по критическим и существенным результатам аудита системы фармаконадзора в мастер-файл системы фармаконадзора. Основываясь на результатах аудита, держатель регистрационного удостоверения обеспечивает подготовку и реализацию соответствующего плана, в котором подробно указываются корректирующие и предупреждающие мероприятия. После выполнения корректирующих и предупреждающих мероприятий в полном объеме запись в мастер-файле удаляется. Для удаления каких-либо сведений, касающихся аудита, из мастер-файла системы фармаконадзора требуются объективные подтверждающие данные. </w:t>
      </w:r>
    </w:p>
    <w:bookmarkEnd w:id="6932"/>
    <w:bookmarkStart w:name="z7103" w:id="6933"/>
    <w:p>
      <w:pPr>
        <w:spacing w:after="0"/>
        <w:ind w:left="0"/>
        <w:jc w:val="both"/>
      </w:pPr>
      <w:r>
        <w:rPr>
          <w:rFonts w:ascii="Times New Roman"/>
          <w:b w:val="false"/>
          <w:i w:val="false"/>
          <w:color w:val="000000"/>
          <w:sz w:val="28"/>
        </w:rPr>
        <w:t>
      167. Держатель регистрационного удостоверения обеспечивает включение списка всех запланированных и проведенных аудитов в приложение к мастер-файлу системы фармаконадзора, выполнение всех запланированных аудитов с соблюдением обязательств по отчетности, предусмотренных требованиями действующего законодательства Республики Казахстан по фармаконадзору, настоящего Стандарта и внутренними стандартами отчетности.</w:t>
      </w:r>
    </w:p>
    <w:bookmarkEnd w:id="6933"/>
    <w:bookmarkStart w:name="z7104" w:id="6934"/>
    <w:p>
      <w:pPr>
        <w:spacing w:after="0"/>
        <w:ind w:left="0"/>
        <w:jc w:val="both"/>
      </w:pPr>
      <w:r>
        <w:rPr>
          <w:rFonts w:ascii="Times New Roman"/>
          <w:b w:val="false"/>
          <w:i w:val="false"/>
          <w:color w:val="000000"/>
          <w:sz w:val="28"/>
        </w:rPr>
        <w:t>
      Даты и результаты проведенных аудитов, и контрольные аудиты надлежащим образом документируются.</w:t>
      </w:r>
    </w:p>
    <w:bookmarkEnd w:id="6934"/>
    <w:bookmarkStart w:name="z7105" w:id="6935"/>
    <w:p>
      <w:pPr>
        <w:spacing w:after="0"/>
        <w:ind w:left="0"/>
        <w:jc w:val="both"/>
      </w:pPr>
      <w:r>
        <w:rPr>
          <w:rFonts w:ascii="Times New Roman"/>
          <w:b w:val="false"/>
          <w:i w:val="false"/>
          <w:color w:val="000000"/>
          <w:sz w:val="28"/>
        </w:rPr>
        <w:t xml:space="preserve">
      168. Уполномоченный орган, уполномоченная организация обеспечивают соблюдение обязательств по представлению отчетности по выполненным аудитам в соответствии с требованиями действующего законодательства Республики Казахстан по фармаконадзору, настоящего Стандарта и внутренними стандартами отчетности. </w:t>
      </w:r>
    </w:p>
    <w:bookmarkEnd w:id="6935"/>
    <w:bookmarkStart w:name="z7106" w:id="6936"/>
    <w:p>
      <w:pPr>
        <w:spacing w:after="0"/>
        <w:ind w:left="0"/>
        <w:jc w:val="both"/>
      </w:pPr>
      <w:r>
        <w:rPr>
          <w:rFonts w:ascii="Times New Roman"/>
          <w:b w:val="false"/>
          <w:i w:val="false"/>
          <w:color w:val="000000"/>
          <w:sz w:val="28"/>
        </w:rPr>
        <w:t>
      169. С документами и информацией, собранной внутренним аудитором, обращаются с должным уровнем конфиденциальности и осмотрительности.</w:t>
      </w:r>
    </w:p>
    <w:bookmarkEnd w:id="6936"/>
    <w:bookmarkStart w:name="z7107" w:id="6937"/>
    <w:p>
      <w:pPr>
        <w:spacing w:after="0"/>
        <w:ind w:left="0"/>
        <w:jc w:val="left"/>
      </w:pPr>
      <w:r>
        <w:rPr>
          <w:rFonts w:ascii="Times New Roman"/>
          <w:b/>
          <w:i w:val="false"/>
          <w:color w:val="000000"/>
        </w:rPr>
        <w:t xml:space="preserve"> Раздел IV. Система управления рисками</w:t>
      </w:r>
    </w:p>
    <w:bookmarkEnd w:id="6937"/>
    <w:bookmarkStart w:name="z7108" w:id="6938"/>
    <w:p>
      <w:pPr>
        <w:spacing w:after="0"/>
        <w:ind w:left="0"/>
        <w:jc w:val="left"/>
      </w:pPr>
      <w:r>
        <w:rPr>
          <w:rFonts w:ascii="Times New Roman"/>
          <w:b/>
          <w:i w:val="false"/>
          <w:color w:val="000000"/>
        </w:rPr>
        <w:t xml:space="preserve"> Глава 30. Структуры и процессы</w:t>
      </w:r>
    </w:p>
    <w:bookmarkEnd w:id="6938"/>
    <w:bookmarkStart w:name="z7109" w:id="6939"/>
    <w:p>
      <w:pPr>
        <w:spacing w:after="0"/>
        <w:ind w:left="0"/>
        <w:jc w:val="both"/>
      </w:pPr>
      <w:r>
        <w:rPr>
          <w:rFonts w:ascii="Times New Roman"/>
          <w:b w:val="false"/>
          <w:i w:val="false"/>
          <w:color w:val="000000"/>
          <w:sz w:val="28"/>
        </w:rPr>
        <w:t>
      170. Процесс управления рисками состоит из трех взаимосвязанных и повторяющихся стадий:</w:t>
      </w:r>
    </w:p>
    <w:bookmarkEnd w:id="6939"/>
    <w:bookmarkStart w:name="z7110" w:id="6940"/>
    <w:p>
      <w:pPr>
        <w:spacing w:after="0"/>
        <w:ind w:left="0"/>
        <w:jc w:val="both"/>
      </w:pPr>
      <w:r>
        <w:rPr>
          <w:rFonts w:ascii="Times New Roman"/>
          <w:b w:val="false"/>
          <w:i w:val="false"/>
          <w:color w:val="000000"/>
          <w:sz w:val="28"/>
        </w:rPr>
        <w:t>
      1) характеристика профиля безопасности лекарственного препарата, включая известные и неизвестные аспекты;</w:t>
      </w:r>
    </w:p>
    <w:bookmarkEnd w:id="6940"/>
    <w:bookmarkStart w:name="z7111" w:id="6941"/>
    <w:p>
      <w:pPr>
        <w:spacing w:after="0"/>
        <w:ind w:left="0"/>
        <w:jc w:val="both"/>
      </w:pPr>
      <w:r>
        <w:rPr>
          <w:rFonts w:ascii="Times New Roman"/>
          <w:b w:val="false"/>
          <w:i w:val="false"/>
          <w:color w:val="000000"/>
          <w:sz w:val="28"/>
        </w:rPr>
        <w:t>
      2) планирование деятельности по фармаконадзору по характеристике рисков и выявлению новых рисков, а также повышения общего уровня знаний о профиле безопасности лекарственного препарата;</w:t>
      </w:r>
    </w:p>
    <w:bookmarkEnd w:id="6941"/>
    <w:bookmarkStart w:name="z7112" w:id="6942"/>
    <w:p>
      <w:pPr>
        <w:spacing w:after="0"/>
        <w:ind w:left="0"/>
        <w:jc w:val="both"/>
      </w:pPr>
      <w:r>
        <w:rPr>
          <w:rFonts w:ascii="Times New Roman"/>
          <w:b w:val="false"/>
          <w:i w:val="false"/>
          <w:color w:val="000000"/>
          <w:sz w:val="28"/>
        </w:rPr>
        <w:t>
      3) Планирование и осуществление деятельности по минимизации последствий рисков, а также оценки эффективности данной деятельности.</w:t>
      </w:r>
    </w:p>
    <w:bookmarkEnd w:id="6942"/>
    <w:bookmarkStart w:name="z7113" w:id="6943"/>
    <w:p>
      <w:pPr>
        <w:spacing w:after="0"/>
        <w:ind w:left="0"/>
        <w:jc w:val="both"/>
      </w:pPr>
      <w:r>
        <w:rPr>
          <w:rFonts w:ascii="Times New Roman"/>
          <w:b w:val="false"/>
          <w:i w:val="false"/>
          <w:color w:val="000000"/>
          <w:sz w:val="28"/>
        </w:rPr>
        <w:t xml:space="preserve">
      171. Основной целью процесса управления рисками является обеспечение применения лекарственного препарата при максимально возможном превышении пользы определенного лекарственного препарата (или совокупности лекарственных препаратов) над рисками для каждого пациента и для целевых популяций в целом. Это достигается либо путем увеличения пользы или путем снижения рисков. Процесс управления рисками носит цикличный характер и состоит из повторяющихся этапов по определению и анализу рисков и пользы, оценке соотношения польза-риск с определением возможности оптимизации, выбору и планированию методов характеристики (минимизации) рисков, внедрению мероприятий по характеристике (минимизации) рисков, сбору данных с мониторингом эффективности принятых мер. </w:t>
      </w:r>
    </w:p>
    <w:bookmarkEnd w:id="6943"/>
    <w:bookmarkStart w:name="z7114" w:id="6944"/>
    <w:p>
      <w:pPr>
        <w:spacing w:after="0"/>
        <w:ind w:left="0"/>
        <w:jc w:val="both"/>
      </w:pPr>
      <w:r>
        <w:rPr>
          <w:rFonts w:ascii="Times New Roman"/>
          <w:b w:val="false"/>
          <w:i w:val="false"/>
          <w:color w:val="000000"/>
          <w:sz w:val="28"/>
        </w:rPr>
        <w:t>
      172. Основными организациями, непосредственно вовлеченными в планирование управления рисками лекарственных препаратов, являются держатель регистрационного удостоверения и уполномоченный орган, осуществляющие работу по регулированию процесса обращения лекарственных препаратов.</w:t>
      </w:r>
    </w:p>
    <w:bookmarkEnd w:id="6944"/>
    <w:bookmarkStart w:name="z7115" w:id="6945"/>
    <w:p>
      <w:pPr>
        <w:spacing w:after="0"/>
        <w:ind w:left="0"/>
        <w:jc w:val="both"/>
      </w:pPr>
      <w:r>
        <w:rPr>
          <w:rFonts w:ascii="Times New Roman"/>
          <w:b w:val="false"/>
          <w:i w:val="false"/>
          <w:color w:val="000000"/>
          <w:sz w:val="28"/>
        </w:rPr>
        <w:t>
      173. В отношении процесса управления рисками, связанными с выпускаемым лекарственным препаратом, держатель регистрационного удостоверения:</w:t>
      </w:r>
    </w:p>
    <w:bookmarkEnd w:id="6945"/>
    <w:bookmarkStart w:name="z7116" w:id="6946"/>
    <w:p>
      <w:pPr>
        <w:spacing w:after="0"/>
        <w:ind w:left="0"/>
        <w:jc w:val="both"/>
      </w:pPr>
      <w:r>
        <w:rPr>
          <w:rFonts w:ascii="Times New Roman"/>
          <w:b w:val="false"/>
          <w:i w:val="false"/>
          <w:color w:val="000000"/>
          <w:sz w:val="28"/>
        </w:rPr>
        <w:t>
      1) обеспечивает постоянный контроль рисков, связанных с применением лекарственного препарата, согласно требованиям действующего законодательства Республики Казахстан и представляет получаемые результаты в уполномоченный орган;</w:t>
      </w:r>
    </w:p>
    <w:bookmarkEnd w:id="6946"/>
    <w:bookmarkStart w:name="z7117" w:id="6947"/>
    <w:p>
      <w:pPr>
        <w:spacing w:after="0"/>
        <w:ind w:left="0"/>
        <w:jc w:val="both"/>
      </w:pPr>
      <w:r>
        <w:rPr>
          <w:rFonts w:ascii="Times New Roman"/>
          <w:b w:val="false"/>
          <w:i w:val="false"/>
          <w:color w:val="000000"/>
          <w:sz w:val="28"/>
        </w:rPr>
        <w:t>
      2) принимает все необходимые меры по минимизации рисков, связанных с применением лекарственного препарата и для достижения максимально возможной пользы, включая обеспечение достоверности всей информации, представляемой держателем регистрационного удостоверения в отношении лекарственного препарата, а также ее активное обновление и представление новой информации по мере ее получения.</w:t>
      </w:r>
    </w:p>
    <w:bookmarkEnd w:id="6947"/>
    <w:bookmarkStart w:name="z7118" w:id="6948"/>
    <w:p>
      <w:pPr>
        <w:spacing w:after="0"/>
        <w:ind w:left="0"/>
        <w:jc w:val="both"/>
      </w:pPr>
      <w:r>
        <w:rPr>
          <w:rFonts w:ascii="Times New Roman"/>
          <w:b w:val="false"/>
          <w:i w:val="false"/>
          <w:color w:val="000000"/>
          <w:sz w:val="28"/>
        </w:rPr>
        <w:t>
      174. Обязанностями уполномоченной организации в отношении процесса управления рисками являются:</w:t>
      </w:r>
    </w:p>
    <w:bookmarkEnd w:id="6948"/>
    <w:bookmarkStart w:name="z7119" w:id="6949"/>
    <w:p>
      <w:pPr>
        <w:spacing w:after="0"/>
        <w:ind w:left="0"/>
        <w:jc w:val="both"/>
      </w:pPr>
      <w:r>
        <w:rPr>
          <w:rFonts w:ascii="Times New Roman"/>
          <w:b w:val="false"/>
          <w:i w:val="false"/>
          <w:color w:val="000000"/>
          <w:sz w:val="28"/>
        </w:rPr>
        <w:t>
      1) постоянный мониторинг пользы и рисков лекарственного препарата, включая оценку сообщений о выявленных нежелательных реакциях, представленных держателем регистрационного удостоверения, медицинскими и фармацевтическими работниками, пациентами и полученными из других источников информации, в случаях, когда это необходимо;</w:t>
      </w:r>
    </w:p>
    <w:bookmarkEnd w:id="6949"/>
    <w:bookmarkStart w:name="z7120" w:id="6950"/>
    <w:p>
      <w:pPr>
        <w:spacing w:after="0"/>
        <w:ind w:left="0"/>
        <w:jc w:val="both"/>
      </w:pPr>
      <w:r>
        <w:rPr>
          <w:rFonts w:ascii="Times New Roman"/>
          <w:b w:val="false"/>
          <w:i w:val="false"/>
          <w:color w:val="000000"/>
          <w:sz w:val="28"/>
        </w:rPr>
        <w:t>
      2) принятие соответствующих мер по минимизации рисков, связанных с лекарственным препаратом, и обеспечение получения максимально возможной пользы, включая обеспечение точности и полноты всей информации, представляемой держателем регистрационного удостоверения в отношении лекарственного препарата;</w:t>
      </w:r>
    </w:p>
    <w:bookmarkEnd w:id="6950"/>
    <w:bookmarkStart w:name="z7121" w:id="6951"/>
    <w:p>
      <w:pPr>
        <w:spacing w:after="0"/>
        <w:ind w:left="0"/>
        <w:jc w:val="both"/>
      </w:pPr>
      <w:r>
        <w:rPr>
          <w:rFonts w:ascii="Times New Roman"/>
          <w:b w:val="false"/>
          <w:i w:val="false"/>
          <w:color w:val="000000"/>
          <w:sz w:val="28"/>
        </w:rPr>
        <w:t>
      3) обеспечение выполнения мероприятий по минимизации рисков на территории Республики Казахстан;</w:t>
      </w:r>
    </w:p>
    <w:bookmarkEnd w:id="6951"/>
    <w:bookmarkStart w:name="z7122" w:id="6952"/>
    <w:p>
      <w:pPr>
        <w:spacing w:after="0"/>
        <w:ind w:left="0"/>
        <w:jc w:val="both"/>
      </w:pPr>
      <w:r>
        <w:rPr>
          <w:rFonts w:ascii="Times New Roman"/>
          <w:b w:val="false"/>
          <w:i w:val="false"/>
          <w:color w:val="000000"/>
          <w:sz w:val="28"/>
        </w:rPr>
        <w:t>
      4) эффективный обмен данными с участниками системы фармаконадзора при наличии новой доступной информации. Сюда входит предоставление информации в соответствующем формате пациентам, медицинским и фармацевтическим работникам, группам пациентов, научным сообществам;</w:t>
      </w:r>
    </w:p>
    <w:bookmarkEnd w:id="6952"/>
    <w:bookmarkStart w:name="z7123" w:id="6953"/>
    <w:p>
      <w:pPr>
        <w:spacing w:after="0"/>
        <w:ind w:left="0"/>
        <w:jc w:val="both"/>
      </w:pPr>
      <w:r>
        <w:rPr>
          <w:rFonts w:ascii="Times New Roman"/>
          <w:b w:val="false"/>
          <w:i w:val="false"/>
          <w:color w:val="000000"/>
          <w:sz w:val="28"/>
        </w:rPr>
        <w:t>
      5) обеспечение принятия соответствующих мер по минимизации рисков, при их определении, всеми держателями регистрационного удостоверения, как оригинальных, так и генерических лекарственных препаратов;</w:t>
      </w:r>
    </w:p>
    <w:bookmarkEnd w:id="6953"/>
    <w:bookmarkStart w:name="z7124" w:id="6954"/>
    <w:p>
      <w:pPr>
        <w:spacing w:after="0"/>
        <w:ind w:left="0"/>
        <w:jc w:val="both"/>
      </w:pPr>
      <w:r>
        <w:rPr>
          <w:rFonts w:ascii="Times New Roman"/>
          <w:b w:val="false"/>
          <w:i w:val="false"/>
          <w:color w:val="000000"/>
          <w:sz w:val="28"/>
        </w:rPr>
        <w:t>
      6) представление информации другим уполномоченным органам, включающее уведомление о любой деятельности по обеспечению безопасности в отношении лекарственного препарата, в том числе об изменениях в информации об оригинальном лекарственном препарате.</w:t>
      </w:r>
    </w:p>
    <w:bookmarkEnd w:id="6954"/>
    <w:bookmarkStart w:name="z7125" w:id="6955"/>
    <w:p>
      <w:pPr>
        <w:spacing w:after="0"/>
        <w:ind w:left="0"/>
        <w:jc w:val="left"/>
      </w:pPr>
      <w:r>
        <w:rPr>
          <w:rFonts w:ascii="Times New Roman"/>
          <w:b/>
          <w:i w:val="false"/>
          <w:color w:val="000000"/>
        </w:rPr>
        <w:t xml:space="preserve"> Глава 31. Цели ПУР</w:t>
      </w:r>
    </w:p>
    <w:bookmarkEnd w:id="6955"/>
    <w:bookmarkStart w:name="z7126" w:id="6956"/>
    <w:p>
      <w:pPr>
        <w:spacing w:after="0"/>
        <w:ind w:left="0"/>
        <w:jc w:val="both"/>
      </w:pPr>
      <w:r>
        <w:rPr>
          <w:rFonts w:ascii="Times New Roman"/>
          <w:b w:val="false"/>
          <w:i w:val="false"/>
          <w:color w:val="000000"/>
          <w:sz w:val="28"/>
        </w:rPr>
        <w:t>
      175. ПУР содержит информацию, необходимую для выполнения следующих требований:</w:t>
      </w:r>
    </w:p>
    <w:bookmarkEnd w:id="6956"/>
    <w:bookmarkStart w:name="z7127" w:id="6957"/>
    <w:p>
      <w:pPr>
        <w:spacing w:after="0"/>
        <w:ind w:left="0"/>
        <w:jc w:val="both"/>
      </w:pPr>
      <w:r>
        <w:rPr>
          <w:rFonts w:ascii="Times New Roman"/>
          <w:b w:val="false"/>
          <w:i w:val="false"/>
          <w:color w:val="000000"/>
          <w:sz w:val="28"/>
        </w:rPr>
        <w:t>
      1) определять и характеризовать профиль безопасности лекарственного препарата;</w:t>
      </w:r>
    </w:p>
    <w:bookmarkEnd w:id="6957"/>
    <w:bookmarkStart w:name="z7128" w:id="6958"/>
    <w:p>
      <w:pPr>
        <w:spacing w:after="0"/>
        <w:ind w:left="0"/>
        <w:jc w:val="both"/>
      </w:pPr>
      <w:r>
        <w:rPr>
          <w:rFonts w:ascii="Times New Roman"/>
          <w:b w:val="false"/>
          <w:i w:val="false"/>
          <w:color w:val="000000"/>
          <w:sz w:val="28"/>
        </w:rPr>
        <w:t>
      2) указывать, каким образом способствовать дальнейшей характеристике профиля безопасности лекарственного препарата;</w:t>
      </w:r>
    </w:p>
    <w:bookmarkEnd w:id="6958"/>
    <w:bookmarkStart w:name="z7129" w:id="6959"/>
    <w:p>
      <w:pPr>
        <w:spacing w:after="0"/>
        <w:ind w:left="0"/>
        <w:jc w:val="both"/>
      </w:pPr>
      <w:r>
        <w:rPr>
          <w:rFonts w:ascii="Times New Roman"/>
          <w:b w:val="false"/>
          <w:i w:val="false"/>
          <w:color w:val="000000"/>
          <w:sz w:val="28"/>
        </w:rPr>
        <w:t>
      3) подтверждать документально меры по предотвращению или минимизации рисков, связанных с применением лекарственного препарата, включая оценку эффективности данных мероприятий;</w:t>
      </w:r>
    </w:p>
    <w:bookmarkEnd w:id="6959"/>
    <w:bookmarkStart w:name="z7130" w:id="6960"/>
    <w:p>
      <w:pPr>
        <w:spacing w:after="0"/>
        <w:ind w:left="0"/>
        <w:jc w:val="both"/>
      </w:pPr>
      <w:r>
        <w:rPr>
          <w:rFonts w:ascii="Times New Roman"/>
          <w:b w:val="false"/>
          <w:i w:val="false"/>
          <w:color w:val="000000"/>
          <w:sz w:val="28"/>
        </w:rPr>
        <w:t>
      4) подтверждать документально выполнение пострегистрационных обязательств по обеспечению безопасности применения, введенных при регистрации лекарственного препарата.</w:t>
      </w:r>
    </w:p>
    <w:bookmarkEnd w:id="6960"/>
    <w:bookmarkStart w:name="z7131" w:id="6961"/>
    <w:p>
      <w:pPr>
        <w:spacing w:after="0"/>
        <w:ind w:left="0"/>
        <w:jc w:val="both"/>
      </w:pPr>
      <w:r>
        <w:rPr>
          <w:rFonts w:ascii="Times New Roman"/>
          <w:b w:val="false"/>
          <w:i w:val="false"/>
          <w:color w:val="000000"/>
          <w:sz w:val="28"/>
        </w:rPr>
        <w:t>
      176. Для выполнения указанных требований ПУР содержит:</w:t>
      </w:r>
    </w:p>
    <w:bookmarkEnd w:id="6961"/>
    <w:bookmarkStart w:name="z7132" w:id="6962"/>
    <w:p>
      <w:pPr>
        <w:spacing w:after="0"/>
        <w:ind w:left="0"/>
        <w:jc w:val="both"/>
      </w:pPr>
      <w:r>
        <w:rPr>
          <w:rFonts w:ascii="Times New Roman"/>
          <w:b w:val="false"/>
          <w:i w:val="false"/>
          <w:color w:val="000000"/>
          <w:sz w:val="28"/>
        </w:rPr>
        <w:t>
      1) описание известной и неизвестной информации о профиле безопасности лекарственного препарата;</w:t>
      </w:r>
    </w:p>
    <w:bookmarkEnd w:id="6962"/>
    <w:bookmarkStart w:name="z7133" w:id="6963"/>
    <w:p>
      <w:pPr>
        <w:spacing w:after="0"/>
        <w:ind w:left="0"/>
        <w:jc w:val="both"/>
      </w:pPr>
      <w:r>
        <w:rPr>
          <w:rFonts w:ascii="Times New Roman"/>
          <w:b w:val="false"/>
          <w:i w:val="false"/>
          <w:color w:val="000000"/>
          <w:sz w:val="28"/>
        </w:rPr>
        <w:t>
      2) указания по степени уверенности в том, что эффективность лекарственного препарата, продемонстрированная у целевых популяций при проведении клинических испытаний, достигнется в повседневной медицинской практике и документальному подтверждению возможной необходимости исследований эффективности в пострегистрационном периоде;</w:t>
      </w:r>
    </w:p>
    <w:bookmarkEnd w:id="6963"/>
    <w:bookmarkStart w:name="z7134" w:id="6964"/>
    <w:p>
      <w:pPr>
        <w:spacing w:after="0"/>
        <w:ind w:left="0"/>
        <w:jc w:val="both"/>
      </w:pPr>
      <w:r>
        <w:rPr>
          <w:rFonts w:ascii="Times New Roman"/>
          <w:b w:val="false"/>
          <w:i w:val="false"/>
          <w:color w:val="000000"/>
          <w:sz w:val="28"/>
        </w:rPr>
        <w:t>
      3) планирование способов оценки эффективности мер по минимизации рисков.</w:t>
      </w:r>
    </w:p>
    <w:bookmarkEnd w:id="6964"/>
    <w:bookmarkStart w:name="z7135" w:id="6965"/>
    <w:p>
      <w:pPr>
        <w:spacing w:after="0"/>
        <w:ind w:left="0"/>
        <w:jc w:val="both"/>
      </w:pPr>
      <w:r>
        <w:rPr>
          <w:rFonts w:ascii="Times New Roman"/>
          <w:b w:val="false"/>
          <w:i w:val="false"/>
          <w:color w:val="000000"/>
          <w:sz w:val="28"/>
        </w:rPr>
        <w:t>
      177. ПУР является динамично изменяющимся, самостоятельным документом, который обновляется на протяжении всего жизненного цикла продукции. Для лекарственного препарата, требующего составления периодических отчетов по безопасности, некоторые части (модули) используются для обеих целей.</w:t>
      </w:r>
    </w:p>
    <w:bookmarkEnd w:id="6965"/>
    <w:bookmarkStart w:name="z7136" w:id="6966"/>
    <w:p>
      <w:pPr>
        <w:spacing w:after="0"/>
        <w:ind w:left="0"/>
        <w:jc w:val="both"/>
      </w:pPr>
      <w:r>
        <w:rPr>
          <w:rFonts w:ascii="Times New Roman"/>
          <w:b w:val="false"/>
          <w:i w:val="false"/>
          <w:color w:val="000000"/>
          <w:sz w:val="28"/>
        </w:rPr>
        <w:t>
      178. ПУР включает семь информационных частей:</w:t>
      </w:r>
    </w:p>
    <w:bookmarkEnd w:id="6966"/>
    <w:bookmarkStart w:name="z7137" w:id="6967"/>
    <w:p>
      <w:pPr>
        <w:spacing w:after="0"/>
        <w:ind w:left="0"/>
        <w:jc w:val="both"/>
      </w:pPr>
      <w:r>
        <w:rPr>
          <w:rFonts w:ascii="Times New Roman"/>
          <w:b w:val="false"/>
          <w:i w:val="false"/>
          <w:color w:val="000000"/>
          <w:sz w:val="28"/>
        </w:rPr>
        <w:t>
      Часть I. Обзорная информация по лекарственному препарату</w:t>
      </w:r>
    </w:p>
    <w:bookmarkEnd w:id="6967"/>
    <w:bookmarkStart w:name="z7138" w:id="6968"/>
    <w:p>
      <w:pPr>
        <w:spacing w:after="0"/>
        <w:ind w:left="0"/>
        <w:jc w:val="both"/>
      </w:pPr>
      <w:r>
        <w:rPr>
          <w:rFonts w:ascii="Times New Roman"/>
          <w:b w:val="false"/>
          <w:i w:val="false"/>
          <w:color w:val="000000"/>
          <w:sz w:val="28"/>
        </w:rPr>
        <w:t>
      Часть II. Спецификация по безопасности</w:t>
      </w:r>
    </w:p>
    <w:bookmarkEnd w:id="6968"/>
    <w:bookmarkStart w:name="z7139" w:id="6969"/>
    <w:p>
      <w:pPr>
        <w:spacing w:after="0"/>
        <w:ind w:left="0"/>
        <w:jc w:val="both"/>
      </w:pPr>
      <w:r>
        <w:rPr>
          <w:rFonts w:ascii="Times New Roman"/>
          <w:b w:val="false"/>
          <w:i w:val="false"/>
          <w:color w:val="000000"/>
          <w:sz w:val="28"/>
        </w:rPr>
        <w:t>
      Модуль СI: Эпидемиология показаний по целевой популяции</w:t>
      </w:r>
    </w:p>
    <w:bookmarkEnd w:id="6969"/>
    <w:bookmarkStart w:name="z7140" w:id="6970"/>
    <w:p>
      <w:pPr>
        <w:spacing w:after="0"/>
        <w:ind w:left="0"/>
        <w:jc w:val="both"/>
      </w:pPr>
      <w:r>
        <w:rPr>
          <w:rFonts w:ascii="Times New Roman"/>
          <w:b w:val="false"/>
          <w:i w:val="false"/>
          <w:color w:val="000000"/>
          <w:sz w:val="28"/>
        </w:rPr>
        <w:t xml:space="preserve">
      Модуль СII: Доклиническая часть </w:t>
      </w:r>
    </w:p>
    <w:bookmarkEnd w:id="6970"/>
    <w:bookmarkStart w:name="z7141" w:id="6971"/>
    <w:p>
      <w:pPr>
        <w:spacing w:after="0"/>
        <w:ind w:left="0"/>
        <w:jc w:val="both"/>
      </w:pPr>
      <w:r>
        <w:rPr>
          <w:rFonts w:ascii="Times New Roman"/>
          <w:b w:val="false"/>
          <w:i w:val="false"/>
          <w:color w:val="000000"/>
          <w:sz w:val="28"/>
        </w:rPr>
        <w:t>
      Модуль СIII: Воздействие лекарственного препарата в ходе клинических исследований (испытаний)</w:t>
      </w:r>
    </w:p>
    <w:bookmarkEnd w:id="6971"/>
    <w:bookmarkStart w:name="z7142" w:id="6972"/>
    <w:p>
      <w:pPr>
        <w:spacing w:after="0"/>
        <w:ind w:left="0"/>
        <w:jc w:val="both"/>
      </w:pPr>
      <w:r>
        <w:rPr>
          <w:rFonts w:ascii="Times New Roman"/>
          <w:b w:val="false"/>
          <w:i w:val="false"/>
          <w:color w:val="000000"/>
          <w:sz w:val="28"/>
        </w:rPr>
        <w:t>
      Модуль СIV: Популяции, не изученные в ходе клинических исследований (испытаний)</w:t>
      </w:r>
    </w:p>
    <w:bookmarkEnd w:id="6972"/>
    <w:bookmarkStart w:name="z7143" w:id="6973"/>
    <w:p>
      <w:pPr>
        <w:spacing w:after="0"/>
        <w:ind w:left="0"/>
        <w:jc w:val="both"/>
      </w:pPr>
      <w:r>
        <w:rPr>
          <w:rFonts w:ascii="Times New Roman"/>
          <w:b w:val="false"/>
          <w:i w:val="false"/>
          <w:color w:val="000000"/>
          <w:sz w:val="28"/>
        </w:rPr>
        <w:t>
      Модуль СV: Пострегистрационный опыт применения</w:t>
      </w:r>
    </w:p>
    <w:bookmarkEnd w:id="6973"/>
    <w:bookmarkStart w:name="z7144" w:id="6974"/>
    <w:p>
      <w:pPr>
        <w:spacing w:after="0"/>
        <w:ind w:left="0"/>
        <w:jc w:val="both"/>
      </w:pPr>
      <w:r>
        <w:rPr>
          <w:rFonts w:ascii="Times New Roman"/>
          <w:b w:val="false"/>
          <w:i w:val="false"/>
          <w:color w:val="000000"/>
          <w:sz w:val="28"/>
        </w:rPr>
        <w:t>
      Модуль СVI: Дополнительные требования к спецификации по безопасности</w:t>
      </w:r>
    </w:p>
    <w:bookmarkEnd w:id="6974"/>
    <w:bookmarkStart w:name="z7145" w:id="6975"/>
    <w:p>
      <w:pPr>
        <w:spacing w:after="0"/>
        <w:ind w:left="0"/>
        <w:jc w:val="both"/>
      </w:pPr>
      <w:r>
        <w:rPr>
          <w:rFonts w:ascii="Times New Roman"/>
          <w:b w:val="false"/>
          <w:i w:val="false"/>
          <w:color w:val="000000"/>
          <w:sz w:val="28"/>
        </w:rPr>
        <w:t>
      Модуль СVII: Идентифицированные и потенциальные риски</w:t>
      </w:r>
    </w:p>
    <w:bookmarkEnd w:id="6975"/>
    <w:bookmarkStart w:name="z7146" w:id="6976"/>
    <w:p>
      <w:pPr>
        <w:spacing w:after="0"/>
        <w:ind w:left="0"/>
        <w:jc w:val="both"/>
      </w:pPr>
      <w:r>
        <w:rPr>
          <w:rFonts w:ascii="Times New Roman"/>
          <w:b w:val="false"/>
          <w:i w:val="false"/>
          <w:color w:val="000000"/>
          <w:sz w:val="28"/>
        </w:rPr>
        <w:t>
      Модуль СVIII: Обобщенная информация по проблемам безопасности</w:t>
      </w:r>
    </w:p>
    <w:bookmarkEnd w:id="6976"/>
    <w:bookmarkStart w:name="z7147" w:id="6977"/>
    <w:p>
      <w:pPr>
        <w:spacing w:after="0"/>
        <w:ind w:left="0"/>
        <w:jc w:val="both"/>
      </w:pPr>
      <w:r>
        <w:rPr>
          <w:rFonts w:ascii="Times New Roman"/>
          <w:b w:val="false"/>
          <w:i w:val="false"/>
          <w:color w:val="000000"/>
          <w:sz w:val="28"/>
        </w:rPr>
        <w:t>
      Часть III. План по фармаконадзору</w:t>
      </w:r>
    </w:p>
    <w:bookmarkEnd w:id="6977"/>
    <w:bookmarkStart w:name="z7148" w:id="6978"/>
    <w:p>
      <w:pPr>
        <w:spacing w:after="0"/>
        <w:ind w:left="0"/>
        <w:jc w:val="both"/>
      </w:pPr>
      <w:r>
        <w:rPr>
          <w:rFonts w:ascii="Times New Roman"/>
          <w:b w:val="false"/>
          <w:i w:val="false"/>
          <w:color w:val="000000"/>
          <w:sz w:val="28"/>
        </w:rPr>
        <w:t>
      Часть IV. План пострегистрационных исследований эффективности</w:t>
      </w:r>
    </w:p>
    <w:bookmarkEnd w:id="6978"/>
    <w:bookmarkStart w:name="z7149" w:id="6979"/>
    <w:p>
      <w:pPr>
        <w:spacing w:after="0"/>
        <w:ind w:left="0"/>
        <w:jc w:val="both"/>
      </w:pPr>
      <w:r>
        <w:rPr>
          <w:rFonts w:ascii="Times New Roman"/>
          <w:b w:val="false"/>
          <w:i w:val="false"/>
          <w:color w:val="000000"/>
          <w:sz w:val="28"/>
        </w:rPr>
        <w:t>
      Часть V. Меры минимизации рисков (включая оценку эффективности мер по минимизации рисков)</w:t>
      </w:r>
    </w:p>
    <w:bookmarkEnd w:id="6979"/>
    <w:bookmarkStart w:name="z7150" w:id="6980"/>
    <w:p>
      <w:pPr>
        <w:spacing w:after="0"/>
        <w:ind w:left="0"/>
        <w:jc w:val="both"/>
      </w:pPr>
      <w:r>
        <w:rPr>
          <w:rFonts w:ascii="Times New Roman"/>
          <w:b w:val="false"/>
          <w:i w:val="false"/>
          <w:color w:val="000000"/>
          <w:sz w:val="28"/>
        </w:rPr>
        <w:t>
      Часть VI. Резюме плана управления рисками</w:t>
      </w:r>
    </w:p>
    <w:bookmarkEnd w:id="6980"/>
    <w:bookmarkStart w:name="z7151" w:id="6981"/>
    <w:p>
      <w:pPr>
        <w:spacing w:after="0"/>
        <w:ind w:left="0"/>
        <w:jc w:val="both"/>
      </w:pPr>
      <w:r>
        <w:rPr>
          <w:rFonts w:ascii="Times New Roman"/>
          <w:b w:val="false"/>
          <w:i w:val="false"/>
          <w:color w:val="000000"/>
          <w:sz w:val="28"/>
        </w:rPr>
        <w:t>
      Часть VII. Приложения</w:t>
      </w:r>
    </w:p>
    <w:bookmarkEnd w:id="6981"/>
    <w:bookmarkStart w:name="z7152" w:id="6982"/>
    <w:p>
      <w:pPr>
        <w:spacing w:after="0"/>
        <w:ind w:left="0"/>
        <w:jc w:val="both"/>
      </w:pPr>
      <w:r>
        <w:rPr>
          <w:rFonts w:ascii="Times New Roman"/>
          <w:b w:val="false"/>
          <w:i w:val="false"/>
          <w:color w:val="000000"/>
          <w:sz w:val="28"/>
        </w:rPr>
        <w:t>
      Если ПУР составляется на несколько лекарственных препаратов, то для каждого из лекарственных препаратов предусматривается отдельная часть.</w:t>
      </w:r>
    </w:p>
    <w:bookmarkEnd w:id="6982"/>
    <w:bookmarkStart w:name="z7153" w:id="6983"/>
    <w:p>
      <w:pPr>
        <w:spacing w:after="0"/>
        <w:ind w:left="0"/>
        <w:jc w:val="both"/>
      </w:pPr>
      <w:r>
        <w:rPr>
          <w:rFonts w:ascii="Times New Roman"/>
          <w:b w:val="false"/>
          <w:i w:val="false"/>
          <w:color w:val="000000"/>
          <w:sz w:val="28"/>
        </w:rPr>
        <w:t>
      179. Часть I. ПУР "Обзорная информация по лекарственному препарату".</w:t>
      </w:r>
    </w:p>
    <w:bookmarkEnd w:id="6983"/>
    <w:bookmarkStart w:name="z7154" w:id="6984"/>
    <w:p>
      <w:pPr>
        <w:spacing w:after="0"/>
        <w:ind w:left="0"/>
        <w:jc w:val="both"/>
      </w:pPr>
      <w:r>
        <w:rPr>
          <w:rFonts w:ascii="Times New Roman"/>
          <w:b w:val="false"/>
          <w:i w:val="false"/>
          <w:color w:val="000000"/>
          <w:sz w:val="28"/>
        </w:rPr>
        <w:t>
      Данная часть представляет административную информацию о ПУР и обзорную информацию по лекарственному препарату, на которое составляется ПУР.</w:t>
      </w:r>
    </w:p>
    <w:bookmarkEnd w:id="6984"/>
    <w:bookmarkStart w:name="z7155" w:id="6985"/>
    <w:p>
      <w:pPr>
        <w:spacing w:after="0"/>
        <w:ind w:left="0"/>
        <w:jc w:val="both"/>
      </w:pPr>
      <w:r>
        <w:rPr>
          <w:rFonts w:ascii="Times New Roman"/>
          <w:b w:val="false"/>
          <w:i w:val="false"/>
          <w:color w:val="000000"/>
          <w:sz w:val="28"/>
        </w:rPr>
        <w:t>
      180. Раздел включает:</w:t>
      </w:r>
    </w:p>
    <w:bookmarkEnd w:id="6985"/>
    <w:bookmarkStart w:name="z7156" w:id="6986"/>
    <w:p>
      <w:pPr>
        <w:spacing w:after="0"/>
        <w:ind w:left="0"/>
        <w:jc w:val="both"/>
      </w:pPr>
      <w:r>
        <w:rPr>
          <w:rFonts w:ascii="Times New Roman"/>
          <w:b w:val="false"/>
          <w:i w:val="false"/>
          <w:color w:val="000000"/>
          <w:sz w:val="28"/>
        </w:rPr>
        <w:t>
      Информация об активном веществе:</w:t>
      </w:r>
    </w:p>
    <w:bookmarkEnd w:id="6986"/>
    <w:bookmarkStart w:name="z7157" w:id="6987"/>
    <w:p>
      <w:pPr>
        <w:spacing w:after="0"/>
        <w:ind w:left="0"/>
        <w:jc w:val="both"/>
      </w:pPr>
      <w:r>
        <w:rPr>
          <w:rFonts w:ascii="Times New Roman"/>
          <w:b w:val="false"/>
          <w:i w:val="false"/>
          <w:color w:val="000000"/>
          <w:sz w:val="28"/>
        </w:rPr>
        <w:t>
      1) активное вещество;</w:t>
      </w:r>
    </w:p>
    <w:bookmarkEnd w:id="6987"/>
    <w:bookmarkStart w:name="z7158" w:id="6988"/>
    <w:p>
      <w:pPr>
        <w:spacing w:after="0"/>
        <w:ind w:left="0"/>
        <w:jc w:val="both"/>
      </w:pPr>
      <w:r>
        <w:rPr>
          <w:rFonts w:ascii="Times New Roman"/>
          <w:b w:val="false"/>
          <w:i w:val="false"/>
          <w:color w:val="000000"/>
          <w:sz w:val="28"/>
        </w:rPr>
        <w:t>
      2) фармакотерапевтическая группа (код АТХ-АТС);</w:t>
      </w:r>
    </w:p>
    <w:bookmarkEnd w:id="6988"/>
    <w:bookmarkStart w:name="z7159" w:id="6989"/>
    <w:p>
      <w:pPr>
        <w:spacing w:after="0"/>
        <w:ind w:left="0"/>
        <w:jc w:val="both"/>
      </w:pPr>
      <w:r>
        <w:rPr>
          <w:rFonts w:ascii="Times New Roman"/>
          <w:b w:val="false"/>
          <w:i w:val="false"/>
          <w:color w:val="000000"/>
          <w:sz w:val="28"/>
        </w:rPr>
        <w:t>
      3) название держателя регистрационного удостоверения;</w:t>
      </w:r>
    </w:p>
    <w:bookmarkEnd w:id="6989"/>
    <w:bookmarkStart w:name="z7160" w:id="6990"/>
    <w:p>
      <w:pPr>
        <w:spacing w:after="0"/>
        <w:ind w:left="0"/>
        <w:jc w:val="both"/>
      </w:pPr>
      <w:r>
        <w:rPr>
          <w:rFonts w:ascii="Times New Roman"/>
          <w:b w:val="false"/>
          <w:i w:val="false"/>
          <w:color w:val="000000"/>
          <w:sz w:val="28"/>
        </w:rPr>
        <w:t>
      4) дата и страна первой регистрации в мире (если применимо);</w:t>
      </w:r>
    </w:p>
    <w:bookmarkEnd w:id="6990"/>
    <w:bookmarkStart w:name="z7161" w:id="6991"/>
    <w:p>
      <w:pPr>
        <w:spacing w:after="0"/>
        <w:ind w:left="0"/>
        <w:jc w:val="both"/>
      </w:pPr>
      <w:r>
        <w:rPr>
          <w:rFonts w:ascii="Times New Roman"/>
          <w:b w:val="false"/>
          <w:i w:val="false"/>
          <w:color w:val="000000"/>
          <w:sz w:val="28"/>
        </w:rPr>
        <w:t>
      5) дата и страна, начавшая медицинское применение (если применимо);</w:t>
      </w:r>
    </w:p>
    <w:bookmarkEnd w:id="6991"/>
    <w:bookmarkStart w:name="z7162" w:id="6992"/>
    <w:p>
      <w:pPr>
        <w:spacing w:after="0"/>
        <w:ind w:left="0"/>
        <w:jc w:val="both"/>
      </w:pPr>
      <w:r>
        <w:rPr>
          <w:rFonts w:ascii="Times New Roman"/>
          <w:b w:val="false"/>
          <w:i w:val="false"/>
          <w:color w:val="000000"/>
          <w:sz w:val="28"/>
        </w:rPr>
        <w:t>
      6) количество лекарственных препаратов, включенных в ПУР.</w:t>
      </w:r>
    </w:p>
    <w:bookmarkEnd w:id="6992"/>
    <w:bookmarkStart w:name="z7163" w:id="6993"/>
    <w:p>
      <w:pPr>
        <w:spacing w:after="0"/>
        <w:ind w:left="0"/>
        <w:jc w:val="both"/>
      </w:pPr>
      <w:r>
        <w:rPr>
          <w:rFonts w:ascii="Times New Roman"/>
          <w:b w:val="false"/>
          <w:i w:val="false"/>
          <w:color w:val="000000"/>
          <w:sz w:val="28"/>
        </w:rPr>
        <w:t>
      181. Административная информация о ПУР:</w:t>
      </w:r>
    </w:p>
    <w:bookmarkEnd w:id="6993"/>
    <w:bookmarkStart w:name="z7164" w:id="6994"/>
    <w:p>
      <w:pPr>
        <w:spacing w:after="0"/>
        <w:ind w:left="0"/>
        <w:jc w:val="both"/>
      </w:pPr>
      <w:r>
        <w:rPr>
          <w:rFonts w:ascii="Times New Roman"/>
          <w:b w:val="false"/>
          <w:i w:val="false"/>
          <w:color w:val="000000"/>
          <w:sz w:val="28"/>
        </w:rPr>
        <w:t>
      1) дата окончания сбора данных в рамках текущего ПУР;</w:t>
      </w:r>
    </w:p>
    <w:bookmarkEnd w:id="6994"/>
    <w:bookmarkStart w:name="z7165" w:id="6995"/>
    <w:p>
      <w:pPr>
        <w:spacing w:after="0"/>
        <w:ind w:left="0"/>
        <w:jc w:val="both"/>
      </w:pPr>
      <w:r>
        <w:rPr>
          <w:rFonts w:ascii="Times New Roman"/>
          <w:b w:val="false"/>
          <w:i w:val="false"/>
          <w:color w:val="000000"/>
          <w:sz w:val="28"/>
        </w:rPr>
        <w:t>
      2) дата представления и номер версии;</w:t>
      </w:r>
    </w:p>
    <w:bookmarkEnd w:id="6995"/>
    <w:bookmarkStart w:name="z7166" w:id="6996"/>
    <w:p>
      <w:pPr>
        <w:spacing w:after="0"/>
        <w:ind w:left="0"/>
        <w:jc w:val="both"/>
      </w:pPr>
      <w:r>
        <w:rPr>
          <w:rFonts w:ascii="Times New Roman"/>
          <w:b w:val="false"/>
          <w:i w:val="false"/>
          <w:color w:val="000000"/>
          <w:sz w:val="28"/>
        </w:rPr>
        <w:t>
      3) перечень всех частей и модулей ПУР с представлением информации о дате и версии ПУР, в рамках которого в последний раз обновлялась и представлялась часть (модуль).</w:t>
      </w:r>
    </w:p>
    <w:bookmarkEnd w:id="6996"/>
    <w:bookmarkStart w:name="z7167" w:id="6997"/>
    <w:p>
      <w:pPr>
        <w:spacing w:after="0"/>
        <w:ind w:left="0"/>
        <w:jc w:val="both"/>
      </w:pPr>
      <w:r>
        <w:rPr>
          <w:rFonts w:ascii="Times New Roman"/>
          <w:b w:val="false"/>
          <w:i w:val="false"/>
          <w:color w:val="000000"/>
          <w:sz w:val="28"/>
        </w:rPr>
        <w:t>
      182. Информация для каждого лекарственного препарата, включенного в ПУР:</w:t>
      </w:r>
    </w:p>
    <w:bookmarkEnd w:id="6997"/>
    <w:bookmarkStart w:name="z7168" w:id="6998"/>
    <w:p>
      <w:pPr>
        <w:spacing w:after="0"/>
        <w:ind w:left="0"/>
        <w:jc w:val="both"/>
      </w:pPr>
      <w:r>
        <w:rPr>
          <w:rFonts w:ascii="Times New Roman"/>
          <w:b w:val="false"/>
          <w:i w:val="false"/>
          <w:color w:val="000000"/>
          <w:sz w:val="28"/>
        </w:rPr>
        <w:t>
      1) торговое наименование в Республике Казахстан;</w:t>
      </w:r>
    </w:p>
    <w:bookmarkEnd w:id="6998"/>
    <w:bookmarkStart w:name="z7169" w:id="6999"/>
    <w:p>
      <w:pPr>
        <w:spacing w:after="0"/>
        <w:ind w:left="0"/>
        <w:jc w:val="both"/>
      </w:pPr>
      <w:r>
        <w:rPr>
          <w:rFonts w:ascii="Times New Roman"/>
          <w:b w:val="false"/>
          <w:i w:val="false"/>
          <w:color w:val="000000"/>
          <w:sz w:val="28"/>
        </w:rPr>
        <w:t>
      2) краткое описание лекарственного препарата, включающее:</w:t>
      </w:r>
    </w:p>
    <w:bookmarkEnd w:id="6999"/>
    <w:bookmarkStart w:name="z7170" w:id="7000"/>
    <w:p>
      <w:pPr>
        <w:spacing w:after="0"/>
        <w:ind w:left="0"/>
        <w:jc w:val="both"/>
      </w:pPr>
      <w:r>
        <w:rPr>
          <w:rFonts w:ascii="Times New Roman"/>
          <w:b w:val="false"/>
          <w:i w:val="false"/>
          <w:color w:val="000000"/>
          <w:sz w:val="28"/>
        </w:rPr>
        <w:t>
      химический класс;</w:t>
      </w:r>
    </w:p>
    <w:bookmarkEnd w:id="7000"/>
    <w:bookmarkStart w:name="z7171" w:id="7001"/>
    <w:p>
      <w:pPr>
        <w:spacing w:after="0"/>
        <w:ind w:left="0"/>
        <w:jc w:val="both"/>
      </w:pPr>
      <w:r>
        <w:rPr>
          <w:rFonts w:ascii="Times New Roman"/>
          <w:b w:val="false"/>
          <w:i w:val="false"/>
          <w:color w:val="000000"/>
          <w:sz w:val="28"/>
        </w:rPr>
        <w:t>
      краткое описание механизма действия;</w:t>
      </w:r>
    </w:p>
    <w:bookmarkEnd w:id="7001"/>
    <w:bookmarkStart w:name="z7172" w:id="7002"/>
    <w:p>
      <w:pPr>
        <w:spacing w:after="0"/>
        <w:ind w:left="0"/>
        <w:jc w:val="both"/>
      </w:pPr>
      <w:r>
        <w:rPr>
          <w:rFonts w:ascii="Times New Roman"/>
          <w:b w:val="false"/>
          <w:i w:val="false"/>
          <w:color w:val="000000"/>
          <w:sz w:val="28"/>
        </w:rPr>
        <w:t>
      важная информация о его составе (происхождение активного вещества биологических лекарственных препаратов, соответствующих адъювантов для вакцин);</w:t>
      </w:r>
    </w:p>
    <w:bookmarkEnd w:id="7002"/>
    <w:bookmarkStart w:name="z7173" w:id="7003"/>
    <w:p>
      <w:pPr>
        <w:spacing w:after="0"/>
        <w:ind w:left="0"/>
        <w:jc w:val="both"/>
      </w:pPr>
      <w:r>
        <w:rPr>
          <w:rFonts w:ascii="Times New Roman"/>
          <w:b w:val="false"/>
          <w:i w:val="false"/>
          <w:color w:val="000000"/>
          <w:sz w:val="28"/>
        </w:rPr>
        <w:t>
      3) показания:</w:t>
      </w:r>
    </w:p>
    <w:bookmarkEnd w:id="7003"/>
    <w:bookmarkStart w:name="z7174" w:id="7004"/>
    <w:p>
      <w:pPr>
        <w:spacing w:after="0"/>
        <w:ind w:left="0"/>
        <w:jc w:val="both"/>
      </w:pPr>
      <w:r>
        <w:rPr>
          <w:rFonts w:ascii="Times New Roman"/>
          <w:b w:val="false"/>
          <w:i w:val="false"/>
          <w:color w:val="000000"/>
          <w:sz w:val="28"/>
        </w:rPr>
        <w:t>
      одобренные (если применимо);</w:t>
      </w:r>
    </w:p>
    <w:bookmarkEnd w:id="7004"/>
    <w:bookmarkStart w:name="z7175" w:id="7005"/>
    <w:p>
      <w:pPr>
        <w:spacing w:after="0"/>
        <w:ind w:left="0"/>
        <w:jc w:val="both"/>
      </w:pPr>
      <w:r>
        <w:rPr>
          <w:rFonts w:ascii="Times New Roman"/>
          <w:b w:val="false"/>
          <w:i w:val="false"/>
          <w:color w:val="000000"/>
          <w:sz w:val="28"/>
        </w:rPr>
        <w:t>
      предлагаемые (если применимо);</w:t>
      </w:r>
    </w:p>
    <w:bookmarkEnd w:id="7005"/>
    <w:bookmarkStart w:name="z7176" w:id="7006"/>
    <w:p>
      <w:pPr>
        <w:spacing w:after="0"/>
        <w:ind w:left="0"/>
        <w:jc w:val="both"/>
      </w:pPr>
      <w:r>
        <w:rPr>
          <w:rFonts w:ascii="Times New Roman"/>
          <w:b w:val="false"/>
          <w:i w:val="false"/>
          <w:color w:val="000000"/>
          <w:sz w:val="28"/>
        </w:rPr>
        <w:t>
      4) режим дозирования:</w:t>
      </w:r>
    </w:p>
    <w:bookmarkEnd w:id="7006"/>
    <w:bookmarkStart w:name="z7177" w:id="7007"/>
    <w:p>
      <w:pPr>
        <w:spacing w:after="0"/>
        <w:ind w:left="0"/>
        <w:jc w:val="both"/>
      </w:pPr>
      <w:r>
        <w:rPr>
          <w:rFonts w:ascii="Times New Roman"/>
          <w:b w:val="false"/>
          <w:i w:val="false"/>
          <w:color w:val="000000"/>
          <w:sz w:val="28"/>
        </w:rPr>
        <w:t>
      одобренный (если применимо);</w:t>
      </w:r>
    </w:p>
    <w:bookmarkEnd w:id="7007"/>
    <w:bookmarkStart w:name="z7178" w:id="7008"/>
    <w:p>
      <w:pPr>
        <w:spacing w:after="0"/>
        <w:ind w:left="0"/>
        <w:jc w:val="both"/>
      </w:pPr>
      <w:r>
        <w:rPr>
          <w:rFonts w:ascii="Times New Roman"/>
          <w:b w:val="false"/>
          <w:i w:val="false"/>
          <w:color w:val="000000"/>
          <w:sz w:val="28"/>
        </w:rPr>
        <w:t>
      предлагаемый (если применимо);</w:t>
      </w:r>
    </w:p>
    <w:bookmarkEnd w:id="7008"/>
    <w:bookmarkStart w:name="z7179" w:id="7009"/>
    <w:p>
      <w:pPr>
        <w:spacing w:after="0"/>
        <w:ind w:left="0"/>
        <w:jc w:val="both"/>
      </w:pPr>
      <w:r>
        <w:rPr>
          <w:rFonts w:ascii="Times New Roman"/>
          <w:b w:val="false"/>
          <w:i w:val="false"/>
          <w:color w:val="000000"/>
          <w:sz w:val="28"/>
        </w:rPr>
        <w:t>
      6) лекарственные формы и дозировка:</w:t>
      </w:r>
    </w:p>
    <w:bookmarkEnd w:id="7009"/>
    <w:bookmarkStart w:name="z7180" w:id="7010"/>
    <w:p>
      <w:pPr>
        <w:spacing w:after="0"/>
        <w:ind w:left="0"/>
        <w:jc w:val="both"/>
      </w:pPr>
      <w:r>
        <w:rPr>
          <w:rFonts w:ascii="Times New Roman"/>
          <w:b w:val="false"/>
          <w:i w:val="false"/>
          <w:color w:val="000000"/>
          <w:sz w:val="28"/>
        </w:rPr>
        <w:t>
      одобренная (если применимо);</w:t>
      </w:r>
    </w:p>
    <w:bookmarkEnd w:id="7010"/>
    <w:bookmarkStart w:name="z7181" w:id="7011"/>
    <w:p>
      <w:pPr>
        <w:spacing w:after="0"/>
        <w:ind w:left="0"/>
        <w:jc w:val="both"/>
      </w:pPr>
      <w:r>
        <w:rPr>
          <w:rFonts w:ascii="Times New Roman"/>
          <w:b w:val="false"/>
          <w:i w:val="false"/>
          <w:color w:val="000000"/>
          <w:sz w:val="28"/>
        </w:rPr>
        <w:t>
      предлагаемая (если применимо);</w:t>
      </w:r>
    </w:p>
    <w:bookmarkEnd w:id="7011"/>
    <w:bookmarkStart w:name="z7182" w:id="7012"/>
    <w:p>
      <w:pPr>
        <w:spacing w:after="0"/>
        <w:ind w:left="0"/>
        <w:jc w:val="both"/>
      </w:pPr>
      <w:r>
        <w:rPr>
          <w:rFonts w:ascii="Times New Roman"/>
          <w:b w:val="false"/>
          <w:i w:val="false"/>
          <w:color w:val="000000"/>
          <w:sz w:val="28"/>
        </w:rPr>
        <w:t>
      7) общемировой регуляторный статус с разбивкой по странам (дата регистрации (отказа), дата размещения на рынке, текущий статус регистрации, пояснительные комментарии).</w:t>
      </w:r>
    </w:p>
    <w:bookmarkEnd w:id="7012"/>
    <w:bookmarkStart w:name="z7183" w:id="7013"/>
    <w:p>
      <w:pPr>
        <w:spacing w:after="0"/>
        <w:ind w:left="0"/>
        <w:jc w:val="both"/>
      </w:pPr>
      <w:r>
        <w:rPr>
          <w:rFonts w:ascii="Times New Roman"/>
          <w:b w:val="false"/>
          <w:i w:val="false"/>
          <w:color w:val="000000"/>
          <w:sz w:val="28"/>
        </w:rPr>
        <w:t>
      183. Целью Части II ПУР "Спецификация по безопасности" является представление краткого обзора профиля безопасности лекарственного препарата, с указанием известной информации по безопасности и определения разделов профиля, по которым безопасность не является достаточно изученной. Спецификация по безопасности представляет резюме важных идентифицированных рисков лекарственного препарата, важных потенциальных рисков и важной отсутствующей информации.</w:t>
      </w:r>
    </w:p>
    <w:bookmarkEnd w:id="7013"/>
    <w:bookmarkStart w:name="z7184" w:id="7014"/>
    <w:p>
      <w:pPr>
        <w:spacing w:after="0"/>
        <w:ind w:left="0"/>
        <w:jc w:val="both"/>
      </w:pPr>
      <w:r>
        <w:rPr>
          <w:rFonts w:ascii="Times New Roman"/>
          <w:b w:val="false"/>
          <w:i w:val="false"/>
          <w:color w:val="000000"/>
          <w:sz w:val="28"/>
        </w:rPr>
        <w:t>
      Спецификация по безопасности в ПУР формирует основу плана фармаконадзора и плана по минимизации рисков.</w:t>
      </w:r>
    </w:p>
    <w:bookmarkEnd w:id="7014"/>
    <w:bookmarkStart w:name="z7185" w:id="7015"/>
    <w:p>
      <w:pPr>
        <w:spacing w:after="0"/>
        <w:ind w:left="0"/>
        <w:jc w:val="both"/>
      </w:pPr>
      <w:r>
        <w:rPr>
          <w:rFonts w:ascii="Times New Roman"/>
          <w:b w:val="false"/>
          <w:i w:val="false"/>
          <w:color w:val="000000"/>
          <w:sz w:val="28"/>
        </w:rPr>
        <w:t>
      Спецификация по безопасности в ПУР включает восемь разделов:</w:t>
      </w:r>
    </w:p>
    <w:bookmarkEnd w:id="7015"/>
    <w:bookmarkStart w:name="z7186" w:id="7016"/>
    <w:p>
      <w:pPr>
        <w:spacing w:after="0"/>
        <w:ind w:left="0"/>
        <w:jc w:val="both"/>
      </w:pPr>
      <w:r>
        <w:rPr>
          <w:rFonts w:ascii="Times New Roman"/>
          <w:b w:val="false"/>
          <w:i w:val="false"/>
          <w:color w:val="000000"/>
          <w:sz w:val="28"/>
        </w:rPr>
        <w:t>
      Модуль СI Эпидемиология показаний по целевой популяции</w:t>
      </w:r>
    </w:p>
    <w:bookmarkEnd w:id="7016"/>
    <w:bookmarkStart w:name="z7187" w:id="7017"/>
    <w:p>
      <w:pPr>
        <w:spacing w:after="0"/>
        <w:ind w:left="0"/>
        <w:jc w:val="both"/>
      </w:pPr>
      <w:r>
        <w:rPr>
          <w:rFonts w:ascii="Times New Roman"/>
          <w:b w:val="false"/>
          <w:i w:val="false"/>
          <w:color w:val="000000"/>
          <w:sz w:val="28"/>
        </w:rPr>
        <w:t>
      Модуль СII Доклиническая часть</w:t>
      </w:r>
    </w:p>
    <w:bookmarkEnd w:id="7017"/>
    <w:bookmarkStart w:name="z7188" w:id="7018"/>
    <w:p>
      <w:pPr>
        <w:spacing w:after="0"/>
        <w:ind w:left="0"/>
        <w:jc w:val="both"/>
      </w:pPr>
      <w:r>
        <w:rPr>
          <w:rFonts w:ascii="Times New Roman"/>
          <w:b w:val="false"/>
          <w:i w:val="false"/>
          <w:color w:val="000000"/>
          <w:sz w:val="28"/>
        </w:rPr>
        <w:t>
      Модуль СIII Воздействие лекарственного препарата в ходе клинических исследований</w:t>
      </w:r>
    </w:p>
    <w:bookmarkEnd w:id="7018"/>
    <w:bookmarkStart w:name="z7189" w:id="7019"/>
    <w:p>
      <w:pPr>
        <w:spacing w:after="0"/>
        <w:ind w:left="0"/>
        <w:jc w:val="both"/>
      </w:pPr>
      <w:r>
        <w:rPr>
          <w:rFonts w:ascii="Times New Roman"/>
          <w:b w:val="false"/>
          <w:i w:val="false"/>
          <w:color w:val="000000"/>
          <w:sz w:val="28"/>
        </w:rPr>
        <w:t>
      Модуль СIV Популяции, не изученные в ходе клинических исследований</w:t>
      </w:r>
    </w:p>
    <w:bookmarkEnd w:id="7019"/>
    <w:bookmarkStart w:name="z7190" w:id="7020"/>
    <w:p>
      <w:pPr>
        <w:spacing w:after="0"/>
        <w:ind w:left="0"/>
        <w:jc w:val="both"/>
      </w:pPr>
      <w:r>
        <w:rPr>
          <w:rFonts w:ascii="Times New Roman"/>
          <w:b w:val="false"/>
          <w:i w:val="false"/>
          <w:color w:val="000000"/>
          <w:sz w:val="28"/>
        </w:rPr>
        <w:t>
      Модуль СV Пострегистрационный опыт применения</w:t>
      </w:r>
    </w:p>
    <w:bookmarkEnd w:id="7020"/>
    <w:bookmarkStart w:name="z7191" w:id="7021"/>
    <w:p>
      <w:pPr>
        <w:spacing w:after="0"/>
        <w:ind w:left="0"/>
        <w:jc w:val="both"/>
      </w:pPr>
      <w:r>
        <w:rPr>
          <w:rFonts w:ascii="Times New Roman"/>
          <w:b w:val="false"/>
          <w:i w:val="false"/>
          <w:color w:val="000000"/>
          <w:sz w:val="28"/>
        </w:rPr>
        <w:t>
      Модуль СVI Дополнительные требования к спецификации по безопасности</w:t>
      </w:r>
    </w:p>
    <w:bookmarkEnd w:id="7021"/>
    <w:bookmarkStart w:name="z7192" w:id="7022"/>
    <w:p>
      <w:pPr>
        <w:spacing w:after="0"/>
        <w:ind w:left="0"/>
        <w:jc w:val="both"/>
      </w:pPr>
      <w:r>
        <w:rPr>
          <w:rFonts w:ascii="Times New Roman"/>
          <w:b w:val="false"/>
          <w:i w:val="false"/>
          <w:color w:val="000000"/>
          <w:sz w:val="28"/>
        </w:rPr>
        <w:t>
      Модуль СVII Идентифицированные и потенциальные риски</w:t>
      </w:r>
    </w:p>
    <w:bookmarkEnd w:id="7022"/>
    <w:bookmarkStart w:name="z7193" w:id="7023"/>
    <w:p>
      <w:pPr>
        <w:spacing w:after="0"/>
        <w:ind w:left="0"/>
        <w:jc w:val="both"/>
      </w:pPr>
      <w:r>
        <w:rPr>
          <w:rFonts w:ascii="Times New Roman"/>
          <w:b w:val="false"/>
          <w:i w:val="false"/>
          <w:color w:val="000000"/>
          <w:sz w:val="28"/>
        </w:rPr>
        <w:t>
      Модуль СVIII Обобщенная информация по проблемам по безопасности</w:t>
      </w:r>
    </w:p>
    <w:bookmarkEnd w:id="7023"/>
    <w:bookmarkStart w:name="z7194" w:id="7024"/>
    <w:p>
      <w:pPr>
        <w:spacing w:after="0"/>
        <w:ind w:left="0"/>
        <w:jc w:val="both"/>
      </w:pPr>
      <w:r>
        <w:rPr>
          <w:rFonts w:ascii="Times New Roman"/>
          <w:b w:val="false"/>
          <w:i w:val="false"/>
          <w:color w:val="000000"/>
          <w:sz w:val="28"/>
        </w:rPr>
        <w:t xml:space="preserve">
      Спецификация по безопасности включает дополнительные элементы в зависимости от свойств лекарственного препарата, программы его разработки и изучения, включая аспекты качества и их влияние на профиль безопасности и эффективности лекарственного препарата, риска связанного с формой выпуска и иных аспектов, модифицирующих профиль безопасности. </w:t>
      </w:r>
    </w:p>
    <w:bookmarkEnd w:id="7024"/>
    <w:bookmarkStart w:name="z7195" w:id="7025"/>
    <w:p>
      <w:pPr>
        <w:spacing w:after="0"/>
        <w:ind w:left="0"/>
        <w:jc w:val="both"/>
      </w:pPr>
      <w:r>
        <w:rPr>
          <w:rFonts w:ascii="Times New Roman"/>
          <w:b w:val="false"/>
          <w:i w:val="false"/>
          <w:color w:val="000000"/>
          <w:sz w:val="28"/>
        </w:rPr>
        <w:t>
      184. Модуль СI ПУР "Эпидемиология показаний по целевой популяции" отражает эпидемиологию показаний, которое является предметом описания и оценки в данном разделе. Описание включает оценку уровня заболеваемости, распространенности, смертности, распространенных в целевой популяции сопутствующих заболеваний и по возможности, представляется со стратификацией по возрасту, полу и расовому и (или) этническому происхождению. Различия в эпидемиологии в разных регионах подвергаются оценке и описанию. Предоставляется информация о важных сопутствующих заболеваниях целевой популяции и возможном влиянии лекарственного препарата на сопутствующую патологию.</w:t>
      </w:r>
    </w:p>
    <w:bookmarkEnd w:id="7025"/>
    <w:bookmarkStart w:name="z7196" w:id="7026"/>
    <w:p>
      <w:pPr>
        <w:spacing w:after="0"/>
        <w:ind w:left="0"/>
        <w:jc w:val="both"/>
      </w:pPr>
      <w:r>
        <w:rPr>
          <w:rFonts w:ascii="Times New Roman"/>
          <w:b w:val="false"/>
          <w:i w:val="false"/>
          <w:color w:val="000000"/>
          <w:sz w:val="28"/>
        </w:rPr>
        <w:t>
      Включается информация о предполагаемом назначении лекарственного препарата, в частности, предназначено ли оно для профилактики заболеваний, для предотвращения некоторых серьезных исходов в связи с определенными заболеваниями или для торможения прогрессирования хронического заболевания. Предоставляется краткий обзор места лекарственного препарата в терапевтическом арсенале лекарственных препаратов.</w:t>
      </w:r>
    </w:p>
    <w:bookmarkEnd w:id="7026"/>
    <w:bookmarkStart w:name="z7197" w:id="7027"/>
    <w:p>
      <w:pPr>
        <w:spacing w:after="0"/>
        <w:ind w:left="0"/>
        <w:jc w:val="both"/>
      </w:pPr>
      <w:r>
        <w:rPr>
          <w:rFonts w:ascii="Times New Roman"/>
          <w:b w:val="false"/>
          <w:i w:val="false"/>
          <w:color w:val="000000"/>
          <w:sz w:val="28"/>
        </w:rPr>
        <w:t>
      185. Модуль СII ПУР "Доклиническая часть" представляет резюме важных данных, полученных в результате доклинических исследований безопасности, в частности:</w:t>
      </w:r>
    </w:p>
    <w:bookmarkEnd w:id="7027"/>
    <w:bookmarkStart w:name="z7198" w:id="7028"/>
    <w:p>
      <w:pPr>
        <w:spacing w:after="0"/>
        <w:ind w:left="0"/>
        <w:jc w:val="both"/>
      </w:pPr>
      <w:r>
        <w:rPr>
          <w:rFonts w:ascii="Times New Roman"/>
          <w:b w:val="false"/>
          <w:i w:val="false"/>
          <w:color w:val="000000"/>
          <w:sz w:val="28"/>
        </w:rPr>
        <w:t>
      1) исследование токсичности (ключевые данные по токсичности, полученные в ходе исследования, в частности, хронической токсичности, репродуктивной токсичности, эмбриотоксичности, тератогенности, нефротоксичности, гепатотоксичности, генотоксичности, канцерогенности);</w:t>
      </w:r>
    </w:p>
    <w:bookmarkEnd w:id="7028"/>
    <w:bookmarkStart w:name="z7199" w:id="7029"/>
    <w:p>
      <w:pPr>
        <w:spacing w:after="0"/>
        <w:ind w:left="0"/>
        <w:jc w:val="both"/>
      </w:pPr>
      <w:r>
        <w:rPr>
          <w:rFonts w:ascii="Times New Roman"/>
          <w:b w:val="false"/>
          <w:i w:val="false"/>
          <w:color w:val="000000"/>
          <w:sz w:val="28"/>
        </w:rPr>
        <w:t>
      2) данные по общим фармакологическим свойствам (влияние на сердечно-сосудистую систему, включая удлинение QT интервала, нервную систему);</w:t>
      </w:r>
    </w:p>
    <w:bookmarkEnd w:id="7029"/>
    <w:bookmarkStart w:name="z7200" w:id="7030"/>
    <w:p>
      <w:pPr>
        <w:spacing w:after="0"/>
        <w:ind w:left="0"/>
        <w:jc w:val="both"/>
      </w:pPr>
      <w:r>
        <w:rPr>
          <w:rFonts w:ascii="Times New Roman"/>
          <w:b w:val="false"/>
          <w:i w:val="false"/>
          <w:color w:val="000000"/>
          <w:sz w:val="28"/>
        </w:rPr>
        <w:t>
      3) данные по реакциям взаимодействия лекарственного препарата;</w:t>
      </w:r>
    </w:p>
    <w:bookmarkEnd w:id="7030"/>
    <w:bookmarkStart w:name="z7201" w:id="7031"/>
    <w:p>
      <w:pPr>
        <w:spacing w:after="0"/>
        <w:ind w:left="0"/>
        <w:jc w:val="both"/>
      </w:pPr>
      <w:r>
        <w:rPr>
          <w:rFonts w:ascii="Times New Roman"/>
          <w:b w:val="false"/>
          <w:i w:val="false"/>
          <w:color w:val="000000"/>
          <w:sz w:val="28"/>
        </w:rPr>
        <w:t>
      4) иные данные по токсичности.</w:t>
      </w:r>
    </w:p>
    <w:bookmarkEnd w:id="7031"/>
    <w:bookmarkStart w:name="z7202" w:id="7032"/>
    <w:p>
      <w:pPr>
        <w:spacing w:after="0"/>
        <w:ind w:left="0"/>
        <w:jc w:val="both"/>
      </w:pPr>
      <w:r>
        <w:rPr>
          <w:rFonts w:ascii="Times New Roman"/>
          <w:b w:val="false"/>
          <w:i w:val="false"/>
          <w:color w:val="000000"/>
          <w:sz w:val="28"/>
        </w:rPr>
        <w:t>
      В разделе содержится информация о значимых токсических свойствах и актуальности выводов при использовании на людях. Значимость данных определяется применительно к свойствам лекарственного препарата, особенностям целевой популяции и опыта применения подобных соединений или подходов к терапии при применении лекарственных препаратов той же группы. Помимо этого, обсуждаются аспекты качества, в случае если они значимо отражаются на профиле безопасности лекарственного препарата (важная информация об активном веществе или его примесях, в частности, генотоксических примесях).</w:t>
      </w:r>
    </w:p>
    <w:bookmarkEnd w:id="7032"/>
    <w:bookmarkStart w:name="z7203" w:id="7033"/>
    <w:p>
      <w:pPr>
        <w:spacing w:after="0"/>
        <w:ind w:left="0"/>
        <w:jc w:val="both"/>
      </w:pPr>
      <w:r>
        <w:rPr>
          <w:rFonts w:ascii="Times New Roman"/>
          <w:b w:val="false"/>
          <w:i w:val="false"/>
          <w:color w:val="000000"/>
          <w:sz w:val="28"/>
        </w:rPr>
        <w:t>
      Если лекарственный препарат предназначен для применения женщинами детородного возраста, в документе упоминаются данные о репродуктивной токсичности и влиянии на развитие плода и о последствиях использования лекарственного препарата у данной группы пациентов. Остальные особые группы населения рассматриваются в зависимости от утвержденных показаний и целевой популяции и от необходимости наличия конкретных доклинических данных.</w:t>
      </w:r>
    </w:p>
    <w:bookmarkEnd w:id="7033"/>
    <w:bookmarkStart w:name="z7204" w:id="7034"/>
    <w:p>
      <w:pPr>
        <w:spacing w:after="0"/>
        <w:ind w:left="0"/>
        <w:jc w:val="both"/>
      </w:pPr>
      <w:r>
        <w:rPr>
          <w:rFonts w:ascii="Times New Roman"/>
          <w:b w:val="false"/>
          <w:i w:val="false"/>
          <w:color w:val="000000"/>
          <w:sz w:val="28"/>
        </w:rPr>
        <w:t>
      186. Модуль СIII ПУР "Воздействие лекарственного препарата в ходе клинических исследований (испытаний)" содержит данные о пациентах, включенных в клинические исследования (испытания) (на каких группах пациентов изучался лекарственный препарат). Данные представляются в формате, удобном для анализа, как правило, в форме таблиц (графиков).</w:t>
      </w:r>
    </w:p>
    <w:bookmarkEnd w:id="7034"/>
    <w:bookmarkStart w:name="z7205" w:id="7035"/>
    <w:p>
      <w:pPr>
        <w:spacing w:after="0"/>
        <w:ind w:left="0"/>
        <w:jc w:val="both"/>
      </w:pPr>
      <w:r>
        <w:rPr>
          <w:rFonts w:ascii="Times New Roman"/>
          <w:b w:val="false"/>
          <w:i w:val="false"/>
          <w:color w:val="000000"/>
          <w:sz w:val="28"/>
        </w:rPr>
        <w:t>
      Объем исследуемой популяции подробно описывается с указанием данных о количестве пациентов и временного промежутка (пациенто-лет, пациенто-месяцев), в течение которого пациенты подвергались воздействию лекарственного препарата. Данные по популяциям, включенным в клинические исследования (испытания), стратифицируются в зависимости от типа исследования (испытания) (популяция, включенная в ослепленное рандомизированное исследование и популяции, включенные во все клинические исследования). Стратификация популяционных подгрупп, как правило, включает в себя:</w:t>
      </w:r>
    </w:p>
    <w:bookmarkEnd w:id="7035"/>
    <w:bookmarkStart w:name="z7206" w:id="7036"/>
    <w:p>
      <w:pPr>
        <w:spacing w:after="0"/>
        <w:ind w:left="0"/>
        <w:jc w:val="both"/>
      </w:pPr>
      <w:r>
        <w:rPr>
          <w:rFonts w:ascii="Times New Roman"/>
          <w:b w:val="false"/>
          <w:i w:val="false"/>
          <w:color w:val="000000"/>
          <w:sz w:val="28"/>
        </w:rPr>
        <w:t>
      1) возраст и пол;</w:t>
      </w:r>
    </w:p>
    <w:bookmarkEnd w:id="7036"/>
    <w:bookmarkStart w:name="z7207" w:id="7037"/>
    <w:p>
      <w:pPr>
        <w:spacing w:after="0"/>
        <w:ind w:left="0"/>
        <w:jc w:val="both"/>
      </w:pPr>
      <w:r>
        <w:rPr>
          <w:rFonts w:ascii="Times New Roman"/>
          <w:b w:val="false"/>
          <w:i w:val="false"/>
          <w:color w:val="000000"/>
          <w:sz w:val="28"/>
        </w:rPr>
        <w:t>
      2) показания;</w:t>
      </w:r>
    </w:p>
    <w:bookmarkEnd w:id="7037"/>
    <w:bookmarkStart w:name="z7208" w:id="7038"/>
    <w:p>
      <w:pPr>
        <w:spacing w:after="0"/>
        <w:ind w:left="0"/>
        <w:jc w:val="both"/>
      </w:pPr>
      <w:r>
        <w:rPr>
          <w:rFonts w:ascii="Times New Roman"/>
          <w:b w:val="false"/>
          <w:i w:val="false"/>
          <w:color w:val="000000"/>
          <w:sz w:val="28"/>
        </w:rPr>
        <w:t>
      3) дозировка;</w:t>
      </w:r>
    </w:p>
    <w:bookmarkEnd w:id="7038"/>
    <w:bookmarkStart w:name="z7209" w:id="7039"/>
    <w:p>
      <w:pPr>
        <w:spacing w:after="0"/>
        <w:ind w:left="0"/>
        <w:jc w:val="both"/>
      </w:pPr>
      <w:r>
        <w:rPr>
          <w:rFonts w:ascii="Times New Roman"/>
          <w:b w:val="false"/>
          <w:i w:val="false"/>
          <w:color w:val="000000"/>
          <w:sz w:val="28"/>
        </w:rPr>
        <w:t>
      4) расовое происхождение.</w:t>
      </w:r>
    </w:p>
    <w:bookmarkEnd w:id="7039"/>
    <w:bookmarkStart w:name="z7210" w:id="7040"/>
    <w:p>
      <w:pPr>
        <w:spacing w:after="0"/>
        <w:ind w:left="0"/>
        <w:jc w:val="both"/>
      </w:pPr>
      <w:r>
        <w:rPr>
          <w:rFonts w:ascii="Times New Roman"/>
          <w:b w:val="false"/>
          <w:i w:val="false"/>
          <w:color w:val="000000"/>
          <w:sz w:val="28"/>
        </w:rPr>
        <w:t>
      Продолжительность воздействия изображается либо графически (путем нанесения на график точек, соответствующих количеству пациентов и времени) или в формате таблицы.</w:t>
      </w:r>
    </w:p>
    <w:bookmarkEnd w:id="7040"/>
    <w:bookmarkStart w:name="z7211" w:id="7041"/>
    <w:p>
      <w:pPr>
        <w:spacing w:after="0"/>
        <w:ind w:left="0"/>
        <w:jc w:val="both"/>
      </w:pPr>
      <w:r>
        <w:rPr>
          <w:rFonts w:ascii="Times New Roman"/>
          <w:b w:val="false"/>
          <w:i w:val="false"/>
          <w:color w:val="000000"/>
          <w:sz w:val="28"/>
        </w:rPr>
        <w:t>
      В случае необходимости представляется информация об изучении воздействия на отдельные популяционные группы (беременные женщины, кормящие матери, пациенты с почечной недостаточностью, печеночной недостаточностью, нарушениями сердечно-сосудистой системы, подгруппы населения с соответствующим генетическим полиморфизмом).</w:t>
      </w:r>
    </w:p>
    <w:bookmarkEnd w:id="7041"/>
    <w:bookmarkStart w:name="z7212" w:id="7042"/>
    <w:p>
      <w:pPr>
        <w:spacing w:after="0"/>
        <w:ind w:left="0"/>
        <w:jc w:val="both"/>
      </w:pPr>
      <w:r>
        <w:rPr>
          <w:rFonts w:ascii="Times New Roman"/>
          <w:b w:val="false"/>
          <w:i w:val="false"/>
          <w:color w:val="000000"/>
          <w:sz w:val="28"/>
        </w:rPr>
        <w:t>
      Указывается степень тяжести нарушения функции почек, печени или сердечно-сосудистой системы и генетического полиморфизма).</w:t>
      </w:r>
    </w:p>
    <w:bookmarkEnd w:id="7042"/>
    <w:bookmarkStart w:name="z7213" w:id="7043"/>
    <w:p>
      <w:pPr>
        <w:spacing w:after="0"/>
        <w:ind w:left="0"/>
        <w:jc w:val="both"/>
      </w:pPr>
      <w:r>
        <w:rPr>
          <w:rFonts w:ascii="Times New Roman"/>
          <w:b w:val="false"/>
          <w:i w:val="false"/>
          <w:color w:val="000000"/>
          <w:sz w:val="28"/>
        </w:rPr>
        <w:t xml:space="preserve">
      При представлении данных о возрасте выбираются категории, имеющие отношение к целевой популяции. Данные по педиатрическим и пожилым пациентам разделяются в соответствии с принятыми возрастными категориями (в частности, по категориям 65-74, 75-84 и старше 85 лет для пожилых пациентов). Для лекарственных препаратов, обладающих тератогенным действием, стратификация строится исходя из возрастных категорий женской части популяции сообразно детородному потенциалу. Итоговые результаты представляются в конце каждой таблицы (диаграммы) по мере необходимости. </w:t>
      </w:r>
    </w:p>
    <w:bookmarkEnd w:id="7043"/>
    <w:bookmarkStart w:name="z7214" w:id="7044"/>
    <w:p>
      <w:pPr>
        <w:spacing w:after="0"/>
        <w:ind w:left="0"/>
        <w:jc w:val="both"/>
      </w:pPr>
      <w:r>
        <w:rPr>
          <w:rFonts w:ascii="Times New Roman"/>
          <w:b w:val="false"/>
          <w:i w:val="false"/>
          <w:color w:val="000000"/>
          <w:sz w:val="28"/>
        </w:rPr>
        <w:t>
      За исключением случаев, когда это является обоснованным, данные по клиническим исследованиям представляются в обобщенной форме с суммированием показателей по графам и разделам в случаях, когда это уместно. В случае, если одна и та же группа пациентов включена в более, чем одно исследование (в частности, продолжение открытого наблюдения после окончания клинического исследования), она включается в таблицу по группе возраст-пол-раса один раз. В случае, если между таблицами возникает несоответствие по числу пациентов, даются соответствующие разъяснения.</w:t>
      </w:r>
    </w:p>
    <w:bookmarkEnd w:id="7044"/>
    <w:bookmarkStart w:name="z7215" w:id="7045"/>
    <w:p>
      <w:pPr>
        <w:spacing w:after="0"/>
        <w:ind w:left="0"/>
        <w:jc w:val="both"/>
      </w:pPr>
      <w:r>
        <w:rPr>
          <w:rFonts w:ascii="Times New Roman"/>
          <w:b w:val="false"/>
          <w:i w:val="false"/>
          <w:color w:val="000000"/>
          <w:sz w:val="28"/>
        </w:rPr>
        <w:t>
      Если ПУР представляется вместе с заявлением на внесение нового показания, отдельно в начале раздела и в сводных таблицах представляются данные по новой лекарственной форме или способу введения, данные клинических испытаний, специфичные для данного показания.</w:t>
      </w:r>
    </w:p>
    <w:bookmarkEnd w:id="7045"/>
    <w:bookmarkStart w:name="z7216" w:id="7046"/>
    <w:p>
      <w:pPr>
        <w:spacing w:after="0"/>
        <w:ind w:left="0"/>
        <w:jc w:val="both"/>
      </w:pPr>
      <w:r>
        <w:rPr>
          <w:rFonts w:ascii="Times New Roman"/>
          <w:b w:val="false"/>
          <w:i w:val="false"/>
          <w:color w:val="000000"/>
          <w:sz w:val="28"/>
        </w:rPr>
        <w:t>
      187. В модуле СIV ПУР "Популяции, не изученные в ходе клинических исследований (испытаний)" представляется информация о том, какие подгруппы пациентов целевых популяций не изучались или изучались лишь в ограниченной степени в пределах групп пациентов, включенных в клинические исследования (испытания). Ограничения клинических исследований (испытаний) представляются с точки зрения релевантности критериев включения и невключения в отношении целевых популяций, а также различий, возникающих в зависимости от параметров испытаний (в частности, больничная или общая практика). Выводы о возможности прогнозирования безопасности для целевых популяций основываются на точной и подробной оценке ограничений имеющихся данных клинических исследований либо их отсутствии для каких-либо подгрупп. Также излагается информация об ограничениях клинической базы данных в отношении выявления нежелательных реакций по причине:</w:t>
      </w:r>
    </w:p>
    <w:bookmarkEnd w:id="7046"/>
    <w:bookmarkStart w:name="z7217" w:id="7047"/>
    <w:p>
      <w:pPr>
        <w:spacing w:after="0"/>
        <w:ind w:left="0"/>
        <w:jc w:val="both"/>
      </w:pPr>
      <w:r>
        <w:rPr>
          <w:rFonts w:ascii="Times New Roman"/>
          <w:b w:val="false"/>
          <w:i w:val="false"/>
          <w:color w:val="000000"/>
          <w:sz w:val="28"/>
        </w:rPr>
        <w:t>
      1) количества включенных в исследование пациентов;</w:t>
      </w:r>
    </w:p>
    <w:bookmarkEnd w:id="7047"/>
    <w:bookmarkStart w:name="z7218" w:id="7048"/>
    <w:p>
      <w:pPr>
        <w:spacing w:after="0"/>
        <w:ind w:left="0"/>
        <w:jc w:val="both"/>
      </w:pPr>
      <w:r>
        <w:rPr>
          <w:rFonts w:ascii="Times New Roman"/>
          <w:b w:val="false"/>
          <w:i w:val="false"/>
          <w:color w:val="000000"/>
          <w:sz w:val="28"/>
        </w:rPr>
        <w:t>
      2) кумулятивного воздействия (специфическая органотоксичность);</w:t>
      </w:r>
    </w:p>
    <w:bookmarkEnd w:id="7048"/>
    <w:bookmarkStart w:name="z7219" w:id="7049"/>
    <w:p>
      <w:pPr>
        <w:spacing w:after="0"/>
        <w:ind w:left="0"/>
        <w:jc w:val="both"/>
      </w:pPr>
      <w:r>
        <w:rPr>
          <w:rFonts w:ascii="Times New Roman"/>
          <w:b w:val="false"/>
          <w:i w:val="false"/>
          <w:color w:val="000000"/>
          <w:sz w:val="28"/>
        </w:rPr>
        <w:t>
      3) длительности применения (оценка канцерогенности).</w:t>
      </w:r>
    </w:p>
    <w:bookmarkEnd w:id="7049"/>
    <w:bookmarkStart w:name="z7220" w:id="7050"/>
    <w:p>
      <w:pPr>
        <w:spacing w:after="0"/>
        <w:ind w:left="0"/>
        <w:jc w:val="both"/>
      </w:pPr>
      <w:r>
        <w:rPr>
          <w:rFonts w:ascii="Times New Roman"/>
          <w:b w:val="false"/>
          <w:i w:val="false"/>
          <w:color w:val="000000"/>
          <w:sz w:val="28"/>
        </w:rPr>
        <w:t>
      Если отсутствующая информация представляет серьезный риск для целевых популяций, то включается в качестве проблемы по безопасности в раздел СVIII ПУР.</w:t>
      </w:r>
    </w:p>
    <w:bookmarkEnd w:id="7050"/>
    <w:bookmarkStart w:name="z7221" w:id="7051"/>
    <w:p>
      <w:pPr>
        <w:spacing w:after="0"/>
        <w:ind w:left="0"/>
        <w:jc w:val="both"/>
      </w:pPr>
      <w:r>
        <w:rPr>
          <w:rFonts w:ascii="Times New Roman"/>
          <w:b w:val="false"/>
          <w:i w:val="false"/>
          <w:color w:val="000000"/>
          <w:sz w:val="28"/>
        </w:rPr>
        <w:t>
      Рассматриваемые группы пациентов включают (но не ограничиваются):</w:t>
      </w:r>
    </w:p>
    <w:bookmarkEnd w:id="7051"/>
    <w:bookmarkStart w:name="z7222" w:id="7052"/>
    <w:p>
      <w:pPr>
        <w:spacing w:after="0"/>
        <w:ind w:left="0"/>
        <w:jc w:val="both"/>
      </w:pPr>
      <w:r>
        <w:rPr>
          <w:rFonts w:ascii="Times New Roman"/>
          <w:b w:val="false"/>
          <w:i w:val="false"/>
          <w:color w:val="000000"/>
          <w:sz w:val="28"/>
        </w:rPr>
        <w:t>
      1) педиатрическую популяцию. Дети (от рождения и до 18 лет с учетом различных возрастных категорий или, если это необходимо, с учетом других групп, значимых с точки зрения развития, т.е. с учетом конкретных периодов развития);</w:t>
      </w:r>
    </w:p>
    <w:bookmarkEnd w:id="7052"/>
    <w:bookmarkStart w:name="z7223" w:id="7053"/>
    <w:p>
      <w:pPr>
        <w:spacing w:after="0"/>
        <w:ind w:left="0"/>
        <w:jc w:val="both"/>
      </w:pPr>
      <w:r>
        <w:rPr>
          <w:rFonts w:ascii="Times New Roman"/>
          <w:b w:val="false"/>
          <w:i w:val="false"/>
          <w:color w:val="000000"/>
          <w:sz w:val="28"/>
        </w:rPr>
        <w:t>
      2) пожилых пациентов. Оцениваются последствия применения лекарственных препаратов у пациентов в возрасте старше 65 лет, соответственным образом учитывающие наиболее пожилых представителей данной группы. Оценка влияния сопутствующей патологии или нарушения функции органов (почек, печени) применительно к данной популяционной подгруппе делается с учетом возможного одновременного наличия нескольких факторов, в частности, множественной сопутствующей патологии и многокомпонентной лекарственной терапии, оказывающих одновременное воздействие, модифицирующее профиль безопасности лекарственного препарата. Оценивается необходимость проведения лабораторного скрининга в плановом порядке при назначении лекарственного препарата пациентам в данной подгруппе пациентов. В оценке отдельно рассматриваются нежелательные реакции, представляющие особую опасность для пожилых пациентов, как правило, головокружение или воздействие на центральную нервную систему;</w:t>
      </w:r>
    </w:p>
    <w:bookmarkEnd w:id="7053"/>
    <w:bookmarkStart w:name="z7224" w:id="7054"/>
    <w:p>
      <w:pPr>
        <w:spacing w:after="0"/>
        <w:ind w:left="0"/>
        <w:jc w:val="both"/>
      </w:pPr>
      <w:r>
        <w:rPr>
          <w:rFonts w:ascii="Times New Roman"/>
          <w:b w:val="false"/>
          <w:i w:val="false"/>
          <w:color w:val="000000"/>
          <w:sz w:val="28"/>
        </w:rPr>
        <w:t>
      3) беременных или кормящих женщин. Если в целевую популяцию входят женщины детородного возраста, рассматриваются последствия применения лекарственного препарата в период беременности и (или) кормления грудью. Если лекарственный препарат не предназначен специально для применения во время беременности, оцениваются результаты любых беременностей, зафиксированных в ходе клинического изучения лекарственного препарата. Если условием включения в клиническое исследование является применение контрацептивных средств, рассмотрение хода беременности также включает анализ причин, по которым принятые меры контрацепции оказались безуспешными (если применимо) и последствий для использования в менее контролируемых условиях повседневной медицинской практики;</w:t>
      </w:r>
    </w:p>
    <w:bookmarkEnd w:id="7054"/>
    <w:bookmarkStart w:name="z7225" w:id="7055"/>
    <w:p>
      <w:pPr>
        <w:spacing w:after="0"/>
        <w:ind w:left="0"/>
        <w:jc w:val="both"/>
      </w:pPr>
      <w:r>
        <w:rPr>
          <w:rFonts w:ascii="Times New Roman"/>
          <w:b w:val="false"/>
          <w:i w:val="false"/>
          <w:color w:val="000000"/>
          <w:sz w:val="28"/>
        </w:rPr>
        <w:t>
      4) пациентов с нарушениями функции печени;</w:t>
      </w:r>
    </w:p>
    <w:bookmarkEnd w:id="7055"/>
    <w:bookmarkStart w:name="z7226" w:id="7056"/>
    <w:p>
      <w:pPr>
        <w:spacing w:after="0"/>
        <w:ind w:left="0"/>
        <w:jc w:val="both"/>
      </w:pPr>
      <w:r>
        <w:rPr>
          <w:rFonts w:ascii="Times New Roman"/>
          <w:b w:val="false"/>
          <w:i w:val="false"/>
          <w:color w:val="000000"/>
          <w:sz w:val="28"/>
        </w:rPr>
        <w:t>
      5) пациентов с нарушениями функции почек;</w:t>
      </w:r>
    </w:p>
    <w:bookmarkEnd w:id="7056"/>
    <w:bookmarkStart w:name="z7227" w:id="7057"/>
    <w:p>
      <w:pPr>
        <w:spacing w:after="0"/>
        <w:ind w:left="0"/>
        <w:jc w:val="both"/>
      </w:pPr>
      <w:r>
        <w:rPr>
          <w:rFonts w:ascii="Times New Roman"/>
          <w:b w:val="false"/>
          <w:i w:val="false"/>
          <w:color w:val="000000"/>
          <w:sz w:val="28"/>
        </w:rPr>
        <w:t>
      6) пациентов с прочими значимыми сопутствующими заболеваниями (в частности, сердечно-сосудистой патологией, иммунодефицитными состояниями);</w:t>
      </w:r>
    </w:p>
    <w:bookmarkEnd w:id="7057"/>
    <w:bookmarkStart w:name="z7228" w:id="7058"/>
    <w:p>
      <w:pPr>
        <w:spacing w:after="0"/>
        <w:ind w:left="0"/>
        <w:jc w:val="both"/>
      </w:pPr>
      <w:r>
        <w:rPr>
          <w:rFonts w:ascii="Times New Roman"/>
          <w:b w:val="false"/>
          <w:i w:val="false"/>
          <w:color w:val="000000"/>
          <w:sz w:val="28"/>
        </w:rPr>
        <w:t>
      7) пациентов, степень тяжести заболевания которых отличается от изученной в ходе клинических испытаний. Рассматривается любой опыт применения у пациентов с различной степенью тяжести заболевания, в частности, если заявляемое показание ограничено в отношении пациентов с конкретной степенью тяжести заболевания;</w:t>
      </w:r>
    </w:p>
    <w:bookmarkEnd w:id="7058"/>
    <w:bookmarkStart w:name="z7229" w:id="7059"/>
    <w:p>
      <w:pPr>
        <w:spacing w:after="0"/>
        <w:ind w:left="0"/>
        <w:jc w:val="both"/>
      </w:pPr>
      <w:r>
        <w:rPr>
          <w:rFonts w:ascii="Times New Roman"/>
          <w:b w:val="false"/>
          <w:i w:val="false"/>
          <w:color w:val="000000"/>
          <w:sz w:val="28"/>
        </w:rPr>
        <w:t>
      8) подгрупп пациентов, являющихся носителями известного и релевантного генетического полиморфизма. Рассматривается степень фармакогенетического влияния, применение у пациентов с неизвестными или различными генотипами, последствия использования генетических биомаркеров в целевой группе пациентов. Сделать оценку возможного влияния на целевую популяцию и определить, насколько применение лекарственного препарата у пациентов с неизвестным или отличным генотипом представляет проблему по безопасности.</w:t>
      </w:r>
    </w:p>
    <w:bookmarkEnd w:id="7059"/>
    <w:bookmarkStart w:name="z7230" w:id="7060"/>
    <w:p>
      <w:pPr>
        <w:spacing w:after="0"/>
        <w:ind w:left="0"/>
        <w:jc w:val="both"/>
      </w:pPr>
      <w:r>
        <w:rPr>
          <w:rFonts w:ascii="Times New Roman"/>
          <w:b w:val="false"/>
          <w:i w:val="false"/>
          <w:color w:val="000000"/>
          <w:sz w:val="28"/>
        </w:rPr>
        <w:t xml:space="preserve">
      Если потенциально клинически значимый генетический полиморфизм был определен, но не полностью изучен в ходе клинической программы разработки, это рассматривается как отсутствующую информацию и (или) потенциальный риск. Эта информация отражается в спецификации по безопасности и в плане фармаконадзора. Определение данного явления как проблемы по безопасности оценивается исходя из клинической значимости возможных последствий; </w:t>
      </w:r>
    </w:p>
    <w:bookmarkEnd w:id="7060"/>
    <w:bookmarkStart w:name="z7231" w:id="7061"/>
    <w:p>
      <w:pPr>
        <w:spacing w:after="0"/>
        <w:ind w:left="0"/>
        <w:jc w:val="both"/>
      </w:pPr>
      <w:r>
        <w:rPr>
          <w:rFonts w:ascii="Times New Roman"/>
          <w:b w:val="false"/>
          <w:i w:val="false"/>
          <w:color w:val="000000"/>
          <w:sz w:val="28"/>
        </w:rPr>
        <w:t>
      9) пациенты различного расового и (или) этнического происхождения. Рассматривается опыт применения на пациентах различного расового и (или) этнического происхождения и влияние данного различия на эффективность, безопасность и фармакокинетику в целевых популяциях. В случае наличия вероятности влияния различий расовой или этнической принадлежности на эффективность лекарственного препарата, делается оценка возможной необходимости проведения пострегистрационных исследований эффективности.</w:t>
      </w:r>
    </w:p>
    <w:bookmarkEnd w:id="7061"/>
    <w:bookmarkStart w:name="z7232" w:id="7062"/>
    <w:p>
      <w:pPr>
        <w:spacing w:after="0"/>
        <w:ind w:left="0"/>
        <w:jc w:val="both"/>
      </w:pPr>
      <w:r>
        <w:rPr>
          <w:rFonts w:ascii="Times New Roman"/>
          <w:b w:val="false"/>
          <w:i w:val="false"/>
          <w:color w:val="000000"/>
          <w:sz w:val="28"/>
        </w:rPr>
        <w:t>
      188. Целью модуля СV ПУР "Пострегистрационный опыт применения" является представление информации о количестве пациентов, получавшим на пострегистрационном этапе применения лекарственный препарат; особенностях применения в пострегистрационной медицинской практике, включая назначение особым группам пациентов, указанным в модуле СIV ПУР, о количестве пациентов, включенных в наблюдательные исследования (испытания), в ходе которых собираются данные о безопасности и предпринимаются уполномоченные меры для приведения информации о безопасности лекарственных препаратов в соответствие с имеющимися данными.</w:t>
      </w:r>
    </w:p>
    <w:bookmarkEnd w:id="7062"/>
    <w:bookmarkStart w:name="z7233" w:id="7063"/>
    <w:p>
      <w:pPr>
        <w:spacing w:after="0"/>
        <w:ind w:left="0"/>
        <w:jc w:val="both"/>
      </w:pPr>
      <w:r>
        <w:rPr>
          <w:rFonts w:ascii="Times New Roman"/>
          <w:b w:val="false"/>
          <w:i w:val="false"/>
          <w:color w:val="000000"/>
          <w:sz w:val="28"/>
        </w:rPr>
        <w:t>
      1. Модуль СV ПУР, подраздел "Уполномоченные действия и действия держателя регистрационного удостоверения, связанные с безопасностью лекарственного препарата".</w:t>
      </w:r>
    </w:p>
    <w:bookmarkEnd w:id="7063"/>
    <w:bookmarkStart w:name="z7234" w:id="7064"/>
    <w:p>
      <w:pPr>
        <w:spacing w:after="0"/>
        <w:ind w:left="0"/>
        <w:jc w:val="both"/>
      </w:pPr>
      <w:r>
        <w:rPr>
          <w:rFonts w:ascii="Times New Roman"/>
          <w:b w:val="false"/>
          <w:i w:val="false"/>
          <w:color w:val="000000"/>
          <w:sz w:val="28"/>
        </w:rPr>
        <w:t>
      В подразделе указываются все уполномоченные действия на любом рынке (в том числе, предпринятые по инициативе держателя регистрационного удостоверения), предпринятые в связи с выявленными проблемами по безопасности лекарственного препарата. Этот перечень содержит перечисление и описание предпринятых уполномоченных действий с указанием страны и даты. При составлении обновлений ПУР, в данной части описываются действия, предпринятые с момента последнего представления ПУР с кратким описанием причин их принятия;</w:t>
      </w:r>
    </w:p>
    <w:bookmarkEnd w:id="7064"/>
    <w:bookmarkStart w:name="z7235" w:id="7065"/>
    <w:p>
      <w:pPr>
        <w:spacing w:after="0"/>
        <w:ind w:left="0"/>
        <w:jc w:val="both"/>
      </w:pPr>
      <w:r>
        <w:rPr>
          <w:rFonts w:ascii="Times New Roman"/>
          <w:b w:val="false"/>
          <w:i w:val="false"/>
          <w:color w:val="000000"/>
          <w:sz w:val="28"/>
        </w:rPr>
        <w:t>
      2. Модуль СV ПУР, подраздел "Результаты пострегистрационного применения, полученные не в ходе клинических исследований".</w:t>
      </w:r>
    </w:p>
    <w:bookmarkEnd w:id="7065"/>
    <w:bookmarkStart w:name="z7236" w:id="7066"/>
    <w:p>
      <w:pPr>
        <w:spacing w:after="0"/>
        <w:ind w:left="0"/>
        <w:jc w:val="both"/>
      </w:pPr>
      <w:r>
        <w:rPr>
          <w:rFonts w:ascii="Times New Roman"/>
          <w:b w:val="false"/>
          <w:i w:val="false"/>
          <w:color w:val="000000"/>
          <w:sz w:val="28"/>
        </w:rPr>
        <w:t>
      По результатам реализации лекарственного препарата на различных рынках держатель регистрационного удостоверения представляет совокупные данные по количеству пациентов, подвергшихся воздействию на пострегистрационном этапе. По возможности эти данные стратифицируются по соответствующим категориям, включающим возраст, пол, показания, дозу и географический регион. В зависимости от лекарственного препарата в случае необходимости представляются дополнительные переменные, в частности, количество курсов вакцинации, путь введения или продолжительность лечения. Осуществляется количественная и дифференцированная оценка воздействия с использованием обоснованной методики расчета исходя из особенностей применения и целевых популяций. Выполнение расчета исходя из количества реализованного лекарственного препарата в весовом (количественном) измерении и соотнесения со средней рекомендуемой дозой возможно только в случае, если лекарственный препарат во всех случаях назначается в одной дозе и имеет одинаковый фиксированный курс применения (назначения), что не является применимым для большинства лекарственных препаратов.</w:t>
      </w:r>
    </w:p>
    <w:bookmarkEnd w:id="7066"/>
    <w:bookmarkStart w:name="z7237" w:id="7067"/>
    <w:p>
      <w:pPr>
        <w:spacing w:after="0"/>
        <w:ind w:left="0"/>
        <w:jc w:val="both"/>
      </w:pPr>
      <w:r>
        <w:rPr>
          <w:rFonts w:ascii="Times New Roman"/>
          <w:b w:val="false"/>
          <w:i w:val="false"/>
          <w:color w:val="000000"/>
          <w:sz w:val="28"/>
        </w:rPr>
        <w:t xml:space="preserve">
      Для лекарственных препаратов с различными путями введения расчет воздействия делается отдельно, если это представляется возможным. Уполномоченный орган запрашивает дополнительную стратификацию данных по воздействию, в частности, данные по воздействию в различных возрастных группах или в рамках различных утвержденных показаний. Однако, если лекарственный препарат применяется по различным показаниям, в разных режимах дозирования, либо присутствуют иные факторы, удовлетворяющие критериям стратификации, держатель регистрационного удостоверения изначально представляет данные с соответствующей стратификацией, в случаях, когда это представляется возможным. </w:t>
      </w:r>
    </w:p>
    <w:bookmarkEnd w:id="7067"/>
    <w:bookmarkStart w:name="z7238" w:id="7068"/>
    <w:p>
      <w:pPr>
        <w:spacing w:after="0"/>
        <w:ind w:left="0"/>
        <w:jc w:val="both"/>
      </w:pPr>
      <w:r>
        <w:rPr>
          <w:rFonts w:ascii="Times New Roman"/>
          <w:b w:val="false"/>
          <w:i w:val="false"/>
          <w:color w:val="000000"/>
          <w:sz w:val="28"/>
        </w:rPr>
        <w:t>
      3. Модуль СV ПУР, подраздел "Результаты пострегистрационного опыта применения у групп пациентов, не изученных в ходе клинических исследований (испытаний)".</w:t>
      </w:r>
    </w:p>
    <w:bookmarkEnd w:id="7068"/>
    <w:bookmarkStart w:name="z7239" w:id="7069"/>
    <w:p>
      <w:pPr>
        <w:spacing w:after="0"/>
        <w:ind w:left="0"/>
        <w:jc w:val="both"/>
      </w:pPr>
      <w:r>
        <w:rPr>
          <w:rFonts w:ascii="Times New Roman"/>
          <w:b w:val="false"/>
          <w:i w:val="false"/>
          <w:color w:val="000000"/>
          <w:sz w:val="28"/>
        </w:rPr>
        <w:t>
      Если пострегистрационное использование лекарственного препарата фиксируется у особых групп пациентов, определенных в модуле СIV ПУР, как подвергавшихся ограниченному воздействию или вовсе не подвергавшихся воздействию, то предоставляется оценка числа пациентов, подвергшихся воздействию, и метод расчета вне зависимости от того, использовался ли лекарственный препарат по утвержденным показаниям или вне утвержденных показаний к применению. При применении у педиатрической популяции осуществляется ссылка на модуль СVI ПУР, раздел "Особые аспекты применения в педиатрии". Также представляется информация о профиле безопасности лекарственного препарата в отношении этих особых групп пациентов по сравнению с остальной частью целевой популяции. В подразделе представляется любая информация о возможном изменении профиля пользы (профиля эффективности) в особой группе пациентов. Любые особые группы пациентов, оказавшиеся в зоне повышенного или пониженного риска в отношении конкретного аспекта профиля безопасности, также рассматриваются в рамках оценки специфического риска в модуле СVI ПУР, но в данном разделе указывается о рисках и группах пациентов, подверженным им.</w:t>
      </w:r>
    </w:p>
    <w:bookmarkEnd w:id="7069"/>
    <w:bookmarkStart w:name="z7240" w:id="7070"/>
    <w:p>
      <w:pPr>
        <w:spacing w:after="0"/>
        <w:ind w:left="0"/>
        <w:jc w:val="both"/>
      </w:pPr>
      <w:r>
        <w:rPr>
          <w:rFonts w:ascii="Times New Roman"/>
          <w:b w:val="false"/>
          <w:i w:val="false"/>
          <w:color w:val="000000"/>
          <w:sz w:val="28"/>
        </w:rPr>
        <w:t>
      4. Модуль СV ПУР, подраздел "Утвержденные показания к применению и фактическое применение".</w:t>
      </w:r>
    </w:p>
    <w:bookmarkEnd w:id="7070"/>
    <w:bookmarkStart w:name="z7241" w:id="7071"/>
    <w:p>
      <w:pPr>
        <w:spacing w:after="0"/>
        <w:ind w:left="0"/>
        <w:jc w:val="both"/>
      </w:pPr>
      <w:r>
        <w:rPr>
          <w:rFonts w:ascii="Times New Roman"/>
          <w:b w:val="false"/>
          <w:i w:val="false"/>
          <w:color w:val="000000"/>
          <w:sz w:val="28"/>
        </w:rPr>
        <w:t>
      Для обновления спецификации по безопасности осуществляются конкретные ссылки на то, каким образом фактическое применение в медицинской практике отличается от применения, прогнозируемого в модуле СVII ПУР, и от одобренных показаний и противопоказаний к применению (использование вне утвержденных показаний к применению). В раздел включается информация, полученная из исследования использования лекарственного препарата (или в результате других обсервационных исследований, в которые включалось исследование показаний к применению лекарственного препарата), включая исследования использования лекарственного препарата, проводимое по запросу уполномоченного органа для целей, отличных от управления рисками.</w:t>
      </w:r>
    </w:p>
    <w:bookmarkEnd w:id="7071"/>
    <w:bookmarkStart w:name="z7242" w:id="7072"/>
    <w:p>
      <w:pPr>
        <w:spacing w:after="0"/>
        <w:ind w:left="0"/>
        <w:jc w:val="both"/>
      </w:pPr>
      <w:r>
        <w:rPr>
          <w:rFonts w:ascii="Times New Roman"/>
          <w:b w:val="false"/>
          <w:i w:val="false"/>
          <w:color w:val="000000"/>
          <w:sz w:val="28"/>
        </w:rPr>
        <w:t>
      Применение не в соответствии с утвержденными показаниями включает, помимо прочего, неодобренное применение у педиатрических пациентов различных возрастных категорий и применение по неодобренным в инструкции по медицинскому применению показаниям в случаях, если это применение происходит не в рамках клинического исследования (испытания).</w:t>
      </w:r>
    </w:p>
    <w:bookmarkEnd w:id="7072"/>
    <w:bookmarkStart w:name="z7243" w:id="7073"/>
    <w:p>
      <w:pPr>
        <w:spacing w:after="0"/>
        <w:ind w:left="0"/>
        <w:jc w:val="both"/>
      </w:pPr>
      <w:r>
        <w:rPr>
          <w:rFonts w:ascii="Times New Roman"/>
          <w:b w:val="false"/>
          <w:i w:val="false"/>
          <w:color w:val="000000"/>
          <w:sz w:val="28"/>
        </w:rPr>
        <w:t>
      В случае, если у уполномоченного органа возникают опасения в отношении имеющегося применения лекарственного препарата не по утвержденным показаниям, держатель регистрационного удостоверения количественно оценивает данное применение с указанием использованного метода оценки получения данных.</w:t>
      </w:r>
    </w:p>
    <w:bookmarkEnd w:id="7073"/>
    <w:bookmarkStart w:name="z7244" w:id="7074"/>
    <w:p>
      <w:pPr>
        <w:spacing w:after="0"/>
        <w:ind w:left="0"/>
        <w:jc w:val="both"/>
      </w:pPr>
      <w:r>
        <w:rPr>
          <w:rFonts w:ascii="Times New Roman"/>
          <w:b w:val="false"/>
          <w:i w:val="false"/>
          <w:color w:val="000000"/>
          <w:sz w:val="28"/>
        </w:rPr>
        <w:t>
      5. Модуль СV ПУР, подраздел "Применение в ходе эпидемиологических исследований".</w:t>
      </w:r>
    </w:p>
    <w:bookmarkEnd w:id="7074"/>
    <w:bookmarkStart w:name="z7245" w:id="7075"/>
    <w:p>
      <w:pPr>
        <w:spacing w:after="0"/>
        <w:ind w:left="0"/>
        <w:jc w:val="both"/>
      </w:pPr>
      <w:r>
        <w:rPr>
          <w:rFonts w:ascii="Times New Roman"/>
          <w:b w:val="false"/>
          <w:i w:val="false"/>
          <w:color w:val="000000"/>
          <w:sz w:val="28"/>
        </w:rPr>
        <w:t>
      Подраздел включает перечень эпидемиологических исследований, включающих сбор и оценку данных по безопасности. Представляется информация о названии исследования, типе исследования (в частности, когортное исследование, исследование случай-контроль), изучаемой популяции (включая страну и другие соответствующие популяционные характеристики), продолжительности исследования, количестве пациентов в каждой категории, заболевании при необходимости и статусе исследования (завершено или продолжается). Если исследование было опубликовано, в данный раздел ПУР включается ссылка, а в приложение 7 ПУР представляется соответствующая публикация.</w:t>
      </w:r>
    </w:p>
    <w:bookmarkEnd w:id="7075"/>
    <w:bookmarkStart w:name="z7246" w:id="7076"/>
    <w:p>
      <w:pPr>
        <w:spacing w:after="0"/>
        <w:ind w:left="0"/>
        <w:jc w:val="both"/>
      </w:pPr>
      <w:r>
        <w:rPr>
          <w:rFonts w:ascii="Times New Roman"/>
          <w:b w:val="false"/>
          <w:i w:val="false"/>
          <w:color w:val="000000"/>
          <w:sz w:val="28"/>
        </w:rPr>
        <w:t>
      189. Модуль СVI ПУР, раздел "Дополнительные требования к спецификации по безопасности".</w:t>
      </w:r>
    </w:p>
    <w:bookmarkEnd w:id="7076"/>
    <w:bookmarkStart w:name="z7247" w:id="7077"/>
    <w:p>
      <w:pPr>
        <w:spacing w:after="0"/>
        <w:ind w:left="0"/>
        <w:jc w:val="both"/>
      </w:pPr>
      <w:r>
        <w:rPr>
          <w:rFonts w:ascii="Times New Roman"/>
          <w:b w:val="false"/>
          <w:i w:val="false"/>
          <w:color w:val="000000"/>
          <w:sz w:val="28"/>
        </w:rPr>
        <w:t>
      1. Модуль СVI ПУР, подраздел "Потенциальный риск передозировки".</w:t>
      </w:r>
    </w:p>
    <w:bookmarkEnd w:id="7077"/>
    <w:bookmarkStart w:name="z7248" w:id="7078"/>
    <w:p>
      <w:pPr>
        <w:spacing w:after="0"/>
        <w:ind w:left="0"/>
        <w:jc w:val="both"/>
      </w:pPr>
      <w:r>
        <w:rPr>
          <w:rFonts w:ascii="Times New Roman"/>
          <w:b w:val="false"/>
          <w:i w:val="false"/>
          <w:color w:val="000000"/>
          <w:sz w:val="28"/>
        </w:rPr>
        <w:t>
      Особое внимание уделяется лекарственным препаратам, в отношении которых существует потенциальный риск передозировки, как преднамеренной, так и случайной. Примеры включают лекарственные препараты с узким терапевтическим интервалом или лекарственные препараты, вызывающие обширные дозозависимые токсические реакции и (или) в отношении которых существует высокий риск преднамеренной передозировки у целевой популяции (в частности, при депрессии). В случае определения риска передозировки как проблемы по безопасности, по данному аспекту безопасности предлагаются дополнительные меры в состав соответствующих мер по минимизации рисков, изложенных в части V ПУР.</w:t>
      </w:r>
    </w:p>
    <w:bookmarkEnd w:id="7078"/>
    <w:bookmarkStart w:name="z7249" w:id="7079"/>
    <w:p>
      <w:pPr>
        <w:spacing w:after="0"/>
        <w:ind w:left="0"/>
        <w:jc w:val="both"/>
      </w:pPr>
      <w:r>
        <w:rPr>
          <w:rFonts w:ascii="Times New Roman"/>
          <w:b w:val="false"/>
          <w:i w:val="false"/>
          <w:color w:val="000000"/>
          <w:sz w:val="28"/>
        </w:rPr>
        <w:t>
      2. Модуль СVI ПУР, подраздел "Потенциальный риск передачи инфекционных агентов".</w:t>
      </w:r>
    </w:p>
    <w:bookmarkEnd w:id="7079"/>
    <w:bookmarkStart w:name="z7250" w:id="7080"/>
    <w:p>
      <w:pPr>
        <w:spacing w:after="0"/>
        <w:ind w:left="0"/>
        <w:jc w:val="both"/>
      </w:pPr>
      <w:r>
        <w:rPr>
          <w:rFonts w:ascii="Times New Roman"/>
          <w:b w:val="false"/>
          <w:i w:val="false"/>
          <w:color w:val="000000"/>
          <w:sz w:val="28"/>
        </w:rPr>
        <w:t xml:space="preserve">
      Держатель регистрационного удостоверения осуществляет оценку потенциального риска передачи инфекционных агентов. Это связано с характером производственного процесса или используемыми материалами. Что касается вакцин, то рассматривается любой потенциальный риск передачи живого вируса. </w:t>
      </w:r>
    </w:p>
    <w:bookmarkEnd w:id="7080"/>
    <w:bookmarkStart w:name="z7251" w:id="7081"/>
    <w:p>
      <w:pPr>
        <w:spacing w:after="0"/>
        <w:ind w:left="0"/>
        <w:jc w:val="both"/>
      </w:pPr>
      <w:r>
        <w:rPr>
          <w:rFonts w:ascii="Times New Roman"/>
          <w:b w:val="false"/>
          <w:i w:val="false"/>
          <w:color w:val="000000"/>
          <w:sz w:val="28"/>
        </w:rPr>
        <w:t>
      3. Модуль СVI ПУР, подраздел "Потенциальный риск злоупотребления и использования в незаконных целях".</w:t>
      </w:r>
    </w:p>
    <w:bookmarkEnd w:id="7081"/>
    <w:bookmarkStart w:name="z7252" w:id="7082"/>
    <w:p>
      <w:pPr>
        <w:spacing w:after="0"/>
        <w:ind w:left="0"/>
        <w:jc w:val="both"/>
      </w:pPr>
      <w:r>
        <w:rPr>
          <w:rFonts w:ascii="Times New Roman"/>
          <w:b w:val="false"/>
          <w:i w:val="false"/>
          <w:color w:val="000000"/>
          <w:sz w:val="28"/>
        </w:rPr>
        <w:t>
      В подразделе осуществляется оценка потенциального риска злоупотребления и использования в незаконных целях. При необходимости в плане управления рисками рассматриваются меры по ограничению подобных действий, в частности, использование красителей и (или) ароматизаторов в лекарственной форме, ограниченный размер упаковки и контролируемое распространение.</w:t>
      </w:r>
    </w:p>
    <w:bookmarkEnd w:id="7082"/>
    <w:bookmarkStart w:name="z7253" w:id="7083"/>
    <w:p>
      <w:pPr>
        <w:spacing w:after="0"/>
        <w:ind w:left="0"/>
        <w:jc w:val="both"/>
      </w:pPr>
      <w:r>
        <w:rPr>
          <w:rFonts w:ascii="Times New Roman"/>
          <w:b w:val="false"/>
          <w:i w:val="false"/>
          <w:color w:val="000000"/>
          <w:sz w:val="28"/>
        </w:rPr>
        <w:t>
      4. Модуль СVI ПУР, подраздел "Потенциальный риск возникновения ошибок при назначении (приеме) лекарственных препаратов".</w:t>
      </w:r>
    </w:p>
    <w:bookmarkEnd w:id="7083"/>
    <w:bookmarkStart w:name="z7254" w:id="7084"/>
    <w:p>
      <w:pPr>
        <w:spacing w:after="0"/>
        <w:ind w:left="0"/>
        <w:jc w:val="both"/>
      </w:pPr>
      <w:r>
        <w:rPr>
          <w:rFonts w:ascii="Times New Roman"/>
          <w:b w:val="false"/>
          <w:i w:val="false"/>
          <w:color w:val="000000"/>
          <w:sz w:val="28"/>
        </w:rPr>
        <w:t>
      Держатель регистрационного удостоверения обязан регулярно рассматривать возможность возникновения ошибок при приеме лекарственных препаратов. В частности, до поступления лекарственного препарата на рынок держатель регистрационного удостоверения обязан оценить общие источники ошибок при назначении (приеме) лекарственного препарата. В ходе разработки и на этапе проектирования выхода лекарственного препарата на рынок заявитель принимает во внимание возможные причины возникновения ошибок при приеме лекарственных препаратов. Учитываются: наименование, характеристики формы выпуска (в частности, размер, форма и цвет лекарственной формы и упаковки), инструкции по медицинскому применению (в частности, в отношении разведения, парентерального пути введения, расчета дозы) и маркировка. Необходимо следовать требованиям по обеспечению читаемости этикетки и информации для пациента. Если использование лекарственного препарата имеет потенциальный риск нанесения серьезного вреда из-за неправильные пути введения, рассматривается вопрос о предотвращении подобного неправильного пути введения.</w:t>
      </w:r>
    </w:p>
    <w:bookmarkEnd w:id="7084"/>
    <w:bookmarkStart w:name="z7255" w:id="7085"/>
    <w:p>
      <w:pPr>
        <w:spacing w:after="0"/>
        <w:ind w:left="0"/>
        <w:jc w:val="both"/>
      </w:pPr>
      <w:r>
        <w:rPr>
          <w:rFonts w:ascii="Times New Roman"/>
          <w:b w:val="false"/>
          <w:i w:val="false"/>
          <w:color w:val="000000"/>
          <w:sz w:val="28"/>
        </w:rPr>
        <w:t>
      Это опасение в особенности обоснованно, когда частью рутинной медицинской практики является введение лекарственного препарата одновременно с другими лекарственными препаратами, назначаемыми путем какого-либо опасного введения. В данном случае риск возникновения ошибок при назначении лекарственного препарата рассматривается в качестве проблемы по безопасности.</w:t>
      </w:r>
    </w:p>
    <w:bookmarkEnd w:id="7085"/>
    <w:bookmarkStart w:name="z7256" w:id="7086"/>
    <w:p>
      <w:pPr>
        <w:spacing w:after="0"/>
        <w:ind w:left="0"/>
        <w:jc w:val="both"/>
      </w:pPr>
      <w:r>
        <w:rPr>
          <w:rFonts w:ascii="Times New Roman"/>
          <w:b w:val="false"/>
          <w:i w:val="false"/>
          <w:color w:val="000000"/>
          <w:sz w:val="28"/>
        </w:rPr>
        <w:t>
      В случае наличия форм с различной дозировкой лекарственного препарата оценивается достаточность визуальной (или физической) дифференциации между лекарственными препаратами с различными дозировками и между лекарственными препаратами, как правило назначаемыми или принимаемыми одновременно. В случае, если на рынке имеются другие лекарственные препараты с тем же действующим веществом, для которых не была подтверждена биоэквивалентность, предпринимаются меры по предупреждению медицинских ошибок и минимизации риска.</w:t>
      </w:r>
    </w:p>
    <w:bookmarkEnd w:id="7086"/>
    <w:bookmarkStart w:name="z7257" w:id="7087"/>
    <w:p>
      <w:pPr>
        <w:spacing w:after="0"/>
        <w:ind w:left="0"/>
        <w:jc w:val="both"/>
      </w:pPr>
      <w:r>
        <w:rPr>
          <w:rFonts w:ascii="Times New Roman"/>
          <w:b w:val="false"/>
          <w:i w:val="false"/>
          <w:color w:val="000000"/>
          <w:sz w:val="28"/>
        </w:rPr>
        <w:t>
      Если лекарственный препарат планируется использовать у слабовидящей группы населения, особое внимание уделяется возможности совершения ошибки при приеме лекарственного препарата, рассматриваемой при установлении риска в качестве проблемы по безопасности.</w:t>
      </w:r>
    </w:p>
    <w:bookmarkEnd w:id="7087"/>
    <w:bookmarkStart w:name="z7258" w:id="7088"/>
    <w:p>
      <w:pPr>
        <w:spacing w:after="0"/>
        <w:ind w:left="0"/>
        <w:jc w:val="both"/>
      </w:pPr>
      <w:r>
        <w:rPr>
          <w:rFonts w:ascii="Times New Roman"/>
          <w:b w:val="false"/>
          <w:i w:val="false"/>
          <w:color w:val="000000"/>
          <w:sz w:val="28"/>
        </w:rPr>
        <w:t>
      Оценивается риск и меры по предотвращению случайного проглатывания или других случаев непреднамеренного использования детьми.</w:t>
      </w:r>
    </w:p>
    <w:bookmarkEnd w:id="7088"/>
    <w:bookmarkStart w:name="z7259" w:id="7089"/>
    <w:p>
      <w:pPr>
        <w:spacing w:after="0"/>
        <w:ind w:left="0"/>
        <w:jc w:val="both"/>
      </w:pPr>
      <w:r>
        <w:rPr>
          <w:rFonts w:ascii="Times New Roman"/>
          <w:b w:val="false"/>
          <w:i w:val="false"/>
          <w:color w:val="000000"/>
          <w:sz w:val="28"/>
        </w:rPr>
        <w:t>
      Осуществляется рассмотрение ошибок при приеме лекарственного препарата, выявленных в ходе разработки продукта, включая клинические исследования (испытания) и представляется информация о самих ошибках, их потенциальных причинах и способах их устранения. В случае необходимости указывается, каким образом вышеупомянутые факты принимались во внимание на окончательных стадиях разработки лекарственного препарата.</w:t>
      </w:r>
    </w:p>
    <w:bookmarkEnd w:id="7089"/>
    <w:bookmarkStart w:name="z7260" w:id="7090"/>
    <w:p>
      <w:pPr>
        <w:spacing w:after="0"/>
        <w:ind w:left="0"/>
        <w:jc w:val="both"/>
      </w:pPr>
      <w:r>
        <w:rPr>
          <w:rFonts w:ascii="Times New Roman"/>
          <w:b w:val="false"/>
          <w:i w:val="false"/>
          <w:color w:val="000000"/>
          <w:sz w:val="28"/>
        </w:rPr>
        <w:t>
      В случае выявления в ходе пострегистрационного периода нежелательных реакций, явившихся результатом медицинских ошибок, данная тема рассматривается в обновлении ПУР и предлагаются пути по минимизации ошибок.</w:t>
      </w:r>
    </w:p>
    <w:bookmarkEnd w:id="7090"/>
    <w:bookmarkStart w:name="z7261" w:id="7091"/>
    <w:p>
      <w:pPr>
        <w:spacing w:after="0"/>
        <w:ind w:left="0"/>
        <w:jc w:val="both"/>
      </w:pPr>
      <w:r>
        <w:rPr>
          <w:rFonts w:ascii="Times New Roman"/>
          <w:b w:val="false"/>
          <w:i w:val="false"/>
          <w:color w:val="000000"/>
          <w:sz w:val="28"/>
        </w:rPr>
        <w:t>
      В случае изменения состава и дозировки лекарственного препарата, риск возникновения ошибок при приеме лекарственного препарата рассматривается в качестве проблемы по безопасности, а меры, предпринимаемые держателем регистрационного удостоверения для предотвращения перепутывания между старым и новым лекарственным препаратом, проводятся в рамках плана по минимизации рисков. Оценивается целесообразность мероприятий по минимизации рисков в отношении изменений формы представления, размера упаковки, пути введения или прочих характеристик выпускаемого лекарственного препарата.</w:t>
      </w:r>
    </w:p>
    <w:bookmarkEnd w:id="7091"/>
    <w:bookmarkStart w:name="z7262" w:id="7092"/>
    <w:p>
      <w:pPr>
        <w:spacing w:after="0"/>
        <w:ind w:left="0"/>
        <w:jc w:val="both"/>
      </w:pPr>
      <w:r>
        <w:rPr>
          <w:rFonts w:ascii="Times New Roman"/>
          <w:b w:val="false"/>
          <w:i w:val="false"/>
          <w:color w:val="000000"/>
          <w:sz w:val="28"/>
        </w:rPr>
        <w:t>
      Если лекарственный препарат применяется вместе с медицинским устройством (встроенным или нет), рассматриваются все факторы опасности, представляющие риск для пациента (неисправности медицинского устройства).</w:t>
      </w:r>
    </w:p>
    <w:bookmarkEnd w:id="7092"/>
    <w:bookmarkStart w:name="z7263" w:id="7093"/>
    <w:p>
      <w:pPr>
        <w:spacing w:after="0"/>
        <w:ind w:left="0"/>
        <w:jc w:val="both"/>
      </w:pPr>
      <w:r>
        <w:rPr>
          <w:rFonts w:ascii="Times New Roman"/>
          <w:b w:val="false"/>
          <w:i w:val="false"/>
          <w:color w:val="000000"/>
          <w:sz w:val="28"/>
        </w:rPr>
        <w:t>
      5. Модуль СVI ПУР, в подразделе "Особые аспекты применения в педиатрии" рассматриваются аспекты использования лекарственных препаратов в педиатрии, не указанные в модуле СIV ПУР:</w:t>
      </w:r>
    </w:p>
    <w:bookmarkEnd w:id="7093"/>
    <w:bookmarkStart w:name="z7264" w:id="7094"/>
    <w:p>
      <w:pPr>
        <w:spacing w:after="0"/>
        <w:ind w:left="0"/>
        <w:jc w:val="both"/>
      </w:pPr>
      <w:r>
        <w:rPr>
          <w:rFonts w:ascii="Times New Roman"/>
          <w:b w:val="false"/>
          <w:i w:val="false"/>
          <w:color w:val="000000"/>
          <w:sz w:val="28"/>
        </w:rPr>
        <w:t>
      1) проблемы, выявленные в плане педиатрических исследований. В подразделе указываются любые рекомендации по длительному последующему мониторингу безопасности и эффективности при применении у пациентов педиатрической популяции. В случае, если данный аспект более не является предметом опасений по безопасности, предоставляются соответствующее объяснение и обоснование.</w:t>
      </w:r>
    </w:p>
    <w:bookmarkEnd w:id="7094"/>
    <w:bookmarkStart w:name="z7265" w:id="7095"/>
    <w:p>
      <w:pPr>
        <w:spacing w:after="0"/>
        <w:ind w:left="0"/>
        <w:jc w:val="both"/>
      </w:pPr>
      <w:r>
        <w:rPr>
          <w:rFonts w:ascii="Times New Roman"/>
          <w:b w:val="false"/>
          <w:i w:val="false"/>
          <w:color w:val="000000"/>
          <w:sz w:val="28"/>
        </w:rPr>
        <w:t xml:space="preserve">
      Предложения о проведении определенных долгосрочных педиатрических исследований (испытаний) рассматривается на момент подачи заявления на введение педиатрических показаний и, при наличии сомнений в отношении их необходимости, требуется представить соответствующие обоснования. </w:t>
      </w:r>
    </w:p>
    <w:bookmarkEnd w:id="7095"/>
    <w:bookmarkStart w:name="z7266" w:id="7096"/>
    <w:p>
      <w:pPr>
        <w:spacing w:after="0"/>
        <w:ind w:left="0"/>
        <w:jc w:val="both"/>
      </w:pPr>
      <w:r>
        <w:rPr>
          <w:rFonts w:ascii="Times New Roman"/>
          <w:b w:val="false"/>
          <w:i w:val="false"/>
          <w:color w:val="000000"/>
          <w:sz w:val="28"/>
        </w:rPr>
        <w:t>
      2) потенциал для педиатрического использования вне утвержденных показаний к применению. Оценивается риск применения лекарственного препарата вне утвержденных показаний к применению у педиатрической популяции либо какой-либо ее части в случае, если нозология, являющаяся одобренным показанием применения лекарственного препарата, встречается и в педиатрической популяции, но применение у последней не является одобренным. Все возможные фактические направления применения лекарственного препарата отражаются в разделе "Опыт пострегистрационного применения" (см. пункт 183, модуль СV ПУР) и в подразделе "Результаты пострегистрационного применения у групп пациентов, не изученных в ходе клинических исследований" (см. пункт 192, модуль СV ПУР) ПУР.</w:t>
      </w:r>
    </w:p>
    <w:bookmarkEnd w:id="7096"/>
    <w:bookmarkStart w:name="z7267" w:id="7097"/>
    <w:p>
      <w:pPr>
        <w:spacing w:after="0"/>
        <w:ind w:left="0"/>
        <w:jc w:val="both"/>
      </w:pPr>
      <w:r>
        <w:rPr>
          <w:rFonts w:ascii="Times New Roman"/>
          <w:b w:val="false"/>
          <w:i w:val="false"/>
          <w:color w:val="000000"/>
          <w:sz w:val="28"/>
        </w:rPr>
        <w:t>
      6. Модуль СVI ПУР, подраздел "Прогнозируемое пострегистрационное использование".</w:t>
      </w:r>
    </w:p>
    <w:bookmarkEnd w:id="7097"/>
    <w:bookmarkStart w:name="z7268" w:id="7098"/>
    <w:p>
      <w:pPr>
        <w:spacing w:after="0"/>
        <w:ind w:left="0"/>
        <w:jc w:val="both"/>
      </w:pPr>
      <w:r>
        <w:rPr>
          <w:rFonts w:ascii="Times New Roman"/>
          <w:b w:val="false"/>
          <w:i w:val="false"/>
          <w:color w:val="000000"/>
          <w:sz w:val="28"/>
        </w:rPr>
        <w:t>
      Для предрегистрационных ПУР или подаче заявления на введение значительных изменений в показания по медицинскому применению держатель регистрационного удостоверения предоставляет подробную информацию о прогнозируемом направлении применения, предполагаемом применении пациентами лекарственного препарата с течением времени, положении лекарственного препарата в терапевтическом арсенале.</w:t>
      </w:r>
    </w:p>
    <w:bookmarkEnd w:id="7098"/>
    <w:bookmarkStart w:name="z7269" w:id="7099"/>
    <w:p>
      <w:pPr>
        <w:spacing w:after="0"/>
        <w:ind w:left="0"/>
        <w:jc w:val="both"/>
      </w:pPr>
      <w:r>
        <w:rPr>
          <w:rFonts w:ascii="Times New Roman"/>
          <w:b w:val="false"/>
          <w:i w:val="false"/>
          <w:color w:val="000000"/>
          <w:sz w:val="28"/>
        </w:rPr>
        <w:t>
      1) потенциал для использования вне одобренных показаний к применению.</w:t>
      </w:r>
    </w:p>
    <w:bookmarkEnd w:id="7099"/>
    <w:bookmarkStart w:name="z7270" w:id="7100"/>
    <w:p>
      <w:pPr>
        <w:spacing w:after="0"/>
        <w:ind w:left="0"/>
        <w:jc w:val="both"/>
      </w:pPr>
      <w:r>
        <w:rPr>
          <w:rFonts w:ascii="Times New Roman"/>
          <w:b w:val="false"/>
          <w:i w:val="false"/>
          <w:color w:val="000000"/>
          <w:sz w:val="28"/>
        </w:rPr>
        <w:t xml:space="preserve">
      Осуществляется оценка потенциала для применения лекарственного препарата вне утвержденных показаний к применению. </w:t>
      </w:r>
    </w:p>
    <w:bookmarkEnd w:id="7100"/>
    <w:bookmarkStart w:name="z7271" w:id="7101"/>
    <w:p>
      <w:pPr>
        <w:spacing w:after="0"/>
        <w:ind w:left="0"/>
        <w:jc w:val="both"/>
      </w:pPr>
      <w:r>
        <w:rPr>
          <w:rFonts w:ascii="Times New Roman"/>
          <w:b w:val="false"/>
          <w:i w:val="false"/>
          <w:color w:val="000000"/>
          <w:sz w:val="28"/>
        </w:rPr>
        <w:t xml:space="preserve">
      190. Модуль СVII ПУР "Идентифицированные и потенциальные риски" содержит информацию о важных идентифицированных и потенциальных рисках, связанных с использованием лекарственного препарата, включая информацию о выявленных и потенциальных нежелательных реакциях, выявленном и потенциальном взаимодействии с другими лекарственными препаратами, продуктами питания и другими веществами, а также о фармакологических классовых эффектах. </w:t>
      </w:r>
    </w:p>
    <w:bookmarkEnd w:id="7101"/>
    <w:bookmarkStart w:name="z7272" w:id="7102"/>
    <w:p>
      <w:pPr>
        <w:spacing w:after="0"/>
        <w:ind w:left="0"/>
        <w:jc w:val="both"/>
      </w:pPr>
      <w:r>
        <w:rPr>
          <w:rFonts w:ascii="Times New Roman"/>
          <w:b w:val="false"/>
          <w:i w:val="false"/>
          <w:color w:val="000000"/>
          <w:sz w:val="28"/>
        </w:rPr>
        <w:t>
      1. Модуль СVII ПУР, подраздел "Новые идентифицированные риски".</w:t>
      </w:r>
    </w:p>
    <w:bookmarkEnd w:id="7102"/>
    <w:bookmarkStart w:name="z7273" w:id="7103"/>
    <w:p>
      <w:pPr>
        <w:spacing w:after="0"/>
        <w:ind w:left="0"/>
        <w:jc w:val="both"/>
      </w:pPr>
      <w:r>
        <w:rPr>
          <w:rFonts w:ascii="Times New Roman"/>
          <w:b w:val="false"/>
          <w:i w:val="false"/>
          <w:color w:val="000000"/>
          <w:sz w:val="28"/>
        </w:rPr>
        <w:t>
      Проблемы по безопасности, выявленные со времени последнего представления ПУР, перечисляются в данном разделе и подробно оцениваются в соответствующем разделе ниже. В разделе указывается причинный фактор проблемы по безопасности; информация о том, является ли данный аспект риска важным идентифицированным или важным потенциальным риском; дается обоснование по возможным необходимым мерам минимизации рисков или новым специальным исследованиям (испытаниям) по данному аспекту риска.</w:t>
      </w:r>
    </w:p>
    <w:bookmarkEnd w:id="7103"/>
    <w:bookmarkStart w:name="z7274" w:id="7104"/>
    <w:p>
      <w:pPr>
        <w:spacing w:after="0"/>
        <w:ind w:left="0"/>
        <w:jc w:val="both"/>
      </w:pPr>
      <w:r>
        <w:rPr>
          <w:rFonts w:ascii="Times New Roman"/>
          <w:b w:val="false"/>
          <w:i w:val="false"/>
          <w:color w:val="000000"/>
          <w:sz w:val="28"/>
        </w:rPr>
        <w:t>
      2. Модуль СVII ПУР, подраздел "Подробная информация о важных идентифицированных и важных потенциальных рисках".</w:t>
      </w:r>
    </w:p>
    <w:bookmarkEnd w:id="7104"/>
    <w:bookmarkStart w:name="z7275" w:id="7105"/>
    <w:p>
      <w:pPr>
        <w:spacing w:after="0"/>
        <w:ind w:left="0"/>
        <w:jc w:val="both"/>
      </w:pPr>
      <w:r>
        <w:rPr>
          <w:rFonts w:ascii="Times New Roman"/>
          <w:b w:val="false"/>
          <w:i w:val="false"/>
          <w:color w:val="000000"/>
          <w:sz w:val="28"/>
        </w:rPr>
        <w:t>
      В разделе представляется подробная информация о наиболее важных идентифицированных и важных потенциальных рисках. Данный раздел является кратким и не представляет собой выборку данных из таблиц и списков нежелательных реакций, возникших в результате клинических исследований (испытаний), или предлагаемое или фактическое содержание раздела "Нежелательные реакции" инструкции по медицинскому применению.</w:t>
      </w:r>
    </w:p>
    <w:bookmarkEnd w:id="7105"/>
    <w:bookmarkStart w:name="z7276" w:id="7106"/>
    <w:p>
      <w:pPr>
        <w:spacing w:after="0"/>
        <w:ind w:left="0"/>
        <w:jc w:val="both"/>
      </w:pPr>
      <w:r>
        <w:rPr>
          <w:rFonts w:ascii="Times New Roman"/>
          <w:b w:val="false"/>
          <w:i w:val="false"/>
          <w:color w:val="000000"/>
          <w:sz w:val="28"/>
        </w:rPr>
        <w:t xml:space="preserve">
      Понятие важного риска зависит от нескольких факторов, включая воздействие на отдельного пациента, серьезность риска и влияние на здоровье населения. Как правило, любой риск, включенный в противопоказания или предупреждения и меры предосторожности инструкции по медицинскому применению, включается в данный раздел. Взаимодействия, имеющие важное клиническое значение и важные фармакологические классовые эффекты, также включаются в данный раздел. Кроме того, риски, не являющиеся настолько серьезными и не требующие конкретных предупреждений или мер предосторожности, но вероятность возникновения которых возможна в отношении значительной части исследуемой группы населения, влияющие на качество жизни пациента, и ведущие к серьезным последствиям при отсутствии надлежащего лечения (в частности, сильная тошнота и рвота, связанная с химиотерапией или иной лекарственной терапией), рассматриваются на предмет включения в данный раздел. </w:t>
      </w:r>
    </w:p>
    <w:bookmarkEnd w:id="7106"/>
    <w:bookmarkStart w:name="z7277" w:id="7107"/>
    <w:p>
      <w:pPr>
        <w:spacing w:after="0"/>
        <w:ind w:left="0"/>
        <w:jc w:val="both"/>
      </w:pPr>
      <w:r>
        <w:rPr>
          <w:rFonts w:ascii="Times New Roman"/>
          <w:b w:val="false"/>
          <w:i w:val="false"/>
          <w:color w:val="000000"/>
          <w:sz w:val="28"/>
        </w:rPr>
        <w:t>
      Для некоторых лекарственных препаратов рассматриваются риски, связанные с утилизацией использованного лекарственного препарата (в частности, для трансдермальных пластырей).</w:t>
      </w:r>
    </w:p>
    <w:bookmarkEnd w:id="7107"/>
    <w:bookmarkStart w:name="z7278" w:id="7108"/>
    <w:p>
      <w:pPr>
        <w:spacing w:after="0"/>
        <w:ind w:left="0"/>
        <w:jc w:val="both"/>
      </w:pPr>
      <w:r>
        <w:rPr>
          <w:rFonts w:ascii="Times New Roman"/>
          <w:b w:val="false"/>
          <w:i w:val="false"/>
          <w:color w:val="000000"/>
          <w:sz w:val="28"/>
        </w:rPr>
        <w:t>
      Также возможны случаи возникновения экологической опасности при утилизации лекарственного препарата из-за известного пагубного воздействия на окружающую среду, в частности, вещества, являющиеся особенно опасными для водной флоры и фауны и которые не утилизируются на свалках.</w:t>
      </w:r>
    </w:p>
    <w:bookmarkEnd w:id="7108"/>
    <w:bookmarkStart w:name="z7279" w:id="7109"/>
    <w:p>
      <w:pPr>
        <w:spacing w:after="0"/>
        <w:ind w:left="0"/>
        <w:jc w:val="both"/>
      </w:pPr>
      <w:r>
        <w:rPr>
          <w:rFonts w:ascii="Times New Roman"/>
          <w:b w:val="false"/>
          <w:i w:val="false"/>
          <w:color w:val="000000"/>
          <w:sz w:val="28"/>
        </w:rPr>
        <w:t>
      При наличии соответствующей информации подробные данные о рисках включают:</w:t>
      </w:r>
    </w:p>
    <w:bookmarkEnd w:id="7109"/>
    <w:bookmarkStart w:name="z7280" w:id="7110"/>
    <w:p>
      <w:pPr>
        <w:spacing w:after="0"/>
        <w:ind w:left="0"/>
        <w:jc w:val="both"/>
      </w:pPr>
      <w:r>
        <w:rPr>
          <w:rFonts w:ascii="Times New Roman"/>
          <w:b w:val="false"/>
          <w:i w:val="false"/>
          <w:color w:val="000000"/>
          <w:sz w:val="28"/>
        </w:rPr>
        <w:t>
      1) частоту;</w:t>
      </w:r>
    </w:p>
    <w:bookmarkEnd w:id="7110"/>
    <w:bookmarkStart w:name="z7281" w:id="7111"/>
    <w:p>
      <w:pPr>
        <w:spacing w:after="0"/>
        <w:ind w:left="0"/>
        <w:jc w:val="both"/>
      </w:pPr>
      <w:r>
        <w:rPr>
          <w:rFonts w:ascii="Times New Roman"/>
          <w:b w:val="false"/>
          <w:i w:val="false"/>
          <w:color w:val="000000"/>
          <w:sz w:val="28"/>
        </w:rPr>
        <w:t>
      2) воздействие на здоровье населения (тяжесть и серьезность-обратимость-исход);</w:t>
      </w:r>
    </w:p>
    <w:bookmarkEnd w:id="7111"/>
    <w:bookmarkStart w:name="z7282" w:id="7112"/>
    <w:p>
      <w:pPr>
        <w:spacing w:after="0"/>
        <w:ind w:left="0"/>
        <w:jc w:val="both"/>
      </w:pPr>
      <w:r>
        <w:rPr>
          <w:rFonts w:ascii="Times New Roman"/>
          <w:b w:val="false"/>
          <w:i w:val="false"/>
          <w:color w:val="000000"/>
          <w:sz w:val="28"/>
        </w:rPr>
        <w:t>
      3) воздействие на отдельного пациента (влияние на качество жизни);</w:t>
      </w:r>
    </w:p>
    <w:bookmarkEnd w:id="7112"/>
    <w:bookmarkStart w:name="z7283" w:id="7113"/>
    <w:p>
      <w:pPr>
        <w:spacing w:after="0"/>
        <w:ind w:left="0"/>
        <w:jc w:val="both"/>
      </w:pPr>
      <w:r>
        <w:rPr>
          <w:rFonts w:ascii="Times New Roman"/>
          <w:b w:val="false"/>
          <w:i w:val="false"/>
          <w:color w:val="000000"/>
          <w:sz w:val="28"/>
        </w:rPr>
        <w:t>
      4) факторы риска (в том числе факторы, касающиеся пациента, дозы, период риска, аддитивные или синергичные факторы);</w:t>
      </w:r>
    </w:p>
    <w:bookmarkEnd w:id="7113"/>
    <w:bookmarkStart w:name="z7284" w:id="7114"/>
    <w:p>
      <w:pPr>
        <w:spacing w:after="0"/>
        <w:ind w:left="0"/>
        <w:jc w:val="both"/>
      </w:pPr>
      <w:r>
        <w:rPr>
          <w:rFonts w:ascii="Times New Roman"/>
          <w:b w:val="false"/>
          <w:i w:val="false"/>
          <w:color w:val="000000"/>
          <w:sz w:val="28"/>
        </w:rPr>
        <w:t>
      5) предотвратимость (т.е. предсказуемость, возможность предотвратить развитие или возможность выявления на начальном этап 6);</w:t>
      </w:r>
    </w:p>
    <w:bookmarkEnd w:id="7114"/>
    <w:bookmarkStart w:name="z7285" w:id="7115"/>
    <w:p>
      <w:pPr>
        <w:spacing w:after="0"/>
        <w:ind w:left="0"/>
        <w:jc w:val="both"/>
      </w:pPr>
      <w:r>
        <w:rPr>
          <w:rFonts w:ascii="Times New Roman"/>
          <w:b w:val="false"/>
          <w:i w:val="false"/>
          <w:color w:val="000000"/>
          <w:sz w:val="28"/>
        </w:rPr>
        <w:t>
      6) возможный механизм развития;</w:t>
      </w:r>
    </w:p>
    <w:bookmarkEnd w:id="7115"/>
    <w:bookmarkStart w:name="z7286" w:id="7116"/>
    <w:p>
      <w:pPr>
        <w:spacing w:after="0"/>
        <w:ind w:left="0"/>
        <w:jc w:val="both"/>
      </w:pPr>
      <w:r>
        <w:rPr>
          <w:rFonts w:ascii="Times New Roman"/>
          <w:b w:val="false"/>
          <w:i w:val="false"/>
          <w:color w:val="000000"/>
          <w:sz w:val="28"/>
        </w:rPr>
        <w:t>
      7) источник данных и уровень доказательности.</w:t>
      </w:r>
    </w:p>
    <w:bookmarkEnd w:id="7116"/>
    <w:bookmarkStart w:name="z7287" w:id="7117"/>
    <w:p>
      <w:pPr>
        <w:spacing w:after="0"/>
        <w:ind w:left="0"/>
        <w:jc w:val="both"/>
      </w:pPr>
      <w:r>
        <w:rPr>
          <w:rFonts w:ascii="Times New Roman"/>
          <w:b w:val="false"/>
          <w:i w:val="false"/>
          <w:color w:val="000000"/>
          <w:sz w:val="28"/>
        </w:rPr>
        <w:t>
      Данные по частоте развития приводятся с учетом и указанием источника данных по безопасности. Частота развития не оценивается на основании данных спонтанных сообщений, поскольку данный метод не позволяет выполнять оценку параметра частоты с требуемым уровнем достоверности. Если в отношении важных идентифицированных рисков необходимо вычислить точную частоту, то основываются на систематических исследованиях (в частности, клинические исследования (испытания) или эпидемиологические исследования), в которых известно точное число пациентов, подвергающихся воздействию лекарственного препарата, и количество пациентов, у которых отмечалось проявление соответствующего идентифицированного риска.</w:t>
      </w:r>
    </w:p>
    <w:bookmarkEnd w:id="7117"/>
    <w:bookmarkStart w:name="z7288" w:id="7118"/>
    <w:p>
      <w:pPr>
        <w:spacing w:after="0"/>
        <w:ind w:left="0"/>
        <w:jc w:val="both"/>
      </w:pPr>
      <w:r>
        <w:rPr>
          <w:rFonts w:ascii="Times New Roman"/>
          <w:b w:val="false"/>
          <w:i w:val="false"/>
          <w:color w:val="000000"/>
          <w:sz w:val="28"/>
        </w:rPr>
        <w:t>
      Знаменатель выражается с использованием соответствующих единиц измерения: в частности, количество пациентов, пациенто-дней или эквивалентных единиц (курсы лечения, рецепты).</w:t>
      </w:r>
    </w:p>
    <w:bookmarkEnd w:id="7118"/>
    <w:bookmarkStart w:name="z7289" w:id="7119"/>
    <w:p>
      <w:pPr>
        <w:spacing w:after="0"/>
        <w:ind w:left="0"/>
        <w:jc w:val="both"/>
      </w:pPr>
      <w:r>
        <w:rPr>
          <w:rFonts w:ascii="Times New Roman"/>
          <w:b w:val="false"/>
          <w:i w:val="false"/>
          <w:color w:val="000000"/>
          <w:sz w:val="28"/>
        </w:rPr>
        <w:t>
      Указывается используемый показатель частоты (в каких единицах измерения выражен знаменатель). Также указываются доверительные интервалы. При использовании единицы измерения "количество пациентов в установленный промежуток времени" основываются на предположении о том, что функция опасности является практически постоянной в течение последующего времени. В противном случае ее разбить на соответствующие категории, в рамках которых выполняется предположение о постоянстве. Это особенно важно, если длительность лечения представляет собой фактор риска. В случае необходимости определяется период наибольшего риска. Частота идентифицированного риска представляется для популяции в целом и для соответствующих популяционных подгрупп.</w:t>
      </w:r>
    </w:p>
    <w:bookmarkEnd w:id="7119"/>
    <w:bookmarkStart w:name="z7290" w:id="7120"/>
    <w:p>
      <w:pPr>
        <w:spacing w:after="0"/>
        <w:ind w:left="0"/>
        <w:jc w:val="both"/>
      </w:pPr>
      <w:r>
        <w:rPr>
          <w:rFonts w:ascii="Times New Roman"/>
          <w:b w:val="false"/>
          <w:i w:val="false"/>
          <w:color w:val="000000"/>
          <w:sz w:val="28"/>
        </w:rPr>
        <w:t>
      В отношении важных идентифицированных рисков, представляется информация о превышении частоты развития таковых в группе сравнения. Обобщаются данные по времени до начала развития нежелательных событий с использованием методов оценки выживаемости.</w:t>
      </w:r>
    </w:p>
    <w:bookmarkEnd w:id="7120"/>
    <w:bookmarkStart w:name="z7291" w:id="7121"/>
    <w:p>
      <w:pPr>
        <w:spacing w:after="0"/>
        <w:ind w:left="0"/>
        <w:jc w:val="both"/>
      </w:pPr>
      <w:r>
        <w:rPr>
          <w:rFonts w:ascii="Times New Roman"/>
          <w:b w:val="false"/>
          <w:i w:val="false"/>
          <w:color w:val="000000"/>
          <w:sz w:val="28"/>
        </w:rPr>
        <w:t>
      Используется функция совокупных рисков для представления данных по кумулятивной вероятности развития нежелательных реакций.</w:t>
      </w:r>
    </w:p>
    <w:bookmarkEnd w:id="7121"/>
    <w:bookmarkStart w:name="z7292" w:id="7122"/>
    <w:p>
      <w:pPr>
        <w:spacing w:after="0"/>
        <w:ind w:left="0"/>
        <w:jc w:val="both"/>
      </w:pPr>
      <w:r>
        <w:rPr>
          <w:rFonts w:ascii="Times New Roman"/>
          <w:b w:val="false"/>
          <w:i w:val="false"/>
          <w:color w:val="000000"/>
          <w:sz w:val="28"/>
        </w:rPr>
        <w:t>
      В отношении потенциальных рисков предоставляются данные о базисной частоте (распространенности) в целевой популяции.</w:t>
      </w:r>
    </w:p>
    <w:bookmarkEnd w:id="7122"/>
    <w:bookmarkStart w:name="z7293" w:id="7123"/>
    <w:p>
      <w:pPr>
        <w:spacing w:after="0"/>
        <w:ind w:left="0"/>
        <w:jc w:val="both"/>
      </w:pPr>
      <w:r>
        <w:rPr>
          <w:rFonts w:ascii="Times New Roman"/>
          <w:b w:val="false"/>
          <w:i w:val="false"/>
          <w:color w:val="000000"/>
          <w:sz w:val="28"/>
        </w:rPr>
        <w:t>
      Для большинства ПУР, включающих единичные лекарственные препараты, риски, касающиеся непосредственно показаний к применению или состава, как правило рассматриваются как отдельные проблемы по безопасности, в частности, случайное внутривенное введение представляет проблему по безопасности для отдельного лекарственного препарата как применительно к форме для перорального, так и подкожного введения.</w:t>
      </w:r>
    </w:p>
    <w:bookmarkEnd w:id="7123"/>
    <w:bookmarkStart w:name="z7294" w:id="7124"/>
    <w:p>
      <w:pPr>
        <w:spacing w:after="0"/>
        <w:ind w:left="0"/>
        <w:jc w:val="both"/>
      </w:pPr>
      <w:r>
        <w:rPr>
          <w:rFonts w:ascii="Times New Roman"/>
          <w:b w:val="false"/>
          <w:i w:val="false"/>
          <w:color w:val="000000"/>
          <w:sz w:val="28"/>
        </w:rPr>
        <w:t>
      В отношении ПУР, распространяющихся на несколько лекарственных препаратов и имеющих значительные различия в отношении идентифицированных и потенциальных рисков, целесообразно классифицировать риски, чтобы показать, какой риск имеет отношение к какому лекарственному препарату. Рекомендуется рассмотреть следующие заголовки:</w:t>
      </w:r>
    </w:p>
    <w:bookmarkEnd w:id="7124"/>
    <w:bookmarkStart w:name="z7295" w:id="7125"/>
    <w:p>
      <w:pPr>
        <w:spacing w:after="0"/>
        <w:ind w:left="0"/>
        <w:jc w:val="both"/>
      </w:pPr>
      <w:r>
        <w:rPr>
          <w:rFonts w:ascii="Times New Roman"/>
          <w:b w:val="false"/>
          <w:i w:val="false"/>
          <w:color w:val="000000"/>
          <w:sz w:val="28"/>
        </w:rPr>
        <w:t>
      1) риски, связанные с действующим веществом. В эту категорию входят важные идентифицированные или потенциальные риски, общие для всех составов лекарственных препаратов, способов введения и целевых групп населения. Вероятнее всего, в данную категорию попадет большинство рисков, характерных для большинства лекарственных препаратов;</w:t>
      </w:r>
    </w:p>
    <w:bookmarkEnd w:id="7125"/>
    <w:bookmarkStart w:name="z7296" w:id="7126"/>
    <w:p>
      <w:pPr>
        <w:spacing w:after="0"/>
        <w:ind w:left="0"/>
        <w:jc w:val="both"/>
      </w:pPr>
      <w:r>
        <w:rPr>
          <w:rFonts w:ascii="Times New Roman"/>
          <w:b w:val="false"/>
          <w:i w:val="false"/>
          <w:color w:val="000000"/>
          <w:sz w:val="28"/>
        </w:rPr>
        <w:t>
      2) риски, связанные с определенным составом или способом введения. Примеры включают в себя ПУР с двумя лекарственными препаратами, в частности, форма для внутримышечного введения пролонгированного действия и форма для перорального введения. Дополнительные проблемы, касающиеся случайного внутривенного введения, очевидно, не будут касаться лекарственных препаратов для перорального введения;</w:t>
      </w:r>
    </w:p>
    <w:bookmarkEnd w:id="7126"/>
    <w:bookmarkStart w:name="z7297" w:id="7127"/>
    <w:p>
      <w:pPr>
        <w:spacing w:after="0"/>
        <w:ind w:left="0"/>
        <w:jc w:val="both"/>
      </w:pPr>
      <w:r>
        <w:rPr>
          <w:rFonts w:ascii="Times New Roman"/>
          <w:b w:val="false"/>
          <w:i w:val="false"/>
          <w:color w:val="000000"/>
          <w:sz w:val="28"/>
        </w:rPr>
        <w:t>
      3) риски, связанные с целевой популяцией. Педиатрическая популяция представляет наиболее очевидный пример целевой популяции, в отношении которой возможно проявление дополнительных рисков, касающихся физического, психического и полового развития, что не применимо к лекарственному препарату, предназначенному исключительно для взрослых пациентов.</w:t>
      </w:r>
    </w:p>
    <w:bookmarkEnd w:id="7127"/>
    <w:bookmarkStart w:name="z7298" w:id="7128"/>
    <w:p>
      <w:pPr>
        <w:spacing w:after="0"/>
        <w:ind w:left="0"/>
        <w:jc w:val="both"/>
      </w:pPr>
      <w:r>
        <w:rPr>
          <w:rFonts w:ascii="Times New Roman"/>
          <w:b w:val="false"/>
          <w:i w:val="false"/>
          <w:color w:val="000000"/>
          <w:sz w:val="28"/>
        </w:rPr>
        <w:t>
      4) риски, связанные с переходом на отпуск лекарственного препарата без рецепта.</w:t>
      </w:r>
    </w:p>
    <w:bookmarkEnd w:id="7128"/>
    <w:bookmarkStart w:name="z7299" w:id="7129"/>
    <w:p>
      <w:pPr>
        <w:spacing w:after="0"/>
        <w:ind w:left="0"/>
        <w:jc w:val="both"/>
      </w:pPr>
      <w:r>
        <w:rPr>
          <w:rFonts w:ascii="Times New Roman"/>
          <w:b w:val="false"/>
          <w:i w:val="false"/>
          <w:color w:val="000000"/>
          <w:sz w:val="28"/>
        </w:rPr>
        <w:t>
      3. Модуль СVII ПУР, подраздел "Идентифицированные и потенциальные взаимодействия, включающие взаимодействия с другими лекарственными препаратами и продуктами питания".</w:t>
      </w:r>
    </w:p>
    <w:bookmarkEnd w:id="7129"/>
    <w:bookmarkStart w:name="z7300" w:id="7130"/>
    <w:p>
      <w:pPr>
        <w:spacing w:after="0"/>
        <w:ind w:left="0"/>
        <w:jc w:val="both"/>
      </w:pPr>
      <w:r>
        <w:rPr>
          <w:rFonts w:ascii="Times New Roman"/>
          <w:b w:val="false"/>
          <w:i w:val="false"/>
          <w:color w:val="000000"/>
          <w:sz w:val="28"/>
        </w:rPr>
        <w:t>
      Идентифицированные и потенциальные фармакокинетические и фармакодинамические взаимодействия рассматриваются в отношении как схем лечения по одобренным показаниям к применению, так и в отношении наиболее часто используемых в целевой популяции лекарственных препаратов. Для каждого из них обобщаются имеющиеся данные и доказательная база, подтверждающая взаимодействие и возможный механизм. Дается оценка потенциальным рискам для здоровья, возникающим по различным показаниям и в различных группах населения. Взаимодействия, являющиеся клинически важными, включаются в раздел ПУР об идентифицированных и потенциальных рисках.</w:t>
      </w:r>
    </w:p>
    <w:bookmarkEnd w:id="7130"/>
    <w:bookmarkStart w:name="z7301" w:id="7131"/>
    <w:p>
      <w:pPr>
        <w:spacing w:after="0"/>
        <w:ind w:left="0"/>
        <w:jc w:val="both"/>
      </w:pPr>
      <w:r>
        <w:rPr>
          <w:rFonts w:ascii="Times New Roman"/>
          <w:b w:val="false"/>
          <w:i w:val="false"/>
          <w:color w:val="000000"/>
          <w:sz w:val="28"/>
        </w:rPr>
        <w:t>
      4. Модуль СVII ПУР, подраздел "Фармакологические классовые эффекты".</w:t>
      </w:r>
    </w:p>
    <w:bookmarkEnd w:id="7131"/>
    <w:bookmarkStart w:name="z7302" w:id="7132"/>
    <w:p>
      <w:pPr>
        <w:spacing w:after="0"/>
        <w:ind w:left="0"/>
        <w:jc w:val="both"/>
      </w:pPr>
      <w:r>
        <w:rPr>
          <w:rFonts w:ascii="Times New Roman"/>
          <w:b w:val="false"/>
          <w:i w:val="false"/>
          <w:color w:val="000000"/>
          <w:sz w:val="28"/>
        </w:rPr>
        <w:t>
      В разделе дается характеристика и оценка важных рисков, свойственных для фармакологического класса. Оценивается соотнесение частоты развития нежелательных реакций при применении лекарственного препарата с частотой, характерной для других лекарственных препаратов данной фармакологической группы.</w:t>
      </w:r>
    </w:p>
    <w:bookmarkEnd w:id="7132"/>
    <w:bookmarkStart w:name="z7303" w:id="7133"/>
    <w:p>
      <w:pPr>
        <w:spacing w:after="0"/>
        <w:ind w:left="0"/>
        <w:jc w:val="both"/>
      </w:pPr>
      <w:r>
        <w:rPr>
          <w:rFonts w:ascii="Times New Roman"/>
          <w:b w:val="false"/>
          <w:i w:val="false"/>
          <w:color w:val="000000"/>
          <w:sz w:val="28"/>
        </w:rPr>
        <w:t>
      Если риск, возникновение которого является общим для других лекарственных препаратов фармакологического класса, не считается проблемой по безопасности в отношении лекарственного препарата, и, следовательно, не включается в перечень идентифицированных и потенциальных рисков, в подразделе представляются подтверждающие доказательства.</w:t>
      </w:r>
    </w:p>
    <w:bookmarkEnd w:id="7133"/>
    <w:bookmarkStart w:name="z7304" w:id="7134"/>
    <w:p>
      <w:pPr>
        <w:spacing w:after="0"/>
        <w:ind w:left="0"/>
        <w:jc w:val="both"/>
      </w:pPr>
      <w:r>
        <w:rPr>
          <w:rFonts w:ascii="Times New Roman"/>
          <w:b w:val="false"/>
          <w:i w:val="false"/>
          <w:color w:val="000000"/>
          <w:sz w:val="28"/>
        </w:rPr>
        <w:t>
      191. Модуль СVIII ПУР "Обобщенная информация по проблемам безопасности".</w:t>
      </w:r>
    </w:p>
    <w:bookmarkEnd w:id="7134"/>
    <w:bookmarkStart w:name="z7305" w:id="7135"/>
    <w:p>
      <w:pPr>
        <w:spacing w:after="0"/>
        <w:ind w:left="0"/>
        <w:jc w:val="both"/>
      </w:pPr>
      <w:r>
        <w:rPr>
          <w:rFonts w:ascii="Times New Roman"/>
          <w:b w:val="false"/>
          <w:i w:val="false"/>
          <w:color w:val="000000"/>
          <w:sz w:val="28"/>
        </w:rPr>
        <w:t>
      В разделе указывается обобщенная информация по определяемым проблемам по безопасности.</w:t>
      </w:r>
    </w:p>
    <w:bookmarkEnd w:id="7135"/>
    <w:bookmarkStart w:name="z7306" w:id="7136"/>
    <w:p>
      <w:pPr>
        <w:spacing w:after="0"/>
        <w:ind w:left="0"/>
        <w:jc w:val="both"/>
      </w:pPr>
      <w:r>
        <w:rPr>
          <w:rFonts w:ascii="Times New Roman"/>
          <w:b w:val="false"/>
          <w:i w:val="false"/>
          <w:color w:val="000000"/>
          <w:sz w:val="28"/>
        </w:rPr>
        <w:t>
      Проблемами по безопасности являются:</w:t>
      </w:r>
    </w:p>
    <w:bookmarkEnd w:id="7136"/>
    <w:bookmarkStart w:name="z7307" w:id="7137"/>
    <w:p>
      <w:pPr>
        <w:spacing w:after="0"/>
        <w:ind w:left="0"/>
        <w:jc w:val="both"/>
      </w:pPr>
      <w:r>
        <w:rPr>
          <w:rFonts w:ascii="Times New Roman"/>
          <w:b w:val="false"/>
          <w:i w:val="false"/>
          <w:color w:val="000000"/>
          <w:sz w:val="28"/>
        </w:rPr>
        <w:t>
      1) важный идентифицированный риск;</w:t>
      </w:r>
    </w:p>
    <w:bookmarkEnd w:id="7137"/>
    <w:bookmarkStart w:name="z7308" w:id="7138"/>
    <w:p>
      <w:pPr>
        <w:spacing w:after="0"/>
        <w:ind w:left="0"/>
        <w:jc w:val="both"/>
      </w:pPr>
      <w:r>
        <w:rPr>
          <w:rFonts w:ascii="Times New Roman"/>
          <w:b w:val="false"/>
          <w:i w:val="false"/>
          <w:color w:val="000000"/>
          <w:sz w:val="28"/>
        </w:rPr>
        <w:t>
      2) важный потенциальный риск;</w:t>
      </w:r>
    </w:p>
    <w:bookmarkEnd w:id="7138"/>
    <w:bookmarkStart w:name="z7309" w:id="7139"/>
    <w:p>
      <w:pPr>
        <w:spacing w:after="0"/>
        <w:ind w:left="0"/>
        <w:jc w:val="both"/>
      </w:pPr>
      <w:r>
        <w:rPr>
          <w:rFonts w:ascii="Times New Roman"/>
          <w:b w:val="false"/>
          <w:i w:val="false"/>
          <w:color w:val="000000"/>
          <w:sz w:val="28"/>
        </w:rPr>
        <w:t>
      3) важная отсутствующая информация.</w:t>
      </w:r>
    </w:p>
    <w:bookmarkEnd w:id="7139"/>
    <w:bookmarkStart w:name="z7310" w:id="7140"/>
    <w:p>
      <w:pPr>
        <w:spacing w:after="0"/>
        <w:ind w:left="0"/>
        <w:jc w:val="both"/>
      </w:pPr>
      <w:r>
        <w:rPr>
          <w:rFonts w:ascii="Times New Roman"/>
          <w:b w:val="false"/>
          <w:i w:val="false"/>
          <w:color w:val="000000"/>
          <w:sz w:val="28"/>
        </w:rPr>
        <w:t>
      В случае, если ПУР включает несколько лекарственных препаратов, целесообразным в данном разделе является разделение обобщающей информации по проблемам по безопасности на подгруппы (аналогично представлению данных в модуле СVII ПУР), при этом используется следующий подход по разделению:</w:t>
      </w:r>
    </w:p>
    <w:bookmarkEnd w:id="7140"/>
    <w:bookmarkStart w:name="z7311" w:id="7141"/>
    <w:p>
      <w:pPr>
        <w:spacing w:after="0"/>
        <w:ind w:left="0"/>
        <w:jc w:val="both"/>
      </w:pPr>
      <w:r>
        <w:rPr>
          <w:rFonts w:ascii="Times New Roman"/>
          <w:b w:val="false"/>
          <w:i w:val="false"/>
          <w:color w:val="000000"/>
          <w:sz w:val="28"/>
        </w:rPr>
        <w:t>
      1) проблемы по безопасности, связанные с действующим веществом;</w:t>
      </w:r>
    </w:p>
    <w:bookmarkEnd w:id="7141"/>
    <w:bookmarkStart w:name="z7312" w:id="7142"/>
    <w:p>
      <w:pPr>
        <w:spacing w:after="0"/>
        <w:ind w:left="0"/>
        <w:jc w:val="both"/>
      </w:pPr>
      <w:r>
        <w:rPr>
          <w:rFonts w:ascii="Times New Roman"/>
          <w:b w:val="false"/>
          <w:i w:val="false"/>
          <w:color w:val="000000"/>
          <w:sz w:val="28"/>
        </w:rPr>
        <w:t>
      2) проблемы по безопасности, связанные с определенным составом или способом введения;</w:t>
      </w:r>
    </w:p>
    <w:bookmarkEnd w:id="7142"/>
    <w:bookmarkStart w:name="z7313" w:id="7143"/>
    <w:p>
      <w:pPr>
        <w:spacing w:after="0"/>
        <w:ind w:left="0"/>
        <w:jc w:val="both"/>
      </w:pPr>
      <w:r>
        <w:rPr>
          <w:rFonts w:ascii="Times New Roman"/>
          <w:b w:val="false"/>
          <w:i w:val="false"/>
          <w:color w:val="000000"/>
          <w:sz w:val="28"/>
        </w:rPr>
        <w:t>
      3) проблемы по безопасности, связанные с целевой популяцией;</w:t>
      </w:r>
    </w:p>
    <w:bookmarkEnd w:id="7143"/>
    <w:bookmarkStart w:name="z7314" w:id="7144"/>
    <w:p>
      <w:pPr>
        <w:spacing w:after="0"/>
        <w:ind w:left="0"/>
        <w:jc w:val="both"/>
      </w:pPr>
      <w:r>
        <w:rPr>
          <w:rFonts w:ascii="Times New Roman"/>
          <w:b w:val="false"/>
          <w:i w:val="false"/>
          <w:color w:val="000000"/>
          <w:sz w:val="28"/>
        </w:rPr>
        <w:t>
      4) проблемы по безопасности, связанные с переходом на отпуск лекарственного препарата без рецепта.</w:t>
      </w:r>
    </w:p>
    <w:bookmarkEnd w:id="7144"/>
    <w:bookmarkStart w:name="z7315" w:id="7145"/>
    <w:p>
      <w:pPr>
        <w:spacing w:after="0"/>
        <w:ind w:left="0"/>
        <w:jc w:val="both"/>
      </w:pPr>
      <w:r>
        <w:rPr>
          <w:rFonts w:ascii="Times New Roman"/>
          <w:b w:val="false"/>
          <w:i w:val="false"/>
          <w:color w:val="000000"/>
          <w:sz w:val="28"/>
        </w:rPr>
        <w:t>
      192. Часть III ПУР "План по фармаконадзору".</w:t>
      </w:r>
    </w:p>
    <w:bookmarkEnd w:id="7145"/>
    <w:bookmarkStart w:name="z7316" w:id="7146"/>
    <w:p>
      <w:pPr>
        <w:spacing w:after="0"/>
        <w:ind w:left="0"/>
        <w:jc w:val="both"/>
      </w:pPr>
      <w:r>
        <w:rPr>
          <w:rFonts w:ascii="Times New Roman"/>
          <w:b w:val="false"/>
          <w:i w:val="false"/>
          <w:color w:val="000000"/>
          <w:sz w:val="28"/>
        </w:rPr>
        <w:t>
      Целью плана фармаконадзора является определение того, каким образом держатель регистрационного удостоверения планирует далее выявлять и (или) характеризовать риски, указанные в требованиях безопасности. План по фармаконадзору представляет структурированный план с целью:</w:t>
      </w:r>
    </w:p>
    <w:bookmarkEnd w:id="7146"/>
    <w:bookmarkStart w:name="z7317" w:id="7147"/>
    <w:p>
      <w:pPr>
        <w:spacing w:after="0"/>
        <w:ind w:left="0"/>
        <w:jc w:val="both"/>
      </w:pPr>
      <w:r>
        <w:rPr>
          <w:rFonts w:ascii="Times New Roman"/>
          <w:b w:val="false"/>
          <w:i w:val="false"/>
          <w:color w:val="000000"/>
          <w:sz w:val="28"/>
        </w:rPr>
        <w:t>
      1) выявления новых проблем по безопасности;</w:t>
      </w:r>
    </w:p>
    <w:bookmarkEnd w:id="7147"/>
    <w:bookmarkStart w:name="z7318" w:id="7148"/>
    <w:p>
      <w:pPr>
        <w:spacing w:after="0"/>
        <w:ind w:left="0"/>
        <w:jc w:val="both"/>
      </w:pPr>
      <w:r>
        <w:rPr>
          <w:rFonts w:ascii="Times New Roman"/>
          <w:b w:val="false"/>
          <w:i w:val="false"/>
          <w:color w:val="000000"/>
          <w:sz w:val="28"/>
        </w:rPr>
        <w:t>
      2) дальнейшей характеристики известных проблем по безопасности, включая определение факторов риска;</w:t>
      </w:r>
    </w:p>
    <w:bookmarkEnd w:id="7148"/>
    <w:bookmarkStart w:name="z7319" w:id="7149"/>
    <w:p>
      <w:pPr>
        <w:spacing w:after="0"/>
        <w:ind w:left="0"/>
        <w:jc w:val="both"/>
      </w:pPr>
      <w:r>
        <w:rPr>
          <w:rFonts w:ascii="Times New Roman"/>
          <w:b w:val="false"/>
          <w:i w:val="false"/>
          <w:color w:val="000000"/>
          <w:sz w:val="28"/>
        </w:rPr>
        <w:t>
      3) исследования действительного наличия потенциальных проблем по безопасности;</w:t>
      </w:r>
    </w:p>
    <w:bookmarkEnd w:id="7149"/>
    <w:bookmarkStart w:name="z7320" w:id="7150"/>
    <w:p>
      <w:pPr>
        <w:spacing w:after="0"/>
        <w:ind w:left="0"/>
        <w:jc w:val="both"/>
      </w:pPr>
      <w:r>
        <w:rPr>
          <w:rFonts w:ascii="Times New Roman"/>
          <w:b w:val="false"/>
          <w:i w:val="false"/>
          <w:color w:val="000000"/>
          <w:sz w:val="28"/>
        </w:rPr>
        <w:t>
      4) определения методов получения важной отсутствующей информации.</w:t>
      </w:r>
    </w:p>
    <w:bookmarkEnd w:id="7150"/>
    <w:bookmarkStart w:name="z7321" w:id="7151"/>
    <w:p>
      <w:pPr>
        <w:spacing w:after="0"/>
        <w:ind w:left="0"/>
        <w:jc w:val="both"/>
      </w:pPr>
      <w:r>
        <w:rPr>
          <w:rFonts w:ascii="Times New Roman"/>
          <w:b w:val="false"/>
          <w:i w:val="false"/>
          <w:color w:val="000000"/>
          <w:sz w:val="28"/>
        </w:rPr>
        <w:t xml:space="preserve">
      План фармаконадзора основывается на проблемах по безопасности, обобщенных в модуле СVII ПУР "Спецификации по безопасности". </w:t>
      </w:r>
    </w:p>
    <w:bookmarkEnd w:id="7151"/>
    <w:bookmarkStart w:name="z7322" w:id="7152"/>
    <w:p>
      <w:pPr>
        <w:spacing w:after="0"/>
        <w:ind w:left="0"/>
        <w:jc w:val="both"/>
      </w:pPr>
      <w:r>
        <w:rPr>
          <w:rFonts w:ascii="Times New Roman"/>
          <w:b w:val="false"/>
          <w:i w:val="false"/>
          <w:color w:val="000000"/>
          <w:sz w:val="28"/>
        </w:rPr>
        <w:t>
      Деятельность по фармаконадзору подразделяется на рутинные мероприятия по фармаконадзору и дополнительные мероприятия по фармаконадзору. В отношении каждой проблемы по безопасности держатель регистрационного удостоверения перечисляет запланированные со своей стороны мероприятия по фармаконадзору. Планы фармаконадзора являются соразмерными рискам лекарственного препарата. Если рутинные мероприятия по фармаконадзору обоснованно оцениваются как достаточные для обеспечения надлежащего пострегистрационного мониторинга безопасности и не требуют дополнительных действий (в частности, исследований безопасности), то основываются на "рутинном фармаконадзоре", направленном на дальнейшую работу с проблемами по безопасности.</w:t>
      </w:r>
    </w:p>
    <w:bookmarkEnd w:id="7152"/>
    <w:bookmarkStart w:name="z7323" w:id="7153"/>
    <w:p>
      <w:pPr>
        <w:spacing w:after="0"/>
        <w:ind w:left="0"/>
        <w:jc w:val="both"/>
      </w:pPr>
      <w:r>
        <w:rPr>
          <w:rFonts w:ascii="Times New Roman"/>
          <w:b w:val="false"/>
          <w:i w:val="false"/>
          <w:color w:val="000000"/>
          <w:sz w:val="28"/>
        </w:rPr>
        <w:t>
      193. Часть III ПУР, раздел "Рутинные мероприятия по фармаконадзору".</w:t>
      </w:r>
    </w:p>
    <w:bookmarkEnd w:id="7153"/>
    <w:bookmarkStart w:name="z7324" w:id="7154"/>
    <w:p>
      <w:pPr>
        <w:spacing w:after="0"/>
        <w:ind w:left="0"/>
        <w:jc w:val="both"/>
      </w:pPr>
      <w:r>
        <w:rPr>
          <w:rFonts w:ascii="Times New Roman"/>
          <w:b w:val="false"/>
          <w:i w:val="false"/>
          <w:color w:val="000000"/>
          <w:sz w:val="28"/>
        </w:rPr>
        <w:t>
      Рутинные мероприятия по фармаконадзору представляют комплекс мероприятий, регулярно проводимых держателем регистрационного удостоверения с целью обеспечения выполнения требований действующего законодательства по фармаконадзору Республики Казахстан.</w:t>
      </w:r>
    </w:p>
    <w:bookmarkEnd w:id="7154"/>
    <w:bookmarkStart w:name="z7325" w:id="7155"/>
    <w:p>
      <w:pPr>
        <w:spacing w:after="0"/>
        <w:ind w:left="0"/>
        <w:jc w:val="both"/>
      </w:pPr>
      <w:r>
        <w:rPr>
          <w:rFonts w:ascii="Times New Roman"/>
          <w:b w:val="false"/>
          <w:i w:val="false"/>
          <w:color w:val="000000"/>
          <w:sz w:val="28"/>
        </w:rPr>
        <w:t>
      Мастер-файл системы фармаконадзора содержит подробную информацию о системах и процессах, реализуемых держателем регистрационного удостоверения для достижения указанной цели, данная информация не дублируется в ПУР.</w:t>
      </w:r>
    </w:p>
    <w:bookmarkEnd w:id="7155"/>
    <w:bookmarkStart w:name="z7326" w:id="7156"/>
    <w:p>
      <w:pPr>
        <w:spacing w:after="0"/>
        <w:ind w:left="0"/>
        <w:jc w:val="both"/>
      </w:pPr>
      <w:r>
        <w:rPr>
          <w:rFonts w:ascii="Times New Roman"/>
          <w:b w:val="false"/>
          <w:i w:val="false"/>
          <w:color w:val="000000"/>
          <w:sz w:val="28"/>
        </w:rPr>
        <w:t>
      Уполномоченным органом осуществляется рекомендация держателю регистрационного удостоверения в отношении изменения действующих процедур сбора, верификации, оценки и представления информации о нежелательных реакциях, полученных в рамках спонтанного репортирования. В этом случае в данном разделе держатель регистрационного удостоверения приводит пояснение по изменениям в рутинной деятельности по фармаконадзору, внесенных согласно рекомендациям уполномоченного органа.</w:t>
      </w:r>
    </w:p>
    <w:bookmarkEnd w:id="7156"/>
    <w:bookmarkStart w:name="z7327" w:id="7157"/>
    <w:p>
      <w:pPr>
        <w:spacing w:after="0"/>
        <w:ind w:left="0"/>
        <w:jc w:val="both"/>
      </w:pPr>
      <w:r>
        <w:rPr>
          <w:rFonts w:ascii="Times New Roman"/>
          <w:b w:val="false"/>
          <w:i w:val="false"/>
          <w:color w:val="000000"/>
          <w:sz w:val="28"/>
        </w:rPr>
        <w:t>
      Специальные опросники по последующему наблюдению за нежелательными реакциями.</w:t>
      </w:r>
    </w:p>
    <w:bookmarkEnd w:id="7157"/>
    <w:bookmarkStart w:name="z7328" w:id="7158"/>
    <w:p>
      <w:pPr>
        <w:spacing w:after="0"/>
        <w:ind w:left="0"/>
        <w:jc w:val="both"/>
      </w:pPr>
      <w:r>
        <w:rPr>
          <w:rFonts w:ascii="Times New Roman"/>
          <w:b w:val="false"/>
          <w:i w:val="false"/>
          <w:color w:val="000000"/>
          <w:sz w:val="28"/>
        </w:rPr>
        <w:t>
      Если от держателя регистрационного удостоверения требуется составить или же он планирует использовать специальные опросники для получения структурированной информации о выявленных нежелательных реакциях, представляющих особый интерес, в приложении 6 ПУР представляются копии данных опросников. Использование специальных опросников в качестве последующего наблюдения за репортируемыми подозреваемыми нежелательными реакциями причисляется к мерам рутинного фармаконадзора.</w:t>
      </w:r>
    </w:p>
    <w:bookmarkEnd w:id="7158"/>
    <w:bookmarkStart w:name="z7329" w:id="7159"/>
    <w:p>
      <w:pPr>
        <w:spacing w:after="0"/>
        <w:ind w:left="0"/>
        <w:jc w:val="both"/>
      </w:pPr>
      <w:r>
        <w:rPr>
          <w:rFonts w:ascii="Times New Roman"/>
          <w:b w:val="false"/>
          <w:i w:val="false"/>
          <w:color w:val="000000"/>
          <w:sz w:val="28"/>
        </w:rPr>
        <w:t>
      194. Часть III ПУР, раздел "Дополнительные мероприятия по фармаконадзору".</w:t>
      </w:r>
    </w:p>
    <w:bookmarkEnd w:id="7159"/>
    <w:bookmarkStart w:name="z7330" w:id="7160"/>
    <w:p>
      <w:pPr>
        <w:spacing w:after="0"/>
        <w:ind w:left="0"/>
        <w:jc w:val="both"/>
      </w:pPr>
      <w:r>
        <w:rPr>
          <w:rFonts w:ascii="Times New Roman"/>
          <w:b w:val="false"/>
          <w:i w:val="false"/>
          <w:color w:val="000000"/>
          <w:sz w:val="28"/>
        </w:rPr>
        <w:t xml:space="preserve">
      Держатель регистрационного удостоверения оценивает ситуации, требующих принятия дополнительных мер по фармаконадзору по причине невозможности достижения цели, по надлежащей оценке, (изучению) риска при помощи рутинных методов фармаконадзора. </w:t>
      </w:r>
    </w:p>
    <w:bookmarkEnd w:id="7160"/>
    <w:bookmarkStart w:name="z7331" w:id="7161"/>
    <w:p>
      <w:pPr>
        <w:spacing w:after="0"/>
        <w:ind w:left="0"/>
        <w:jc w:val="both"/>
      </w:pPr>
      <w:r>
        <w:rPr>
          <w:rFonts w:ascii="Times New Roman"/>
          <w:b w:val="false"/>
          <w:i w:val="false"/>
          <w:color w:val="000000"/>
          <w:sz w:val="28"/>
        </w:rPr>
        <w:t>
      Цели дополнительных мероприятия по фармаконадзору, как правило, различаются в зависимости от проблем по безопасности, на которые они направлены. Исследования в рамках плана фармаконадзора связываются с проблемами по безопасности, обозначенными в спецификации по безопасности, вне зависимости от того, нацелены ли исследования на выявление и характеристику рисков или на оценку эффективности мероприятий по минимизации рисков. Держатель регистрационного удостоверения включает сюда все исследования (испытания), направленные на изучение (оценку) проблем по безопасности, а также исследования (испытания), предоставляющую полезную информацию о безопасности, хотя при этом оцениваемые в рамках ПУР проблемы по безопасности могут не входить в число приоритетов исследования. Это включает в себя ПРИБ, исследования в области фармакоэпидемиологии, фармакокинетические исследования, клинические исследования (испытания) или дополнительные доклинические исследования. При проведении данных исследований (испытаний) придерживаются требований соответствующих руководств и действующего законодательства Республики Казахстан.</w:t>
      </w:r>
    </w:p>
    <w:bookmarkEnd w:id="7161"/>
    <w:bookmarkStart w:name="z7332" w:id="7162"/>
    <w:p>
      <w:pPr>
        <w:spacing w:after="0"/>
        <w:ind w:left="0"/>
        <w:jc w:val="both"/>
      </w:pPr>
      <w:r>
        <w:rPr>
          <w:rFonts w:ascii="Times New Roman"/>
          <w:b w:val="false"/>
          <w:i w:val="false"/>
          <w:color w:val="000000"/>
          <w:sz w:val="28"/>
        </w:rPr>
        <w:t>
      Протоколы исследований (испытаний) в рамках плана по фармаконадзору представляются в приложении к ПУР.</w:t>
      </w:r>
    </w:p>
    <w:bookmarkEnd w:id="7162"/>
    <w:bookmarkStart w:name="z7333" w:id="7163"/>
    <w:p>
      <w:pPr>
        <w:spacing w:after="0"/>
        <w:ind w:left="0"/>
        <w:jc w:val="both"/>
      </w:pPr>
      <w:r>
        <w:rPr>
          <w:rFonts w:ascii="Times New Roman"/>
          <w:b w:val="false"/>
          <w:i w:val="false"/>
          <w:color w:val="000000"/>
          <w:sz w:val="28"/>
        </w:rPr>
        <w:t>
      Резюме отчетов по результатам исследований (испытаний), выполненных в рамках дополнительных мероприятий по фармаконадзору, включаются в приложение к ПУР. Влияние новых данных на соотношение польза-риск лекарственного препарата тщательно оценивается и спецификация по безопасности, план по фармаконадзору и план по минимизации рисков дорабатываются соответствующим образом с учетом полученных данных по безопасности.</w:t>
      </w:r>
    </w:p>
    <w:bookmarkEnd w:id="7163"/>
    <w:bookmarkStart w:name="z7334" w:id="7164"/>
    <w:p>
      <w:pPr>
        <w:spacing w:after="0"/>
        <w:ind w:left="0"/>
        <w:jc w:val="both"/>
      </w:pPr>
      <w:r>
        <w:rPr>
          <w:rFonts w:ascii="Times New Roman"/>
          <w:b w:val="false"/>
          <w:i w:val="false"/>
          <w:color w:val="000000"/>
          <w:sz w:val="28"/>
        </w:rPr>
        <w:t>
      Особые ситуации по ПРИБ. Исследования, изучающие эффективность мер по минимизации рисков, включают в план фармаконадзора вместе с особыми факторами опасности и подробно описывают в плане по минимизации рисков:</w:t>
      </w:r>
    </w:p>
    <w:bookmarkEnd w:id="7164"/>
    <w:bookmarkStart w:name="z7335" w:id="7165"/>
    <w:p>
      <w:pPr>
        <w:spacing w:after="0"/>
        <w:ind w:left="0"/>
        <w:jc w:val="both"/>
      </w:pPr>
      <w:r>
        <w:rPr>
          <w:rFonts w:ascii="Times New Roman"/>
          <w:b w:val="false"/>
          <w:i w:val="false"/>
          <w:color w:val="000000"/>
          <w:sz w:val="28"/>
        </w:rPr>
        <w:t>
      1) исследования использования лекарственных препаратов проводятся по требованию уполномоченного органа с целью мониторинга использования лекарственных препаратов на территории Республики Казахстан, часто в связи с оценкой механизмов компенсации государством населению средств, затрачиваемых на приобретение лекарственных препаратов. Данный тип исследований непосредственно не предназначается для изучения аспектов безопасности лекарственных препаратов, но имеет возможность предоставления полезной информации об эффективности мероприятий по минимизации рисков и демографии целевых групп населения;</w:t>
      </w:r>
    </w:p>
    <w:bookmarkEnd w:id="7165"/>
    <w:bookmarkStart w:name="z7336" w:id="7166"/>
    <w:p>
      <w:pPr>
        <w:spacing w:after="0"/>
        <w:ind w:left="0"/>
        <w:jc w:val="both"/>
      </w:pPr>
      <w:r>
        <w:rPr>
          <w:rFonts w:ascii="Times New Roman"/>
          <w:b w:val="false"/>
          <w:i w:val="false"/>
          <w:color w:val="000000"/>
          <w:sz w:val="28"/>
        </w:rPr>
        <w:t>
      2) совместные исследования. Если проблема по безопасности распространяется более чем на один лекарственный препарат (либо на одно действующее вещество приходится несколько держателей регистрационного удостоверения), уполномоченный орган рекомендует держателям регистрационного удостоверения проводить совместное ПРИБ. Проведение совместных исследований является необходимым в случаях, когда количество пациентов ограничено (редкие заболевания) или неблагоприятные реакции наблюдаются редко. Уполномоченный орган способствует соглашению заинтересованных держателей регистрационного удостоверения разработать единый протокол для ПРИБ и совместно проводить исследование. Если в течение разумного периода времени, определенного уполномоченным органом, заинтересованные держатели регистрационных удостоверений не пришли к соглашению о создании единого протокола, уполномоченный орган назначает проведение ПРИБ и определяет либо общий основной протокол или ключевые элементы протокола, необходимый для соблюдения держателями регистрационного удостоверения в требуемые сроки;</w:t>
      </w:r>
    </w:p>
    <w:bookmarkEnd w:id="7166"/>
    <w:bookmarkStart w:name="z7337" w:id="7167"/>
    <w:p>
      <w:pPr>
        <w:spacing w:after="0"/>
        <w:ind w:left="0"/>
        <w:jc w:val="both"/>
      </w:pPr>
      <w:r>
        <w:rPr>
          <w:rFonts w:ascii="Times New Roman"/>
          <w:b w:val="false"/>
          <w:i w:val="false"/>
          <w:color w:val="000000"/>
          <w:sz w:val="28"/>
        </w:rPr>
        <w:t xml:space="preserve">
      3) регистр представляет вид проспективных неинтервенционных когортных исследований. Рекомендуется предусмотреть в регистре включение группы сравнения, в связи с чем регистр заболеваний окажется более предпочтительным, чем регистр, ограниченный определенным лекарственным препаратом. Протокол регистра предусматривает внесение в реестр данных по пациентам, имеющих выписанные соответствующие лекарственные препараты или одно и то же заболевание. </w:t>
      </w:r>
    </w:p>
    <w:bookmarkEnd w:id="7167"/>
    <w:bookmarkStart w:name="z7338" w:id="7168"/>
    <w:p>
      <w:pPr>
        <w:spacing w:after="0"/>
        <w:ind w:left="0"/>
        <w:jc w:val="both"/>
      </w:pPr>
      <w:r>
        <w:rPr>
          <w:rFonts w:ascii="Times New Roman"/>
          <w:b w:val="false"/>
          <w:i w:val="false"/>
          <w:color w:val="000000"/>
          <w:sz w:val="28"/>
        </w:rPr>
        <w:t>
      195. Часть III ПУР, раздел "Планы действий по дополнительным требованиям по фармаконадзору в отношении проблем по безопасности".</w:t>
      </w:r>
    </w:p>
    <w:bookmarkEnd w:id="7168"/>
    <w:bookmarkStart w:name="z7339" w:id="7169"/>
    <w:p>
      <w:pPr>
        <w:spacing w:after="0"/>
        <w:ind w:left="0"/>
        <w:jc w:val="both"/>
      </w:pPr>
      <w:r>
        <w:rPr>
          <w:rFonts w:ascii="Times New Roman"/>
          <w:b w:val="false"/>
          <w:i w:val="false"/>
          <w:color w:val="000000"/>
          <w:sz w:val="28"/>
        </w:rPr>
        <w:t>
      При наличии дополнительных мероприятий по фармаконадзору, план действий в отношении каждой проблемы по безопасности представляется в соответствии со следующей структурой:</w:t>
      </w:r>
    </w:p>
    <w:bookmarkEnd w:id="7169"/>
    <w:bookmarkStart w:name="z7340" w:id="7170"/>
    <w:p>
      <w:pPr>
        <w:spacing w:after="0"/>
        <w:ind w:left="0"/>
        <w:jc w:val="both"/>
      </w:pPr>
      <w:r>
        <w:rPr>
          <w:rFonts w:ascii="Times New Roman"/>
          <w:b w:val="false"/>
          <w:i w:val="false"/>
          <w:color w:val="000000"/>
          <w:sz w:val="28"/>
        </w:rPr>
        <w:t>
      1) проблема по безопасности;</w:t>
      </w:r>
    </w:p>
    <w:bookmarkEnd w:id="7170"/>
    <w:bookmarkStart w:name="z7341" w:id="7171"/>
    <w:p>
      <w:pPr>
        <w:spacing w:after="0"/>
        <w:ind w:left="0"/>
        <w:jc w:val="both"/>
      </w:pPr>
      <w:r>
        <w:rPr>
          <w:rFonts w:ascii="Times New Roman"/>
          <w:b w:val="false"/>
          <w:i w:val="false"/>
          <w:color w:val="000000"/>
          <w:sz w:val="28"/>
        </w:rPr>
        <w:t>
      2) цель предлагаемого действия;</w:t>
      </w:r>
    </w:p>
    <w:bookmarkEnd w:id="7171"/>
    <w:bookmarkStart w:name="z7342" w:id="7172"/>
    <w:p>
      <w:pPr>
        <w:spacing w:after="0"/>
        <w:ind w:left="0"/>
        <w:jc w:val="both"/>
      </w:pPr>
      <w:r>
        <w:rPr>
          <w:rFonts w:ascii="Times New Roman"/>
          <w:b w:val="false"/>
          <w:i w:val="false"/>
          <w:color w:val="000000"/>
          <w:sz w:val="28"/>
        </w:rPr>
        <w:t>
      3) предлагаемое действие;</w:t>
      </w:r>
    </w:p>
    <w:bookmarkEnd w:id="7172"/>
    <w:bookmarkStart w:name="z7343" w:id="7173"/>
    <w:p>
      <w:pPr>
        <w:spacing w:after="0"/>
        <w:ind w:left="0"/>
        <w:jc w:val="both"/>
      </w:pPr>
      <w:r>
        <w:rPr>
          <w:rFonts w:ascii="Times New Roman"/>
          <w:b w:val="false"/>
          <w:i w:val="false"/>
          <w:color w:val="000000"/>
          <w:sz w:val="28"/>
        </w:rPr>
        <w:t>
      4) основные этапы оценки и отчетности.</w:t>
      </w:r>
    </w:p>
    <w:bookmarkEnd w:id="7173"/>
    <w:bookmarkStart w:name="z7344" w:id="7174"/>
    <w:p>
      <w:pPr>
        <w:spacing w:after="0"/>
        <w:ind w:left="0"/>
        <w:jc w:val="both"/>
      </w:pPr>
      <w:r>
        <w:rPr>
          <w:rFonts w:ascii="Times New Roman"/>
          <w:b w:val="false"/>
          <w:i w:val="false"/>
          <w:color w:val="000000"/>
          <w:sz w:val="28"/>
        </w:rPr>
        <w:t xml:space="preserve">
      Одной из составляющих мер, предлагаемых в отношении каждой проблемы по безопасности, всегда окажется "рутинный фармаконадзор". Помимо перечисления дополнительных мероприятий в пункте "Предлагаемое действие", в приложении 5 ПУР представляются протоколы (проект или другой документ) для проведения любых исследований. </w:t>
      </w:r>
    </w:p>
    <w:bookmarkEnd w:id="7174"/>
    <w:bookmarkStart w:name="z7345" w:id="7175"/>
    <w:p>
      <w:pPr>
        <w:spacing w:after="0"/>
        <w:ind w:left="0"/>
        <w:jc w:val="both"/>
      </w:pPr>
      <w:r>
        <w:rPr>
          <w:rFonts w:ascii="Times New Roman"/>
          <w:b w:val="false"/>
          <w:i w:val="false"/>
          <w:color w:val="000000"/>
          <w:sz w:val="28"/>
        </w:rPr>
        <w:t>
      196. Часть III ПУР, раздел "Сводная таблица по дополнительным мероприятиям по фармаконадзору".</w:t>
      </w:r>
    </w:p>
    <w:bookmarkEnd w:id="7175"/>
    <w:bookmarkStart w:name="z7346" w:id="7176"/>
    <w:p>
      <w:pPr>
        <w:spacing w:after="0"/>
        <w:ind w:left="0"/>
        <w:jc w:val="both"/>
      </w:pPr>
      <w:r>
        <w:rPr>
          <w:rFonts w:ascii="Times New Roman"/>
          <w:b w:val="false"/>
          <w:i w:val="false"/>
          <w:color w:val="000000"/>
          <w:sz w:val="28"/>
        </w:rPr>
        <w:t>
      В данном разделе представляется сводная таблица всех дополнительных мероприятий по фармаконадзору, включая планируемые даты этапов их выполнения.</w:t>
      </w:r>
    </w:p>
    <w:bookmarkEnd w:id="7176"/>
    <w:bookmarkStart w:name="z7347" w:id="7177"/>
    <w:p>
      <w:pPr>
        <w:spacing w:after="0"/>
        <w:ind w:left="0"/>
        <w:jc w:val="both"/>
      </w:pPr>
      <w:r>
        <w:rPr>
          <w:rFonts w:ascii="Times New Roman"/>
          <w:b w:val="false"/>
          <w:i w:val="false"/>
          <w:color w:val="000000"/>
          <w:sz w:val="28"/>
        </w:rPr>
        <w:t>
      197. Часть IV ПУР "Планирование пострегистрационных исследований эффективности".</w:t>
      </w:r>
    </w:p>
    <w:bookmarkEnd w:id="7177"/>
    <w:bookmarkStart w:name="z7348" w:id="7178"/>
    <w:p>
      <w:pPr>
        <w:spacing w:after="0"/>
        <w:ind w:left="0"/>
        <w:jc w:val="both"/>
      </w:pPr>
      <w:r>
        <w:rPr>
          <w:rFonts w:ascii="Times New Roman"/>
          <w:b w:val="false"/>
          <w:i w:val="false"/>
          <w:color w:val="000000"/>
          <w:sz w:val="28"/>
        </w:rPr>
        <w:t xml:space="preserve">
      Требования к ПРИБ относятся исключительно к одобренным показаниям, но не к исследованиям, занимающимся изучением дополнительных, не одобренных показаний. Исследования по безопасности, являющиеся особыми обязательствами и (или) условием для получения удостоверения о государственной регистрации, также включают в данную часть ПУР. </w:t>
      </w:r>
    </w:p>
    <w:bookmarkEnd w:id="7178"/>
    <w:bookmarkStart w:name="z7349" w:id="7179"/>
    <w:p>
      <w:pPr>
        <w:spacing w:after="0"/>
        <w:ind w:left="0"/>
        <w:jc w:val="both"/>
      </w:pPr>
      <w:r>
        <w:rPr>
          <w:rFonts w:ascii="Times New Roman"/>
          <w:b w:val="false"/>
          <w:i w:val="false"/>
          <w:color w:val="000000"/>
          <w:sz w:val="28"/>
        </w:rPr>
        <w:t>
      198. Часть IV ПУР, раздел "Представление данных об эффективности".</w:t>
      </w:r>
    </w:p>
    <w:bookmarkEnd w:id="7179"/>
    <w:bookmarkStart w:name="z7350" w:id="7180"/>
    <w:p>
      <w:pPr>
        <w:spacing w:after="0"/>
        <w:ind w:left="0"/>
        <w:jc w:val="both"/>
      </w:pPr>
      <w:r>
        <w:rPr>
          <w:rFonts w:ascii="Times New Roman"/>
          <w:b w:val="false"/>
          <w:i w:val="false"/>
          <w:color w:val="000000"/>
          <w:sz w:val="28"/>
        </w:rPr>
        <w:t xml:space="preserve">
      В качестве объяснения для предложенных исследований эффективности и для обеспечения наличия обосновывающих данных по включению в ПУР, в разделе представляется обобщающая информация по доказанной эффективности лекарственного препарата, а также указание на каких клинических исследованиях (испытаниях) и конечных точках основана данная оценка. Осуществляется оценка твердости конечных точек, на которых основана оценка эффективности. </w:t>
      </w:r>
    </w:p>
    <w:bookmarkEnd w:id="7180"/>
    <w:bookmarkStart w:name="z7351" w:id="7181"/>
    <w:p>
      <w:pPr>
        <w:spacing w:after="0"/>
        <w:ind w:left="0"/>
        <w:jc w:val="both"/>
      </w:pPr>
      <w:r>
        <w:rPr>
          <w:rFonts w:ascii="Times New Roman"/>
          <w:b w:val="false"/>
          <w:i w:val="false"/>
          <w:color w:val="000000"/>
          <w:sz w:val="28"/>
        </w:rPr>
        <w:t>
      В разделе приводится краткая оценка необходимости проведения дальнейших пострегистрационных исследований эффективности по следующим аспектам:</w:t>
      </w:r>
    </w:p>
    <w:bookmarkEnd w:id="7181"/>
    <w:bookmarkStart w:name="z7352" w:id="7182"/>
    <w:p>
      <w:pPr>
        <w:spacing w:after="0"/>
        <w:ind w:left="0"/>
        <w:jc w:val="both"/>
      </w:pPr>
      <w:r>
        <w:rPr>
          <w:rFonts w:ascii="Times New Roman"/>
          <w:b w:val="false"/>
          <w:i w:val="false"/>
          <w:color w:val="000000"/>
          <w:sz w:val="28"/>
        </w:rPr>
        <w:t>
      1) применимость данных об эффективности для всех пациентов в целевой популяции;</w:t>
      </w:r>
    </w:p>
    <w:bookmarkEnd w:id="7182"/>
    <w:bookmarkStart w:name="z7353" w:id="7183"/>
    <w:p>
      <w:pPr>
        <w:spacing w:after="0"/>
        <w:ind w:left="0"/>
        <w:jc w:val="both"/>
      </w:pPr>
      <w:r>
        <w:rPr>
          <w:rFonts w:ascii="Times New Roman"/>
          <w:b w:val="false"/>
          <w:i w:val="false"/>
          <w:color w:val="000000"/>
          <w:sz w:val="28"/>
        </w:rPr>
        <w:t>
      2) факторы, предположительно влияющие на эффективность лекарственного препарата в повседневной медицинской практике;</w:t>
      </w:r>
    </w:p>
    <w:bookmarkEnd w:id="7183"/>
    <w:bookmarkStart w:name="z7354" w:id="7184"/>
    <w:p>
      <w:pPr>
        <w:spacing w:after="0"/>
        <w:ind w:left="0"/>
        <w:jc w:val="both"/>
      </w:pPr>
      <w:r>
        <w:rPr>
          <w:rFonts w:ascii="Times New Roman"/>
          <w:b w:val="false"/>
          <w:i w:val="false"/>
          <w:color w:val="000000"/>
          <w:sz w:val="28"/>
        </w:rPr>
        <w:t>
      3) вариабельность терапевтического эффекта в субпопуляциях.</w:t>
      </w:r>
    </w:p>
    <w:bookmarkEnd w:id="7184"/>
    <w:bookmarkStart w:name="z7355" w:id="7185"/>
    <w:p>
      <w:pPr>
        <w:spacing w:after="0"/>
        <w:ind w:left="0"/>
        <w:jc w:val="both"/>
      </w:pPr>
      <w:r>
        <w:rPr>
          <w:rFonts w:ascii="Times New Roman"/>
          <w:b w:val="false"/>
          <w:i w:val="false"/>
          <w:color w:val="000000"/>
          <w:sz w:val="28"/>
        </w:rPr>
        <w:t>
      В данном разделе представляется сводная таблица запланированных исследований (испытаний) с указанием сроков и основных этапов выполнения. Проекты протоколов для данных клинических исследований (испытаний), включаются в приложение 7 ПУР.</w:t>
      </w:r>
    </w:p>
    <w:bookmarkEnd w:id="7185"/>
    <w:bookmarkStart w:name="z7356" w:id="7186"/>
    <w:p>
      <w:pPr>
        <w:spacing w:after="0"/>
        <w:ind w:left="0"/>
        <w:jc w:val="both"/>
      </w:pPr>
      <w:r>
        <w:rPr>
          <w:rFonts w:ascii="Times New Roman"/>
          <w:b w:val="false"/>
          <w:i w:val="false"/>
          <w:color w:val="000000"/>
          <w:sz w:val="28"/>
        </w:rPr>
        <w:t>
      199. Часть V. ПУР "Меры по минимизации рисков".</w:t>
      </w:r>
    </w:p>
    <w:bookmarkEnd w:id="7186"/>
    <w:bookmarkStart w:name="z7357" w:id="7187"/>
    <w:p>
      <w:pPr>
        <w:spacing w:after="0"/>
        <w:ind w:left="0"/>
        <w:jc w:val="both"/>
      </w:pPr>
      <w:r>
        <w:rPr>
          <w:rFonts w:ascii="Times New Roman"/>
          <w:b w:val="false"/>
          <w:i w:val="false"/>
          <w:color w:val="000000"/>
          <w:sz w:val="28"/>
        </w:rPr>
        <w:t>
      В соответствии со спецификацией безопасности держатель регистрационного удостоверения оценивает какие мероприятия по минимизации рисков необходимы в отношении каждой проблемы по безопасности. План минимизации рисков включает подробную информацию о мероприятиях по минимизации рисков, предпринимаемых с целью уменьшения рисков, связанных с каждой из установленных проблем по безопасности. Предлагаемые меры по минимизации рисков по каждой из проблем по безопасности включают более одного мероприятия по минимизации рисков.</w:t>
      </w:r>
    </w:p>
    <w:bookmarkEnd w:id="7187"/>
    <w:bookmarkStart w:name="z7358" w:id="7188"/>
    <w:p>
      <w:pPr>
        <w:spacing w:after="0"/>
        <w:ind w:left="0"/>
        <w:jc w:val="both"/>
      </w:pPr>
      <w:r>
        <w:rPr>
          <w:rFonts w:ascii="Times New Roman"/>
          <w:b w:val="false"/>
          <w:i w:val="false"/>
          <w:color w:val="000000"/>
          <w:sz w:val="28"/>
        </w:rPr>
        <w:t xml:space="preserve">
      Мероприятия по минимизации рисков состоят из рутинных мероприятий по минимизации рисков и дополнительных мероприятий по минимизации рисков. Все мероприятия по минимизации рисков обязаны иметь четко обозначенную цель. </w:t>
      </w:r>
    </w:p>
    <w:bookmarkEnd w:id="7188"/>
    <w:bookmarkStart w:name="z7359" w:id="7189"/>
    <w:p>
      <w:pPr>
        <w:spacing w:after="0"/>
        <w:ind w:left="0"/>
        <w:jc w:val="both"/>
      </w:pPr>
      <w:r>
        <w:rPr>
          <w:rFonts w:ascii="Times New Roman"/>
          <w:b w:val="false"/>
          <w:i w:val="false"/>
          <w:color w:val="000000"/>
          <w:sz w:val="28"/>
        </w:rPr>
        <w:t>
      200. Часть V ПУР, раздел "Рутинные меры минимизация рисков".</w:t>
      </w:r>
    </w:p>
    <w:bookmarkEnd w:id="7189"/>
    <w:bookmarkStart w:name="z7360" w:id="7190"/>
    <w:p>
      <w:pPr>
        <w:spacing w:after="0"/>
        <w:ind w:left="0"/>
        <w:jc w:val="both"/>
      </w:pPr>
      <w:r>
        <w:rPr>
          <w:rFonts w:ascii="Times New Roman"/>
          <w:b w:val="false"/>
          <w:i w:val="false"/>
          <w:color w:val="000000"/>
          <w:sz w:val="28"/>
        </w:rPr>
        <w:t>
      Рутинные меры по минимизации рисков включают мероприятия (действия), проводимые в отношении каждого лекарственного препарата. Рутинные меры распространяются на:</w:t>
      </w:r>
    </w:p>
    <w:bookmarkEnd w:id="7190"/>
    <w:bookmarkStart w:name="z7361" w:id="7191"/>
    <w:p>
      <w:pPr>
        <w:spacing w:after="0"/>
        <w:ind w:left="0"/>
        <w:jc w:val="both"/>
      </w:pPr>
      <w:r>
        <w:rPr>
          <w:rFonts w:ascii="Times New Roman"/>
          <w:b w:val="false"/>
          <w:i w:val="false"/>
          <w:color w:val="000000"/>
          <w:sz w:val="28"/>
        </w:rPr>
        <w:t>
      1) инструкцию по медицинскому применению;</w:t>
      </w:r>
    </w:p>
    <w:bookmarkEnd w:id="7191"/>
    <w:bookmarkStart w:name="z7362" w:id="7192"/>
    <w:p>
      <w:pPr>
        <w:spacing w:after="0"/>
        <w:ind w:left="0"/>
        <w:jc w:val="both"/>
      </w:pPr>
      <w:r>
        <w:rPr>
          <w:rFonts w:ascii="Times New Roman"/>
          <w:b w:val="false"/>
          <w:i w:val="false"/>
          <w:color w:val="000000"/>
          <w:sz w:val="28"/>
        </w:rPr>
        <w:t>
      2) маркировку;</w:t>
      </w:r>
    </w:p>
    <w:bookmarkEnd w:id="7192"/>
    <w:bookmarkStart w:name="z7363" w:id="7193"/>
    <w:p>
      <w:pPr>
        <w:spacing w:after="0"/>
        <w:ind w:left="0"/>
        <w:jc w:val="both"/>
      </w:pPr>
      <w:r>
        <w:rPr>
          <w:rFonts w:ascii="Times New Roman"/>
          <w:b w:val="false"/>
          <w:i w:val="false"/>
          <w:color w:val="000000"/>
          <w:sz w:val="28"/>
        </w:rPr>
        <w:t>
      3) листок-вкладыш (информацию) для пациента;</w:t>
      </w:r>
    </w:p>
    <w:bookmarkEnd w:id="7193"/>
    <w:bookmarkStart w:name="z7364" w:id="7194"/>
    <w:p>
      <w:pPr>
        <w:spacing w:after="0"/>
        <w:ind w:left="0"/>
        <w:jc w:val="both"/>
      </w:pPr>
      <w:r>
        <w:rPr>
          <w:rFonts w:ascii="Times New Roman"/>
          <w:b w:val="false"/>
          <w:i w:val="false"/>
          <w:color w:val="000000"/>
          <w:sz w:val="28"/>
        </w:rPr>
        <w:t>
      4) размер упаковки;</w:t>
      </w:r>
    </w:p>
    <w:bookmarkEnd w:id="7194"/>
    <w:bookmarkStart w:name="z7365" w:id="7195"/>
    <w:p>
      <w:pPr>
        <w:spacing w:after="0"/>
        <w:ind w:left="0"/>
        <w:jc w:val="both"/>
      </w:pPr>
      <w:r>
        <w:rPr>
          <w:rFonts w:ascii="Times New Roman"/>
          <w:b w:val="false"/>
          <w:i w:val="false"/>
          <w:color w:val="000000"/>
          <w:sz w:val="28"/>
        </w:rPr>
        <w:t>
      5) регуляторный статус лекарственного препарата.</w:t>
      </w:r>
    </w:p>
    <w:bookmarkEnd w:id="7195"/>
    <w:bookmarkStart w:name="z7366" w:id="7196"/>
    <w:p>
      <w:pPr>
        <w:spacing w:after="0"/>
        <w:ind w:left="0"/>
        <w:jc w:val="both"/>
      </w:pPr>
      <w:r>
        <w:rPr>
          <w:rFonts w:ascii="Times New Roman"/>
          <w:b w:val="false"/>
          <w:i w:val="false"/>
          <w:color w:val="000000"/>
          <w:sz w:val="28"/>
        </w:rPr>
        <w:t>
      Инструкция по медицинскому применению представляет важный инструмент минимизации риска, так как является контролируемым и стандартизуемым форматом информирования медицинских, фармацевтических работников и пациентов о лекарственном препарате.</w:t>
      </w:r>
    </w:p>
    <w:bookmarkEnd w:id="7196"/>
    <w:bookmarkStart w:name="z7367" w:id="7197"/>
    <w:p>
      <w:pPr>
        <w:spacing w:after="0"/>
        <w:ind w:left="0"/>
        <w:jc w:val="both"/>
      </w:pPr>
      <w:r>
        <w:rPr>
          <w:rFonts w:ascii="Times New Roman"/>
          <w:b w:val="false"/>
          <w:i w:val="false"/>
          <w:color w:val="000000"/>
          <w:sz w:val="28"/>
        </w:rPr>
        <w:t>
      Размер упаковки. Ограничение количества единиц выписанного лекарственного препарата является еще одним из рутинных мероприятий по минимизации рисков. При ограничении количества единиц выписанного лекарственного препарата пациент вынужден обращаться к лечащему врачу через определенные меньшие промежутки времени, что оптимизирует процесс контроля его состояния и сократит время его нахождения без соответствующего наблюдения. Выпуск упаковок на небольшое количество дозированных единиц (в особых случаях - на одну дозированную единицу) также является полезным в случае, если одним из основных рисков считается передозировка.</w:t>
      </w:r>
    </w:p>
    <w:bookmarkEnd w:id="7197"/>
    <w:bookmarkStart w:name="z7368" w:id="7198"/>
    <w:p>
      <w:pPr>
        <w:spacing w:after="0"/>
        <w:ind w:left="0"/>
        <w:jc w:val="both"/>
      </w:pPr>
      <w:r>
        <w:rPr>
          <w:rFonts w:ascii="Times New Roman"/>
          <w:b w:val="false"/>
          <w:i w:val="false"/>
          <w:color w:val="000000"/>
          <w:sz w:val="28"/>
        </w:rPr>
        <w:t>
      Регуляторный статус. Контроль условий, при которых лекарственный препарат делается доступным, снижает риски, связанные с его использованием или неправильным применением. Достигается путем регулирования условий назначения или получения пациентом лекарственного препарата.</w:t>
      </w:r>
    </w:p>
    <w:bookmarkEnd w:id="7198"/>
    <w:bookmarkStart w:name="z7369" w:id="7199"/>
    <w:p>
      <w:pPr>
        <w:spacing w:after="0"/>
        <w:ind w:left="0"/>
        <w:jc w:val="both"/>
      </w:pPr>
      <w:r>
        <w:rPr>
          <w:rFonts w:ascii="Times New Roman"/>
          <w:b w:val="false"/>
          <w:i w:val="false"/>
          <w:color w:val="000000"/>
          <w:sz w:val="28"/>
        </w:rPr>
        <w:t>
      При выдаче регистрационного удостоверения включают подробную информацию о любых условиях, ограничениях поставок или использовании лекарственного препарата, включая условия, при которых лекарственный препарат окажется доступным для пациентов. Как правило, это именуется "регуляторным статусом" лекарственного препарата. Данный статус включает информацию о рецептурном или безрецептурном отпуске лекарственного препарата.</w:t>
      </w:r>
    </w:p>
    <w:bookmarkEnd w:id="7199"/>
    <w:bookmarkStart w:name="z7370" w:id="7200"/>
    <w:p>
      <w:pPr>
        <w:spacing w:after="0"/>
        <w:ind w:left="0"/>
        <w:jc w:val="both"/>
      </w:pPr>
      <w:r>
        <w:rPr>
          <w:rFonts w:ascii="Times New Roman"/>
          <w:b w:val="false"/>
          <w:i w:val="false"/>
          <w:color w:val="000000"/>
          <w:sz w:val="28"/>
        </w:rPr>
        <w:t xml:space="preserve">
      Статус ограничивает места распространения (в частности, ограничение применения в стационарном учреждении). В отношении лекарственных препаратов, приобретение которых возможно только по рецепту, вводятся дополнительные условия, а именно классификация их на лекарственные препараты, отпускаемые только по специальному рецепту. </w:t>
      </w:r>
    </w:p>
    <w:bookmarkEnd w:id="7200"/>
    <w:bookmarkStart w:name="z7371" w:id="7201"/>
    <w:p>
      <w:pPr>
        <w:spacing w:after="0"/>
        <w:ind w:left="0"/>
        <w:jc w:val="both"/>
      </w:pPr>
      <w:r>
        <w:rPr>
          <w:rFonts w:ascii="Times New Roman"/>
          <w:b w:val="false"/>
          <w:i w:val="false"/>
          <w:color w:val="000000"/>
          <w:sz w:val="28"/>
        </w:rPr>
        <w:t>
      Большинство проблем по безопасности соответствующим образом рассматриваются при осуществлении рутинных мероприятий по минимизации рисков. Тем не менее, в отношении некоторых рисков рутинные мероприятия по минимизации рисков оказываются недостаточными, поэтому требуются дополнительные мероприятия по минимизации рисков.</w:t>
      </w:r>
    </w:p>
    <w:bookmarkEnd w:id="7201"/>
    <w:bookmarkStart w:name="z7372" w:id="7202"/>
    <w:p>
      <w:pPr>
        <w:spacing w:after="0"/>
        <w:ind w:left="0"/>
        <w:jc w:val="both"/>
      </w:pPr>
      <w:r>
        <w:rPr>
          <w:rFonts w:ascii="Times New Roman"/>
          <w:b w:val="false"/>
          <w:i w:val="false"/>
          <w:color w:val="000000"/>
          <w:sz w:val="28"/>
        </w:rPr>
        <w:t>
      201. Часть V ПУР, раздел "Дополнительные мероприятия по минимизации рисков".</w:t>
      </w:r>
    </w:p>
    <w:bookmarkEnd w:id="7202"/>
    <w:bookmarkStart w:name="z7373" w:id="7203"/>
    <w:p>
      <w:pPr>
        <w:spacing w:after="0"/>
        <w:ind w:left="0"/>
        <w:jc w:val="both"/>
      </w:pPr>
      <w:r>
        <w:rPr>
          <w:rFonts w:ascii="Times New Roman"/>
          <w:b w:val="false"/>
          <w:i w:val="false"/>
          <w:color w:val="000000"/>
          <w:sz w:val="28"/>
        </w:rPr>
        <w:t>
      Дополнительными мероприятиями по минимизации рисков являются мероприятия по минимизации рисков, не относящихся к рутинным мероприятиям по минимизации рисков. Дополнительные мероприятия по минимизации рисков предлагаются, когда рутинные мероприятия являются недостаточными для обеспечения безопасного и эффективного использования лекарственного препарата. Ряд дополнительных методов по минимизации рисков основан на способах информирования, выходящих за рамки инструкции по медицинскому применению и листка-вкладыша.</w:t>
      </w:r>
    </w:p>
    <w:bookmarkEnd w:id="7203"/>
    <w:bookmarkStart w:name="z7374" w:id="7204"/>
    <w:p>
      <w:pPr>
        <w:spacing w:after="0"/>
        <w:ind w:left="0"/>
        <w:jc w:val="both"/>
      </w:pPr>
      <w:r>
        <w:rPr>
          <w:rFonts w:ascii="Times New Roman"/>
          <w:b w:val="false"/>
          <w:i w:val="false"/>
          <w:color w:val="000000"/>
          <w:sz w:val="28"/>
        </w:rPr>
        <w:t>
      В отношении дополнительных мероприятий по минимизации рисков, представляется детальное описание и обоснование необходимости их выполнения. В данный раздел включают только те мероприятия, которые связаны с безопасным и эффективным использованием, они научно обосновываются, разрабатываются и выполняются специалистами с соответствующей квалификацией.</w:t>
      </w:r>
    </w:p>
    <w:bookmarkEnd w:id="7204"/>
    <w:bookmarkStart w:name="z7375" w:id="7205"/>
    <w:p>
      <w:pPr>
        <w:spacing w:after="0"/>
        <w:ind w:left="0"/>
        <w:jc w:val="both"/>
      </w:pPr>
      <w:r>
        <w:rPr>
          <w:rFonts w:ascii="Times New Roman"/>
          <w:b w:val="false"/>
          <w:i w:val="false"/>
          <w:color w:val="000000"/>
          <w:sz w:val="28"/>
        </w:rPr>
        <w:t>
      Дополнительные мероприятия по минимизации рисков после их согласования с уполномоченным органом Республики Казахстан становятся условиями для получения регистрационного удостоверения. В соответствующих случаях полная информация о дополнительных мероприятиях по минимизации рисков (в том числе черновой вариант учебных материалов) представляется в приложении 9 ПУР.</w:t>
      </w:r>
    </w:p>
    <w:bookmarkEnd w:id="7205"/>
    <w:bookmarkStart w:name="z7376" w:id="7206"/>
    <w:p>
      <w:pPr>
        <w:spacing w:after="0"/>
        <w:ind w:left="0"/>
        <w:jc w:val="both"/>
      </w:pPr>
      <w:r>
        <w:rPr>
          <w:rFonts w:ascii="Times New Roman"/>
          <w:b w:val="false"/>
          <w:i w:val="false"/>
          <w:color w:val="000000"/>
          <w:sz w:val="28"/>
        </w:rPr>
        <w:t xml:space="preserve">
      Обучающие материалы не носят рекламный характер. Уполномоченный орган Республики Казахстан выполняет согласование и утверждение обучающих материалов, разрабатываемых в рамках плана по минимизации рисков. </w:t>
      </w:r>
    </w:p>
    <w:bookmarkEnd w:id="7206"/>
    <w:bookmarkStart w:name="z7377" w:id="7207"/>
    <w:p>
      <w:pPr>
        <w:spacing w:after="0"/>
        <w:ind w:left="0"/>
        <w:jc w:val="both"/>
      </w:pPr>
      <w:r>
        <w:rPr>
          <w:rFonts w:ascii="Times New Roman"/>
          <w:b w:val="false"/>
          <w:i w:val="false"/>
          <w:color w:val="000000"/>
          <w:sz w:val="28"/>
        </w:rPr>
        <w:t>
      Для лекарственных препаратов, содержащих одно и то же действующее вещество, рекомендуется разработка максимально близких по форме и содержанию обучающих материалов и материалов для пациентов.</w:t>
      </w:r>
    </w:p>
    <w:bookmarkEnd w:id="7207"/>
    <w:bookmarkStart w:name="z7378" w:id="7208"/>
    <w:p>
      <w:pPr>
        <w:spacing w:after="0"/>
        <w:ind w:left="0"/>
        <w:jc w:val="both"/>
      </w:pPr>
      <w:r>
        <w:rPr>
          <w:rFonts w:ascii="Times New Roman"/>
          <w:b w:val="false"/>
          <w:i w:val="false"/>
          <w:color w:val="000000"/>
          <w:sz w:val="28"/>
        </w:rPr>
        <w:t>
      202. Формат плана по минимизации рисков.</w:t>
      </w:r>
    </w:p>
    <w:bookmarkEnd w:id="7208"/>
    <w:bookmarkStart w:name="z7379" w:id="7209"/>
    <w:p>
      <w:pPr>
        <w:spacing w:after="0"/>
        <w:ind w:left="0"/>
        <w:jc w:val="both"/>
      </w:pPr>
      <w:r>
        <w:rPr>
          <w:rFonts w:ascii="Times New Roman"/>
          <w:b w:val="false"/>
          <w:i w:val="false"/>
          <w:color w:val="000000"/>
          <w:sz w:val="28"/>
        </w:rPr>
        <w:t xml:space="preserve">
      В данном разделе рассматривается каждая проблема по безопасности, определенная в спецификации по безопасности. </w:t>
      </w:r>
    </w:p>
    <w:bookmarkEnd w:id="7209"/>
    <w:bookmarkStart w:name="z7380" w:id="7210"/>
    <w:p>
      <w:pPr>
        <w:spacing w:after="0"/>
        <w:ind w:left="0"/>
        <w:jc w:val="both"/>
      </w:pPr>
      <w:r>
        <w:rPr>
          <w:rFonts w:ascii="Times New Roman"/>
          <w:b w:val="false"/>
          <w:i w:val="false"/>
          <w:color w:val="000000"/>
          <w:sz w:val="28"/>
        </w:rPr>
        <w:t>
      По каждой проблеме по безопасности представляется следующая информация:</w:t>
      </w:r>
    </w:p>
    <w:bookmarkEnd w:id="7210"/>
    <w:bookmarkStart w:name="z7381" w:id="7211"/>
    <w:p>
      <w:pPr>
        <w:spacing w:after="0"/>
        <w:ind w:left="0"/>
        <w:jc w:val="both"/>
      </w:pPr>
      <w:r>
        <w:rPr>
          <w:rFonts w:ascii="Times New Roman"/>
          <w:b w:val="false"/>
          <w:i w:val="false"/>
          <w:color w:val="000000"/>
          <w:sz w:val="28"/>
        </w:rPr>
        <w:t>
      1) описание проблемы по безопасности;</w:t>
      </w:r>
    </w:p>
    <w:bookmarkEnd w:id="7211"/>
    <w:bookmarkStart w:name="z7382" w:id="7212"/>
    <w:p>
      <w:pPr>
        <w:spacing w:after="0"/>
        <w:ind w:left="0"/>
        <w:jc w:val="both"/>
      </w:pPr>
      <w:r>
        <w:rPr>
          <w:rFonts w:ascii="Times New Roman"/>
          <w:b w:val="false"/>
          <w:i w:val="false"/>
          <w:color w:val="000000"/>
          <w:sz w:val="28"/>
        </w:rPr>
        <w:t>
      2) цель предложенного действия;</w:t>
      </w:r>
    </w:p>
    <w:bookmarkEnd w:id="7212"/>
    <w:bookmarkStart w:name="z7383" w:id="7213"/>
    <w:p>
      <w:pPr>
        <w:spacing w:after="0"/>
        <w:ind w:left="0"/>
        <w:jc w:val="both"/>
      </w:pPr>
      <w:r>
        <w:rPr>
          <w:rFonts w:ascii="Times New Roman"/>
          <w:b w:val="false"/>
          <w:i w:val="false"/>
          <w:color w:val="000000"/>
          <w:sz w:val="28"/>
        </w:rPr>
        <w:t>
      3) рутинные меры минимизации рисков;</w:t>
      </w:r>
    </w:p>
    <w:bookmarkEnd w:id="7213"/>
    <w:bookmarkStart w:name="z7384" w:id="7214"/>
    <w:p>
      <w:pPr>
        <w:spacing w:after="0"/>
        <w:ind w:left="0"/>
        <w:jc w:val="both"/>
      </w:pPr>
      <w:r>
        <w:rPr>
          <w:rFonts w:ascii="Times New Roman"/>
          <w:b w:val="false"/>
          <w:i w:val="false"/>
          <w:color w:val="000000"/>
          <w:sz w:val="28"/>
        </w:rPr>
        <w:t>
      4) дополнительные мероприятия по минимизации рисков (если имеются), задачи по каждому дополнительному мероприятию и обоснование необходимости;</w:t>
      </w:r>
    </w:p>
    <w:bookmarkEnd w:id="7214"/>
    <w:bookmarkStart w:name="z7385" w:id="7215"/>
    <w:p>
      <w:pPr>
        <w:spacing w:after="0"/>
        <w:ind w:left="0"/>
        <w:jc w:val="both"/>
      </w:pPr>
      <w:r>
        <w:rPr>
          <w:rFonts w:ascii="Times New Roman"/>
          <w:b w:val="false"/>
          <w:i w:val="false"/>
          <w:color w:val="000000"/>
          <w:sz w:val="28"/>
        </w:rPr>
        <w:t>
      5) способ оценки эффективности мероприятий по минимизации рисков с точки зрения достижения поставленных целей;</w:t>
      </w:r>
    </w:p>
    <w:bookmarkEnd w:id="7215"/>
    <w:bookmarkStart w:name="z7386" w:id="7216"/>
    <w:p>
      <w:pPr>
        <w:spacing w:after="0"/>
        <w:ind w:left="0"/>
        <w:jc w:val="both"/>
      </w:pPr>
      <w:r>
        <w:rPr>
          <w:rFonts w:ascii="Times New Roman"/>
          <w:b w:val="false"/>
          <w:i w:val="false"/>
          <w:color w:val="000000"/>
          <w:sz w:val="28"/>
        </w:rPr>
        <w:t>
      6) цель минимизации рисков, т.е. каковы критерии оценки успешности принятых мер;</w:t>
      </w:r>
    </w:p>
    <w:bookmarkEnd w:id="7216"/>
    <w:bookmarkStart w:name="z7387" w:id="7217"/>
    <w:p>
      <w:pPr>
        <w:spacing w:after="0"/>
        <w:ind w:left="0"/>
        <w:jc w:val="both"/>
      </w:pPr>
      <w:r>
        <w:rPr>
          <w:rFonts w:ascii="Times New Roman"/>
          <w:b w:val="false"/>
          <w:i w:val="false"/>
          <w:color w:val="000000"/>
          <w:sz w:val="28"/>
        </w:rPr>
        <w:t>
      7) основные этапы оценки и отчетности.</w:t>
      </w:r>
    </w:p>
    <w:bookmarkEnd w:id="7217"/>
    <w:bookmarkStart w:name="z7388" w:id="7218"/>
    <w:p>
      <w:pPr>
        <w:spacing w:after="0"/>
        <w:ind w:left="0"/>
        <w:jc w:val="both"/>
      </w:pPr>
      <w:r>
        <w:rPr>
          <w:rFonts w:ascii="Times New Roman"/>
          <w:b w:val="false"/>
          <w:i w:val="false"/>
          <w:color w:val="000000"/>
          <w:sz w:val="28"/>
        </w:rPr>
        <w:t>
      Что касается рутинных мер минимизации рисков, текст, предлагаемый в инструкции по медицинскому применению, представляется вместе с детальным описанием других рутинных мероприятий по минимизации рисков, предложенных в связи с проблемами по безопасности.</w:t>
      </w:r>
    </w:p>
    <w:bookmarkEnd w:id="7218"/>
    <w:bookmarkStart w:name="z7389" w:id="7219"/>
    <w:p>
      <w:pPr>
        <w:spacing w:after="0"/>
        <w:ind w:left="0"/>
        <w:jc w:val="both"/>
      </w:pPr>
      <w:r>
        <w:rPr>
          <w:rFonts w:ascii="Times New Roman"/>
          <w:b w:val="false"/>
          <w:i w:val="false"/>
          <w:color w:val="000000"/>
          <w:sz w:val="28"/>
        </w:rPr>
        <w:t>
      203. Обновления плана по минимизации рисков.</w:t>
      </w:r>
    </w:p>
    <w:bookmarkEnd w:id="7219"/>
    <w:bookmarkStart w:name="z7390" w:id="7220"/>
    <w:p>
      <w:pPr>
        <w:spacing w:after="0"/>
        <w:ind w:left="0"/>
        <w:jc w:val="both"/>
      </w:pPr>
      <w:r>
        <w:rPr>
          <w:rFonts w:ascii="Times New Roman"/>
          <w:b w:val="false"/>
          <w:i w:val="false"/>
          <w:color w:val="000000"/>
          <w:sz w:val="28"/>
        </w:rPr>
        <w:t>
      При обновлении ПУР включает оценку выполняемых рутинных и (или) дополнительных мероприятий по минимизации рисков. Результаты официальной оценки мероприятий по минимизации рисков также включаются в данный раздел. В рамках данной критической оценки держатель регистрационного удостоверения выявляет и оценивает факторы, способствующие достижению поставленных целей по минимизации риска или приводящие к низкому уровню эффективности мероприятий по минимизации рисков. Предоставляется комментарий в отношении возможной необходимости введения дополнительных и (или) изменения выполняемых мероприятий минимизации риска по каждой проблеме по безопасности.</w:t>
      </w:r>
    </w:p>
    <w:bookmarkEnd w:id="7220"/>
    <w:bookmarkStart w:name="z7391" w:id="7221"/>
    <w:p>
      <w:pPr>
        <w:spacing w:after="0"/>
        <w:ind w:left="0"/>
        <w:jc w:val="both"/>
      </w:pPr>
      <w:r>
        <w:rPr>
          <w:rFonts w:ascii="Times New Roman"/>
          <w:b w:val="false"/>
          <w:i w:val="false"/>
          <w:color w:val="000000"/>
          <w:sz w:val="28"/>
        </w:rPr>
        <w:t>
      204. Часть V ПУР, раздел "Оценка эффективности мероприятий по минимизации рисков".</w:t>
      </w:r>
    </w:p>
    <w:bookmarkEnd w:id="7221"/>
    <w:bookmarkStart w:name="z7392" w:id="7222"/>
    <w:p>
      <w:pPr>
        <w:spacing w:after="0"/>
        <w:ind w:left="0"/>
        <w:jc w:val="both"/>
      </w:pPr>
      <w:r>
        <w:rPr>
          <w:rFonts w:ascii="Times New Roman"/>
          <w:b w:val="false"/>
          <w:i w:val="false"/>
          <w:color w:val="000000"/>
          <w:sz w:val="28"/>
        </w:rPr>
        <w:t>
      Мероприятия по минимизации рисков представляют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развитии нежелательной реакции на лекарственный препарат.</w:t>
      </w:r>
    </w:p>
    <w:bookmarkEnd w:id="7222"/>
    <w:bookmarkStart w:name="z7393" w:id="7223"/>
    <w:p>
      <w:pPr>
        <w:spacing w:after="0"/>
        <w:ind w:left="0"/>
        <w:jc w:val="both"/>
      </w:pPr>
      <w:r>
        <w:rPr>
          <w:rFonts w:ascii="Times New Roman"/>
          <w:b w:val="false"/>
          <w:i w:val="false"/>
          <w:color w:val="000000"/>
          <w:sz w:val="28"/>
        </w:rPr>
        <w:t>
      Оценку эффективности деятельности по минимизации рисков при реализации этих целей выполняют на протяжении всего жизненного цикла лекарственного препарата с целью убедиться, что неблагоприятные последствия, связанные с нежелательными реакциями, минимизированы и, следовательно, соотношение польза-риск лекарственного препарата оптимизировано.</w:t>
      </w:r>
    </w:p>
    <w:bookmarkEnd w:id="7223"/>
    <w:bookmarkStart w:name="z7394" w:id="7224"/>
    <w:p>
      <w:pPr>
        <w:spacing w:after="0"/>
        <w:ind w:left="0"/>
        <w:jc w:val="both"/>
      </w:pPr>
      <w:r>
        <w:rPr>
          <w:rFonts w:ascii="Times New Roman"/>
          <w:b w:val="false"/>
          <w:i w:val="false"/>
          <w:color w:val="000000"/>
          <w:sz w:val="28"/>
        </w:rPr>
        <w:t>
      В случае выявления неэффективности конкретной стратегии по минимизации рисков, разрабатываются и внедряются альтернативные мероприятия. В определенных случаях в результате оценки возможен вывод о том, что мероприятия по минимизации рисков не контролируют риски в требуемой степени для обеспечения применения лекарственного препарата при превышении пользы над риском, что означает необходимость отзыва лекарственного препарата с рынка или ограничения его применения только той подгруппой пациентов, в отношении которых польза перевешивает риски.</w:t>
      </w:r>
    </w:p>
    <w:bookmarkEnd w:id="7224"/>
    <w:bookmarkStart w:name="z7395" w:id="7225"/>
    <w:p>
      <w:pPr>
        <w:spacing w:after="0"/>
        <w:ind w:left="0"/>
        <w:jc w:val="both"/>
      </w:pPr>
      <w:r>
        <w:rPr>
          <w:rFonts w:ascii="Times New Roman"/>
          <w:b w:val="false"/>
          <w:i w:val="false"/>
          <w:color w:val="000000"/>
          <w:sz w:val="28"/>
        </w:rPr>
        <w:t>
      205. Часть VI ПУР "Резюме плана минимизации рисков".</w:t>
      </w:r>
    </w:p>
    <w:bookmarkEnd w:id="7225"/>
    <w:bookmarkStart w:name="z7396" w:id="7226"/>
    <w:p>
      <w:pPr>
        <w:spacing w:after="0"/>
        <w:ind w:left="0"/>
        <w:jc w:val="both"/>
      </w:pPr>
      <w:r>
        <w:rPr>
          <w:rFonts w:ascii="Times New Roman"/>
          <w:b w:val="false"/>
          <w:i w:val="false"/>
          <w:color w:val="000000"/>
          <w:sz w:val="28"/>
        </w:rPr>
        <w:t xml:space="preserve">
      Резюме ПУР для каждого лекарственного препарата представляются для доступа общественности. Резюме включает ключевые элементы ПУР с особым выделением мероприятий по минимизации рисков. Что касается спецификации по безопасности рассматриваемого лекарственного препарата, то она содержит важную информацию об идентифицированных и потенциальных рисках, а также об отсутствующей информации. </w:t>
      </w:r>
    </w:p>
    <w:bookmarkEnd w:id="7226"/>
    <w:bookmarkStart w:name="z7397" w:id="7227"/>
    <w:p>
      <w:pPr>
        <w:spacing w:after="0"/>
        <w:ind w:left="0"/>
        <w:jc w:val="both"/>
      </w:pPr>
      <w:r>
        <w:rPr>
          <w:rFonts w:ascii="Times New Roman"/>
          <w:b w:val="false"/>
          <w:i w:val="false"/>
          <w:color w:val="000000"/>
          <w:sz w:val="28"/>
        </w:rPr>
        <w:t>
      Данный раздел ПУР содержит следующую обобщенную информацию, основанную на модулях СI, СVIII ПУР и частях IV и V ПУР:</w:t>
      </w:r>
    </w:p>
    <w:bookmarkEnd w:id="7227"/>
    <w:bookmarkStart w:name="z7398" w:id="7228"/>
    <w:p>
      <w:pPr>
        <w:spacing w:after="0"/>
        <w:ind w:left="0"/>
        <w:jc w:val="both"/>
      </w:pPr>
      <w:r>
        <w:rPr>
          <w:rFonts w:ascii="Times New Roman"/>
          <w:b w:val="false"/>
          <w:i w:val="false"/>
          <w:color w:val="000000"/>
          <w:sz w:val="28"/>
        </w:rPr>
        <w:t>
      1) обзор эпидемиологии заболеваний;</w:t>
      </w:r>
    </w:p>
    <w:bookmarkEnd w:id="7228"/>
    <w:bookmarkStart w:name="z7399" w:id="7229"/>
    <w:p>
      <w:pPr>
        <w:spacing w:after="0"/>
        <w:ind w:left="0"/>
        <w:jc w:val="both"/>
      </w:pPr>
      <w:r>
        <w:rPr>
          <w:rFonts w:ascii="Times New Roman"/>
          <w:b w:val="false"/>
          <w:i w:val="false"/>
          <w:color w:val="000000"/>
          <w:sz w:val="28"/>
        </w:rPr>
        <w:t>
      2) обобщенные данные по оценке пользы - эффективности;</w:t>
      </w:r>
    </w:p>
    <w:bookmarkEnd w:id="7229"/>
    <w:bookmarkStart w:name="z7400" w:id="7230"/>
    <w:p>
      <w:pPr>
        <w:spacing w:after="0"/>
        <w:ind w:left="0"/>
        <w:jc w:val="both"/>
      </w:pPr>
      <w:r>
        <w:rPr>
          <w:rFonts w:ascii="Times New Roman"/>
          <w:b w:val="false"/>
          <w:i w:val="false"/>
          <w:color w:val="000000"/>
          <w:sz w:val="28"/>
        </w:rPr>
        <w:t>
      3) обобщенная информация по проблемам по безопасности;</w:t>
      </w:r>
    </w:p>
    <w:bookmarkEnd w:id="7230"/>
    <w:bookmarkStart w:name="z7401" w:id="7231"/>
    <w:p>
      <w:pPr>
        <w:spacing w:after="0"/>
        <w:ind w:left="0"/>
        <w:jc w:val="both"/>
      </w:pPr>
      <w:r>
        <w:rPr>
          <w:rFonts w:ascii="Times New Roman"/>
          <w:b w:val="false"/>
          <w:i w:val="false"/>
          <w:color w:val="000000"/>
          <w:sz w:val="28"/>
        </w:rPr>
        <w:t>
      4) обобщенная информация по проблемам по безопасности;</w:t>
      </w:r>
    </w:p>
    <w:bookmarkEnd w:id="7231"/>
    <w:bookmarkStart w:name="z7402" w:id="7232"/>
    <w:p>
      <w:pPr>
        <w:spacing w:after="0"/>
        <w:ind w:left="0"/>
        <w:jc w:val="both"/>
      </w:pPr>
      <w:r>
        <w:rPr>
          <w:rFonts w:ascii="Times New Roman"/>
          <w:b w:val="false"/>
          <w:i w:val="false"/>
          <w:color w:val="000000"/>
          <w:sz w:val="28"/>
        </w:rPr>
        <w:t>
      5) таблицы:</w:t>
      </w:r>
    </w:p>
    <w:bookmarkEnd w:id="7232"/>
    <w:bookmarkStart w:name="z7403" w:id="7233"/>
    <w:p>
      <w:pPr>
        <w:spacing w:after="0"/>
        <w:ind w:left="0"/>
        <w:jc w:val="both"/>
      </w:pPr>
      <w:r>
        <w:rPr>
          <w:rFonts w:ascii="Times New Roman"/>
          <w:b w:val="false"/>
          <w:i w:val="false"/>
          <w:color w:val="000000"/>
          <w:sz w:val="28"/>
        </w:rPr>
        <w:t>
      обобщенная информация по мероприятиям по минимизации рисков в отношении каждой из проблем по безопасности;</w:t>
      </w:r>
    </w:p>
    <w:bookmarkEnd w:id="7233"/>
    <w:bookmarkStart w:name="z7404" w:id="7234"/>
    <w:p>
      <w:pPr>
        <w:spacing w:after="0"/>
        <w:ind w:left="0"/>
        <w:jc w:val="both"/>
      </w:pPr>
      <w:r>
        <w:rPr>
          <w:rFonts w:ascii="Times New Roman"/>
          <w:b w:val="false"/>
          <w:i w:val="false"/>
          <w:color w:val="000000"/>
          <w:sz w:val="28"/>
        </w:rPr>
        <w:t>
      план пострегистрационного развития (в отношении безопасности и эффективности), включающий детальное описание и объяснение по всем мероприятиям, являющимся условиями получения регистрационного удостоверения.</w:t>
      </w:r>
    </w:p>
    <w:bookmarkEnd w:id="7234"/>
    <w:bookmarkStart w:name="z7405" w:id="7235"/>
    <w:p>
      <w:pPr>
        <w:spacing w:after="0"/>
        <w:ind w:left="0"/>
        <w:jc w:val="both"/>
      </w:pPr>
      <w:r>
        <w:rPr>
          <w:rFonts w:ascii="Times New Roman"/>
          <w:b w:val="false"/>
          <w:i w:val="false"/>
          <w:color w:val="000000"/>
          <w:sz w:val="28"/>
        </w:rPr>
        <w:t>
      206. Часть VI ПУР, раздел "Обзор эпидемиологии заболевания и резюме ожидаемой пользы".</w:t>
      </w:r>
    </w:p>
    <w:bookmarkEnd w:id="7235"/>
    <w:bookmarkStart w:name="z7406" w:id="7236"/>
    <w:p>
      <w:pPr>
        <w:spacing w:after="0"/>
        <w:ind w:left="0"/>
        <w:jc w:val="both"/>
      </w:pPr>
      <w:r>
        <w:rPr>
          <w:rFonts w:ascii="Times New Roman"/>
          <w:b w:val="false"/>
          <w:i w:val="false"/>
          <w:color w:val="000000"/>
          <w:sz w:val="28"/>
        </w:rPr>
        <w:t>
      Держатель регистрационного удостоверения обобщает данные по эпидемиологии заболевания (состояния), являющегося показанием к назначению лекарственного препарата, и детально описывается в модуле СI ПУР. При этом информация доносится до целевой популяции методом изложения фактов и на соответствующем неспециализированном языке. Если лекарственный препарат применяется в качестве диагностического средства, используется при анестезии или имеет иные сходные показания, не связанные с конкретным заболеванием (состоянием), данный раздел обзора опускается.</w:t>
      </w:r>
    </w:p>
    <w:bookmarkEnd w:id="7236"/>
    <w:bookmarkStart w:name="z7407" w:id="7237"/>
    <w:p>
      <w:pPr>
        <w:spacing w:after="0"/>
        <w:ind w:left="0"/>
        <w:jc w:val="both"/>
      </w:pPr>
      <w:r>
        <w:rPr>
          <w:rFonts w:ascii="Times New Roman"/>
          <w:b w:val="false"/>
          <w:i w:val="false"/>
          <w:color w:val="000000"/>
          <w:sz w:val="28"/>
        </w:rPr>
        <w:t>
      207. Часть VI ПУР, раздел "Обобщенная информация по проблемам по безопасности (на неспециализированном языке)".</w:t>
      </w:r>
    </w:p>
    <w:bookmarkEnd w:id="7237"/>
    <w:bookmarkStart w:name="z7408" w:id="7238"/>
    <w:p>
      <w:pPr>
        <w:spacing w:after="0"/>
        <w:ind w:left="0"/>
        <w:jc w:val="both"/>
      </w:pPr>
      <w:r>
        <w:rPr>
          <w:rFonts w:ascii="Times New Roman"/>
          <w:b w:val="false"/>
          <w:i w:val="false"/>
          <w:color w:val="000000"/>
          <w:sz w:val="28"/>
        </w:rPr>
        <w:t>
      В данном разделе кратко описываются проблемы по безопасности на языке, понятном для широкой общественности. Раздел также включает описание частоты и степени тяжести состояний, обусловленных проблемами по безопасности. Что касается важных потенциальных рисков, разъясняются причины возникновения данных рисков, а также возможных неопределенностей в их оценке (в частности, риск характерен для соединений данного класса, но не был выявлен в клинических исследованиях при назначении данного лекарственного препарата). В отношении важной отсутствующей информации указывается, какое влияние это оказывает на целевую популяцию и как отражается на рекомендациях (в частности, наличие противопоказаний, предостережений).</w:t>
      </w:r>
    </w:p>
    <w:bookmarkEnd w:id="7238"/>
    <w:bookmarkStart w:name="z7409" w:id="7239"/>
    <w:p>
      <w:pPr>
        <w:spacing w:after="0"/>
        <w:ind w:left="0"/>
        <w:jc w:val="both"/>
      </w:pPr>
      <w:r>
        <w:rPr>
          <w:rFonts w:ascii="Times New Roman"/>
          <w:b w:val="false"/>
          <w:i w:val="false"/>
          <w:color w:val="000000"/>
          <w:sz w:val="28"/>
        </w:rPr>
        <w:t>
      208. Часть VI ПУР, раздел "Сводная таблица мероприятий по минимизации рисков по проблемам по безопасности".</w:t>
      </w:r>
    </w:p>
    <w:bookmarkEnd w:id="7239"/>
    <w:bookmarkStart w:name="z7410" w:id="7240"/>
    <w:p>
      <w:pPr>
        <w:spacing w:after="0"/>
        <w:ind w:left="0"/>
        <w:jc w:val="both"/>
      </w:pPr>
      <w:r>
        <w:rPr>
          <w:rFonts w:ascii="Times New Roman"/>
          <w:b w:val="false"/>
          <w:i w:val="false"/>
          <w:color w:val="000000"/>
          <w:sz w:val="28"/>
        </w:rPr>
        <w:t>
      В данном разделе перечисляются проблемы по безопасности и представляется резюме мероприятий по минимизации рисков, предложенных для каждой проблемы по безопасности. При наличии более одного плана минимизации рисков (часть V ПУР), для каждого из них представляется отдельная таблица.</w:t>
      </w:r>
    </w:p>
    <w:bookmarkEnd w:id="7240"/>
    <w:bookmarkStart w:name="z7411" w:id="7241"/>
    <w:p>
      <w:pPr>
        <w:spacing w:after="0"/>
        <w:ind w:left="0"/>
        <w:jc w:val="both"/>
      </w:pPr>
      <w:r>
        <w:rPr>
          <w:rFonts w:ascii="Times New Roman"/>
          <w:b w:val="false"/>
          <w:i w:val="false"/>
          <w:color w:val="000000"/>
          <w:sz w:val="28"/>
        </w:rPr>
        <w:t>
      209. Часть VI ПУР, раздел "Планируемая пострегистрационная деятельность по оценке эффективности и развитию фармаконадзора".</w:t>
      </w:r>
    </w:p>
    <w:bookmarkEnd w:id="7241"/>
    <w:bookmarkStart w:name="z7412" w:id="7242"/>
    <w:p>
      <w:pPr>
        <w:spacing w:after="0"/>
        <w:ind w:left="0"/>
        <w:jc w:val="both"/>
      </w:pPr>
      <w:r>
        <w:rPr>
          <w:rFonts w:ascii="Times New Roman"/>
          <w:b w:val="false"/>
          <w:i w:val="false"/>
          <w:color w:val="000000"/>
          <w:sz w:val="28"/>
        </w:rPr>
        <w:t>
      Таблица в данном разделе представляет список планируемых мероприятий в отношении исследования эффективности и дальнейшего изучения проблем по безопасности. Целью является представление обзора запланированного пострегистрационного развития лекарственного препарата в отношении оценки эффективности и фармаконадзора, а также рассмотрение основных этапов, связанных с каждым исследованием или мероприятием. Данная таблица объединяет таблицы из разделов 196 и 198. В каждой строке таблицы указывается причина проведения исследования, название и краткое описание исследования, сроки и основные этапы выполнения.</w:t>
      </w:r>
    </w:p>
    <w:bookmarkEnd w:id="7242"/>
    <w:bookmarkStart w:name="z7413" w:id="7243"/>
    <w:p>
      <w:pPr>
        <w:spacing w:after="0"/>
        <w:ind w:left="0"/>
        <w:jc w:val="both"/>
      </w:pPr>
      <w:r>
        <w:rPr>
          <w:rFonts w:ascii="Times New Roman"/>
          <w:b w:val="false"/>
          <w:i w:val="false"/>
          <w:color w:val="000000"/>
          <w:sz w:val="28"/>
        </w:rPr>
        <w:t>
      210. Часть VI ПУР, раздел "Резюме изменений, внесенных в ПУР".</w:t>
      </w:r>
    </w:p>
    <w:bookmarkEnd w:id="7243"/>
    <w:bookmarkStart w:name="z7414" w:id="7244"/>
    <w:p>
      <w:pPr>
        <w:spacing w:after="0"/>
        <w:ind w:left="0"/>
        <w:jc w:val="both"/>
      </w:pPr>
      <w:r>
        <w:rPr>
          <w:rFonts w:ascii="Times New Roman"/>
          <w:b w:val="false"/>
          <w:i w:val="false"/>
          <w:color w:val="000000"/>
          <w:sz w:val="28"/>
        </w:rPr>
        <w:t>
      В разделе представляется информация в табличной форме с перечнем всех существенных изменений, внесенных в ПУР, в хронологическом порядке. Информация включает, в частности, дату включения в план новых проблем по безопасности или исключения обозначенных ранее, даты добавления или окончания новых исследований безопасности, краткое резюме изменений, внесенных в план мероприятий по минимизации рисков, а также даты согласования данных изменений.</w:t>
      </w:r>
    </w:p>
    <w:bookmarkEnd w:id="7244"/>
    <w:bookmarkStart w:name="z7415" w:id="7245"/>
    <w:p>
      <w:pPr>
        <w:spacing w:after="0"/>
        <w:ind w:left="0"/>
        <w:jc w:val="both"/>
      </w:pPr>
      <w:r>
        <w:rPr>
          <w:rFonts w:ascii="Times New Roman"/>
          <w:b w:val="false"/>
          <w:i w:val="false"/>
          <w:color w:val="000000"/>
          <w:sz w:val="28"/>
        </w:rPr>
        <w:t>
      211. Часть VII ПУР "Приложения к плану управления рисками".</w:t>
      </w:r>
    </w:p>
    <w:bookmarkEnd w:id="7245"/>
    <w:bookmarkStart w:name="z7416" w:id="7246"/>
    <w:p>
      <w:pPr>
        <w:spacing w:after="0"/>
        <w:ind w:left="0"/>
        <w:jc w:val="both"/>
      </w:pPr>
      <w:r>
        <w:rPr>
          <w:rFonts w:ascii="Times New Roman"/>
          <w:b w:val="false"/>
          <w:i w:val="false"/>
          <w:color w:val="000000"/>
          <w:sz w:val="28"/>
        </w:rPr>
        <w:t>
      ПУР содержит следующие приложения:</w:t>
      </w:r>
    </w:p>
    <w:bookmarkEnd w:id="7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версия (или предлагаемая, если лекарственный препарат не зарегистрирован) инструкции по медицинскому применению и листка-вкладыша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выполняемых и завершенных программ клинических исследований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ПУ: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выполняемых и завершенных программ фармакоэпидемиологических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предлагаемых и проводимых исследований по части III 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формы последующего наблюдения за нежелательными реакциями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 6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предлагаемых и проводимых исследований по части IV 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доступные отчеты об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8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Подробная информация о предложенных дополнительных мероприятиях по минимизации рисков (если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ПУР: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вспомогательные данные (включая ссылочный материал)</w:t>
            </w:r>
          </w:p>
        </w:tc>
      </w:tr>
    </w:tbl>
    <w:bookmarkStart w:name="z7417" w:id="7247"/>
    <w:p>
      <w:pPr>
        <w:spacing w:after="0"/>
        <w:ind w:left="0"/>
        <w:jc w:val="left"/>
      </w:pPr>
      <w:r>
        <w:rPr>
          <w:rFonts w:ascii="Times New Roman"/>
          <w:b/>
          <w:i w:val="false"/>
          <w:color w:val="000000"/>
        </w:rPr>
        <w:t xml:space="preserve"> Глава 32. Взаимосвязь между ПУР и ПОБ</w:t>
      </w:r>
    </w:p>
    <w:bookmarkEnd w:id="7247"/>
    <w:bookmarkStart w:name="z7418" w:id="7248"/>
    <w:p>
      <w:pPr>
        <w:spacing w:after="0"/>
        <w:ind w:left="0"/>
        <w:jc w:val="both"/>
      </w:pPr>
      <w:r>
        <w:rPr>
          <w:rFonts w:ascii="Times New Roman"/>
          <w:b w:val="false"/>
          <w:i w:val="false"/>
          <w:color w:val="000000"/>
          <w:sz w:val="28"/>
        </w:rPr>
        <w:t xml:space="preserve">
      212. Основными пострегистрационными документами фармаконадзора являются ПУР и ПОБ. Главной целью ПОБ является интегрированная пострегистрационная оценка риска и пользы, в то время как целью ПУР является пре- и пострегистрационное управление балансом риска и пользы и планирование, таким образом данные документы являются взаимодополняющими. ПОБ рассматривает общий профиль безопасности как часть интегрированной оценки риска и пользы лекарственного препарата в установленные временные периоды, поэтому в нем рассматриваются общий профиль риска и пользы лекарственного препарата (в гораздо более широком диапазоне возможных нежелательных реакций). Предполагается, что лишь небольшая часть рисков классифицируются как важные идентифицированные или важные потенциальные риски и рассматриваются в качестве проблем по безопасности в рамках ПУР. </w:t>
      </w:r>
    </w:p>
    <w:bookmarkEnd w:id="7248"/>
    <w:bookmarkStart w:name="z7419" w:id="7249"/>
    <w:p>
      <w:pPr>
        <w:spacing w:after="0"/>
        <w:ind w:left="0"/>
        <w:jc w:val="both"/>
      </w:pPr>
      <w:r>
        <w:rPr>
          <w:rFonts w:ascii="Times New Roman"/>
          <w:b w:val="false"/>
          <w:i w:val="false"/>
          <w:color w:val="000000"/>
          <w:sz w:val="28"/>
        </w:rPr>
        <w:t>
      В случае если ПОБ и ПУР представляются одновременно, ПУР отражает заключение по профилю безопасности и эффективности, сделанное в ПОБ. В частности, если в ПОБ сделан вывод о выявлении нового сигнала и его отнесению к числу важных идентифицированных или важных потенциальных рисков, данный риск включается в число проблем по безопасности в обновленную версию ПУР, представляемую одновременно с ПОБ. План по фармаконадзору и план минимизации рисков в этом случае соответствующим образом обновляются с отражением предложений держателя регистрационного удостоверения по дальнейшему изучению данной проблемы по безопасности и мерам минимизации сопряженного риска.</w:t>
      </w:r>
    </w:p>
    <w:bookmarkEnd w:id="7249"/>
    <w:bookmarkStart w:name="z7420" w:id="7250"/>
    <w:p>
      <w:pPr>
        <w:spacing w:after="0"/>
        <w:ind w:left="0"/>
        <w:jc w:val="both"/>
      </w:pPr>
      <w:r>
        <w:rPr>
          <w:rFonts w:ascii="Times New Roman"/>
          <w:b w:val="false"/>
          <w:i w:val="false"/>
          <w:color w:val="000000"/>
          <w:sz w:val="28"/>
        </w:rPr>
        <w:t>
      213. Принципы оценки планов управления рисками.</w:t>
      </w:r>
    </w:p>
    <w:bookmarkEnd w:id="7250"/>
    <w:bookmarkStart w:name="z7421" w:id="7251"/>
    <w:p>
      <w:pPr>
        <w:spacing w:after="0"/>
        <w:ind w:left="0"/>
        <w:jc w:val="both"/>
      </w:pPr>
      <w:r>
        <w:rPr>
          <w:rFonts w:ascii="Times New Roman"/>
          <w:b w:val="false"/>
          <w:i w:val="false"/>
          <w:color w:val="000000"/>
          <w:sz w:val="28"/>
        </w:rPr>
        <w:t>
      Основные вопросы, рассматриваемые при подготовке или пересмотре плана управления рисками для лекарственного препарата:</w:t>
      </w:r>
    </w:p>
    <w:bookmarkEnd w:id="7251"/>
    <w:bookmarkStart w:name="z7422" w:id="7252"/>
    <w:p>
      <w:pPr>
        <w:spacing w:after="0"/>
        <w:ind w:left="0"/>
        <w:jc w:val="both"/>
      </w:pPr>
      <w:r>
        <w:rPr>
          <w:rFonts w:ascii="Times New Roman"/>
          <w:b w:val="false"/>
          <w:i w:val="false"/>
          <w:color w:val="000000"/>
          <w:sz w:val="28"/>
        </w:rPr>
        <w:t>
      214. Спецификация по безопасности:</w:t>
      </w:r>
    </w:p>
    <w:bookmarkEnd w:id="7252"/>
    <w:bookmarkStart w:name="z7423" w:id="7253"/>
    <w:p>
      <w:pPr>
        <w:spacing w:after="0"/>
        <w:ind w:left="0"/>
        <w:jc w:val="both"/>
      </w:pPr>
      <w:r>
        <w:rPr>
          <w:rFonts w:ascii="Times New Roman"/>
          <w:b w:val="false"/>
          <w:i w:val="false"/>
          <w:color w:val="000000"/>
          <w:sz w:val="28"/>
        </w:rPr>
        <w:t>
      1) включаются ли в спецификацию безопасности все соответствующие части;</w:t>
      </w:r>
    </w:p>
    <w:bookmarkEnd w:id="7253"/>
    <w:bookmarkStart w:name="z7424" w:id="7254"/>
    <w:p>
      <w:pPr>
        <w:spacing w:after="0"/>
        <w:ind w:left="0"/>
        <w:jc w:val="both"/>
      </w:pPr>
      <w:r>
        <w:rPr>
          <w:rFonts w:ascii="Times New Roman"/>
          <w:b w:val="false"/>
          <w:i w:val="false"/>
          <w:color w:val="000000"/>
          <w:sz w:val="28"/>
        </w:rPr>
        <w:t>
      2) пересматриваются ли все соответствующие данные при составлении спецификации по безопасности, т.е. имеются ли важные (нерешенные) вопросы из других разделов досье, нерассмотренные в спецификации по безопасности;</w:t>
      </w:r>
    </w:p>
    <w:bookmarkEnd w:id="7254"/>
    <w:bookmarkStart w:name="z7425" w:id="7255"/>
    <w:p>
      <w:pPr>
        <w:spacing w:after="0"/>
        <w:ind w:left="0"/>
        <w:jc w:val="both"/>
      </w:pPr>
      <w:r>
        <w:rPr>
          <w:rFonts w:ascii="Times New Roman"/>
          <w:b w:val="false"/>
          <w:i w:val="false"/>
          <w:color w:val="000000"/>
          <w:sz w:val="28"/>
        </w:rPr>
        <w:t>
      3) если часть целевой популяции не изучалась, включены ли соответствующие проблемы по безопасности в связи с потенциальными рисками и отсутствующей информацией;</w:t>
      </w:r>
    </w:p>
    <w:bookmarkEnd w:id="7255"/>
    <w:bookmarkStart w:name="z7426" w:id="7256"/>
    <w:p>
      <w:pPr>
        <w:spacing w:after="0"/>
        <w:ind w:left="0"/>
        <w:jc w:val="both"/>
      </w:pPr>
      <w:r>
        <w:rPr>
          <w:rFonts w:ascii="Times New Roman"/>
          <w:b w:val="false"/>
          <w:i w:val="false"/>
          <w:color w:val="000000"/>
          <w:sz w:val="28"/>
        </w:rPr>
        <w:t>
      4) какие существуют ограничения базы данных по безопасности, и какую степень уверенности она обеспечивает в отношении правильности оценки профиля безопасности лекарственного препарата;</w:t>
      </w:r>
    </w:p>
    <w:bookmarkEnd w:id="7256"/>
    <w:bookmarkStart w:name="z7427" w:id="7257"/>
    <w:p>
      <w:pPr>
        <w:spacing w:after="0"/>
        <w:ind w:left="0"/>
        <w:jc w:val="both"/>
      </w:pPr>
      <w:r>
        <w:rPr>
          <w:rFonts w:ascii="Times New Roman"/>
          <w:b w:val="false"/>
          <w:i w:val="false"/>
          <w:color w:val="000000"/>
          <w:sz w:val="28"/>
        </w:rPr>
        <w:t>
      5) включает ли спецификация по безопасности оценку специфических рисков, в частности, применение не по одобренным показаниям, риск неправильного применения и развития зависимости, риск медицинской ошибки, передачи инфекционных агентов;</w:t>
      </w:r>
    </w:p>
    <w:bookmarkEnd w:id="7257"/>
    <w:bookmarkStart w:name="z7428" w:id="7258"/>
    <w:p>
      <w:pPr>
        <w:spacing w:after="0"/>
        <w:ind w:left="0"/>
        <w:jc w:val="both"/>
      </w:pPr>
      <w:r>
        <w:rPr>
          <w:rFonts w:ascii="Times New Roman"/>
          <w:b w:val="false"/>
          <w:i w:val="false"/>
          <w:color w:val="000000"/>
          <w:sz w:val="28"/>
        </w:rPr>
        <w:t>
      6) представляет ли спецификация по безопасности реальное отражение проблем по безопасности (т.е. важные выявленные риски, важные потенциальные риски и важная отсутствующая информация), касающихся лекарственных препаратов;</w:t>
      </w:r>
    </w:p>
    <w:bookmarkEnd w:id="7258"/>
    <w:bookmarkStart w:name="z7429" w:id="7259"/>
    <w:p>
      <w:pPr>
        <w:spacing w:after="0"/>
        <w:ind w:left="0"/>
        <w:jc w:val="both"/>
      </w:pPr>
      <w:r>
        <w:rPr>
          <w:rFonts w:ascii="Times New Roman"/>
          <w:b w:val="false"/>
          <w:i w:val="false"/>
          <w:color w:val="000000"/>
          <w:sz w:val="28"/>
        </w:rPr>
        <w:t>
      7) содержит ли спецификация по безопасности генерического лекарственного препарата все проблемы по безопасности, установленные для референтного лекарственного препарата;</w:t>
      </w:r>
    </w:p>
    <w:bookmarkEnd w:id="7259"/>
    <w:bookmarkStart w:name="z7430" w:id="7260"/>
    <w:p>
      <w:pPr>
        <w:spacing w:after="0"/>
        <w:ind w:left="0"/>
        <w:jc w:val="both"/>
      </w:pPr>
      <w:r>
        <w:rPr>
          <w:rFonts w:ascii="Times New Roman"/>
          <w:b w:val="false"/>
          <w:i w:val="false"/>
          <w:color w:val="000000"/>
          <w:sz w:val="28"/>
        </w:rPr>
        <w:t>
      8) соответствует ли указанное место лекарственного препарата в терапевтическом арсенале предполагаемому назначению и современной медицинской практике.</w:t>
      </w:r>
    </w:p>
    <w:bookmarkEnd w:id="7260"/>
    <w:bookmarkStart w:name="z7431" w:id="7261"/>
    <w:p>
      <w:pPr>
        <w:spacing w:after="0"/>
        <w:ind w:left="0"/>
        <w:jc w:val="both"/>
      </w:pPr>
      <w:r>
        <w:rPr>
          <w:rFonts w:ascii="Times New Roman"/>
          <w:b w:val="false"/>
          <w:i w:val="false"/>
          <w:color w:val="000000"/>
          <w:sz w:val="28"/>
        </w:rPr>
        <w:t>
      215. План фармаконадзора:</w:t>
      </w:r>
    </w:p>
    <w:bookmarkEnd w:id="7261"/>
    <w:bookmarkStart w:name="z7432" w:id="7262"/>
    <w:p>
      <w:pPr>
        <w:spacing w:after="0"/>
        <w:ind w:left="0"/>
        <w:jc w:val="both"/>
      </w:pPr>
      <w:r>
        <w:rPr>
          <w:rFonts w:ascii="Times New Roman"/>
          <w:b w:val="false"/>
          <w:i w:val="false"/>
          <w:color w:val="000000"/>
          <w:sz w:val="28"/>
        </w:rPr>
        <w:t>
      1) все ли проблемы по безопасности, устанавливаемые спецификацией по безопасности, включены в план фармаконадзора;</w:t>
      </w:r>
    </w:p>
    <w:bookmarkEnd w:id="7262"/>
    <w:bookmarkStart w:name="z7433" w:id="7263"/>
    <w:p>
      <w:pPr>
        <w:spacing w:after="0"/>
        <w:ind w:left="0"/>
        <w:jc w:val="both"/>
      </w:pPr>
      <w:r>
        <w:rPr>
          <w:rFonts w:ascii="Times New Roman"/>
          <w:b w:val="false"/>
          <w:i w:val="false"/>
          <w:color w:val="000000"/>
          <w:sz w:val="28"/>
        </w:rPr>
        <w:t>
      2) достаточно ли рутинных мероприятий по фармаконадзору (как это представлено в описании системы фармаконадзора) или имеется необходимость в проведении дополнительных мероприятий по фармаконадзору;</w:t>
      </w:r>
    </w:p>
    <w:bookmarkEnd w:id="7263"/>
    <w:bookmarkStart w:name="z7434" w:id="7264"/>
    <w:p>
      <w:pPr>
        <w:spacing w:after="0"/>
        <w:ind w:left="0"/>
        <w:jc w:val="both"/>
      </w:pPr>
      <w:r>
        <w:rPr>
          <w:rFonts w:ascii="Times New Roman"/>
          <w:b w:val="false"/>
          <w:i w:val="false"/>
          <w:color w:val="000000"/>
          <w:sz w:val="28"/>
        </w:rPr>
        <w:t>
      3) дано ли четкое определение и описание деятельности по фармаконадзору в плане по фармаконадзору, является ли данная информация достаточной для идентификации или характеристики рисков или представления отсутствующей информации;</w:t>
      </w:r>
    </w:p>
    <w:bookmarkEnd w:id="7264"/>
    <w:bookmarkStart w:name="z7435" w:id="7265"/>
    <w:p>
      <w:pPr>
        <w:spacing w:after="0"/>
        <w:ind w:left="0"/>
        <w:jc w:val="both"/>
      </w:pPr>
      <w:r>
        <w:rPr>
          <w:rFonts w:ascii="Times New Roman"/>
          <w:b w:val="false"/>
          <w:i w:val="false"/>
          <w:color w:val="000000"/>
          <w:sz w:val="28"/>
        </w:rPr>
        <w:t>
      4) включает ли ПУР соответствующие и адекватные предложения для мониторинга медицинских ошибок при применении лекарственного препарата;</w:t>
      </w:r>
    </w:p>
    <w:bookmarkEnd w:id="7265"/>
    <w:bookmarkStart w:name="z7436" w:id="7266"/>
    <w:p>
      <w:pPr>
        <w:spacing w:after="0"/>
        <w:ind w:left="0"/>
        <w:jc w:val="both"/>
      </w:pPr>
      <w:r>
        <w:rPr>
          <w:rFonts w:ascii="Times New Roman"/>
          <w:b w:val="false"/>
          <w:i w:val="false"/>
          <w:color w:val="000000"/>
          <w:sz w:val="28"/>
        </w:rPr>
        <w:t>
      5) являются ли предложенные дополнительные исследования (испытания) необходимыми и (или) полезными;</w:t>
      </w:r>
    </w:p>
    <w:bookmarkEnd w:id="7266"/>
    <w:bookmarkStart w:name="z7437" w:id="7267"/>
    <w:p>
      <w:pPr>
        <w:spacing w:after="0"/>
        <w:ind w:left="0"/>
        <w:jc w:val="both"/>
      </w:pPr>
      <w:r>
        <w:rPr>
          <w:rFonts w:ascii="Times New Roman"/>
          <w:b w:val="false"/>
          <w:i w:val="false"/>
          <w:color w:val="000000"/>
          <w:sz w:val="28"/>
        </w:rPr>
        <w:t>
      6) согласно представленным проектам протоколов исследований являются ли предлагаемые исследования в плане фармаконадзора адекватными для изучения научных вопросов и выполнимыми;</w:t>
      </w:r>
    </w:p>
    <w:bookmarkEnd w:id="7267"/>
    <w:bookmarkStart w:name="z7438" w:id="7268"/>
    <w:p>
      <w:pPr>
        <w:spacing w:after="0"/>
        <w:ind w:left="0"/>
        <w:jc w:val="both"/>
      </w:pPr>
      <w:r>
        <w:rPr>
          <w:rFonts w:ascii="Times New Roman"/>
          <w:b w:val="false"/>
          <w:i w:val="false"/>
          <w:color w:val="000000"/>
          <w:sz w:val="28"/>
        </w:rPr>
        <w:t>
      7) определены ли соответствующие основные сроки и этапы в отношении предлагаемых мер, представления результатов и обновления плана фармаконадзора.</w:t>
      </w:r>
    </w:p>
    <w:bookmarkEnd w:id="7268"/>
    <w:bookmarkStart w:name="z7439" w:id="7269"/>
    <w:p>
      <w:pPr>
        <w:spacing w:after="0"/>
        <w:ind w:left="0"/>
        <w:jc w:val="both"/>
      </w:pPr>
      <w:r>
        <w:rPr>
          <w:rFonts w:ascii="Times New Roman"/>
          <w:b w:val="false"/>
          <w:i w:val="false"/>
          <w:color w:val="000000"/>
          <w:sz w:val="28"/>
        </w:rPr>
        <w:t>
      216. Планы пострегистрационных исследований безопасности:</w:t>
      </w:r>
    </w:p>
    <w:bookmarkEnd w:id="7269"/>
    <w:bookmarkStart w:name="z7440" w:id="7270"/>
    <w:p>
      <w:pPr>
        <w:spacing w:after="0"/>
        <w:ind w:left="0"/>
        <w:jc w:val="both"/>
      </w:pPr>
      <w:r>
        <w:rPr>
          <w:rFonts w:ascii="Times New Roman"/>
          <w:b w:val="false"/>
          <w:i w:val="false"/>
          <w:color w:val="000000"/>
          <w:sz w:val="28"/>
        </w:rPr>
        <w:t>
      1) соответствует ли описание эффективности лекарственного препарата и информации об исследованиях и конечных точках, на которых она основывалась, содержанию досье;</w:t>
      </w:r>
    </w:p>
    <w:bookmarkEnd w:id="7270"/>
    <w:bookmarkStart w:name="z7441" w:id="7271"/>
    <w:p>
      <w:pPr>
        <w:spacing w:after="0"/>
        <w:ind w:left="0"/>
        <w:jc w:val="both"/>
      </w:pPr>
      <w:r>
        <w:rPr>
          <w:rFonts w:ascii="Times New Roman"/>
          <w:b w:val="false"/>
          <w:i w:val="false"/>
          <w:color w:val="000000"/>
          <w:sz w:val="28"/>
        </w:rPr>
        <w:t>
      2) носят ли какие-либо из предложенных исследований рекламный характер (т.е. исследование, не ставящее перед собой достоверный научный вопрос в качестве первоочередной цели и предназначенное для повышения спроса на лекарственный препарат);</w:t>
      </w:r>
    </w:p>
    <w:bookmarkEnd w:id="7271"/>
    <w:bookmarkStart w:name="z7442" w:id="7272"/>
    <w:p>
      <w:pPr>
        <w:spacing w:after="0"/>
        <w:ind w:left="0"/>
        <w:jc w:val="both"/>
      </w:pPr>
      <w:r>
        <w:rPr>
          <w:rFonts w:ascii="Times New Roman"/>
          <w:b w:val="false"/>
          <w:i w:val="false"/>
          <w:color w:val="000000"/>
          <w:sz w:val="28"/>
        </w:rPr>
        <w:t>
      3) насколько надежны данные по эффективности и существует ли необходимость запроса на проведение дальнейших исследований эффективности в качестве условия получения регистрационного удостоверения.</w:t>
      </w:r>
    </w:p>
    <w:bookmarkEnd w:id="7272"/>
    <w:bookmarkStart w:name="z7443" w:id="7273"/>
    <w:p>
      <w:pPr>
        <w:spacing w:after="0"/>
        <w:ind w:left="0"/>
        <w:jc w:val="both"/>
      </w:pPr>
      <w:r>
        <w:rPr>
          <w:rFonts w:ascii="Times New Roman"/>
          <w:b w:val="false"/>
          <w:i w:val="false"/>
          <w:color w:val="000000"/>
          <w:sz w:val="28"/>
        </w:rPr>
        <w:t>
      217. Мероприятия по минимизации рисков:</w:t>
      </w:r>
    </w:p>
    <w:bookmarkEnd w:id="7273"/>
    <w:bookmarkStart w:name="z7444" w:id="7274"/>
    <w:p>
      <w:pPr>
        <w:spacing w:after="0"/>
        <w:ind w:left="0"/>
        <w:jc w:val="both"/>
      </w:pPr>
      <w:r>
        <w:rPr>
          <w:rFonts w:ascii="Times New Roman"/>
          <w:b w:val="false"/>
          <w:i w:val="false"/>
          <w:color w:val="000000"/>
          <w:sz w:val="28"/>
        </w:rPr>
        <w:t>
      1) соответствующим ли образом информация о лекарственном препарате отражает все важные выявленные риски и важную отсутствующую информацию;</w:t>
      </w:r>
    </w:p>
    <w:bookmarkEnd w:id="7274"/>
    <w:bookmarkStart w:name="z7445" w:id="7275"/>
    <w:p>
      <w:pPr>
        <w:spacing w:after="0"/>
        <w:ind w:left="0"/>
        <w:jc w:val="both"/>
      </w:pPr>
      <w:r>
        <w:rPr>
          <w:rFonts w:ascii="Times New Roman"/>
          <w:b w:val="false"/>
          <w:i w:val="false"/>
          <w:color w:val="000000"/>
          <w:sz w:val="28"/>
        </w:rPr>
        <w:t>
      2) необходимо ли включить в информацию о лекарственном препарате потенциальные риски, достаточно актуальные в отношении безопасного и эффективного применения лекарственного препарата;</w:t>
      </w:r>
    </w:p>
    <w:bookmarkEnd w:id="7275"/>
    <w:bookmarkStart w:name="z7446" w:id="7276"/>
    <w:p>
      <w:pPr>
        <w:spacing w:after="0"/>
        <w:ind w:left="0"/>
        <w:jc w:val="both"/>
      </w:pPr>
      <w:r>
        <w:rPr>
          <w:rFonts w:ascii="Times New Roman"/>
          <w:b w:val="false"/>
          <w:i w:val="false"/>
          <w:color w:val="000000"/>
          <w:sz w:val="28"/>
        </w:rPr>
        <w:t>
      3) соответствует ли предлагаемая формулировка о рисках и их выявлении информации и рекомендациям в инструкции по медицинскому применению;</w:t>
      </w:r>
    </w:p>
    <w:bookmarkEnd w:id="7276"/>
    <w:bookmarkStart w:name="z7447" w:id="7277"/>
    <w:p>
      <w:pPr>
        <w:spacing w:after="0"/>
        <w:ind w:left="0"/>
        <w:jc w:val="both"/>
      </w:pPr>
      <w:r>
        <w:rPr>
          <w:rFonts w:ascii="Times New Roman"/>
          <w:b w:val="false"/>
          <w:i w:val="false"/>
          <w:color w:val="000000"/>
          <w:sz w:val="28"/>
        </w:rPr>
        <w:t>
      4) рассмотрел ли держатель регистрационного удостоверения пути снижения риска медицинских ошибок при применении лекарственного препарата;</w:t>
      </w:r>
    </w:p>
    <w:bookmarkEnd w:id="7277"/>
    <w:bookmarkStart w:name="z7448" w:id="7278"/>
    <w:p>
      <w:pPr>
        <w:spacing w:after="0"/>
        <w:ind w:left="0"/>
        <w:jc w:val="both"/>
      </w:pPr>
      <w:r>
        <w:rPr>
          <w:rFonts w:ascii="Times New Roman"/>
          <w:b w:val="false"/>
          <w:i w:val="false"/>
          <w:color w:val="000000"/>
          <w:sz w:val="28"/>
        </w:rPr>
        <w:t>
      5) была ли эта информация включена в соответствующую информацию о лекарственном препарате, меры (включая разработку конструкции устройства в случае необходимости) и дизайн упаковки;</w:t>
      </w:r>
    </w:p>
    <w:bookmarkEnd w:id="7278"/>
    <w:bookmarkStart w:name="z7449" w:id="7279"/>
    <w:p>
      <w:pPr>
        <w:spacing w:after="0"/>
        <w:ind w:left="0"/>
        <w:jc w:val="both"/>
      </w:pPr>
      <w:r>
        <w:rPr>
          <w:rFonts w:ascii="Times New Roman"/>
          <w:b w:val="false"/>
          <w:i w:val="false"/>
          <w:color w:val="000000"/>
          <w:sz w:val="28"/>
        </w:rPr>
        <w:t>
      6) были ли предложенные мероприятия по минимизации рисков адекватными рискам и достаточными;</w:t>
      </w:r>
    </w:p>
    <w:bookmarkEnd w:id="7279"/>
    <w:bookmarkStart w:name="z7450" w:id="7280"/>
    <w:p>
      <w:pPr>
        <w:spacing w:after="0"/>
        <w:ind w:left="0"/>
        <w:jc w:val="both"/>
      </w:pPr>
      <w:r>
        <w:rPr>
          <w:rFonts w:ascii="Times New Roman"/>
          <w:b w:val="false"/>
          <w:i w:val="false"/>
          <w:color w:val="000000"/>
          <w:sz w:val="28"/>
        </w:rPr>
        <w:t>
      7) были ли предложены дополнительные мероприятия по минимизации рисков и были ли оценены как соразмерные рискам и адекватно обоснованные;</w:t>
      </w:r>
    </w:p>
    <w:bookmarkEnd w:id="7280"/>
    <w:bookmarkStart w:name="z7451" w:id="7281"/>
    <w:p>
      <w:pPr>
        <w:spacing w:after="0"/>
        <w:ind w:left="0"/>
        <w:jc w:val="both"/>
      </w:pPr>
      <w:r>
        <w:rPr>
          <w:rFonts w:ascii="Times New Roman"/>
          <w:b w:val="false"/>
          <w:i w:val="false"/>
          <w:color w:val="000000"/>
          <w:sz w:val="28"/>
        </w:rPr>
        <w:t>
      8) включено ли подробное описание предложенных методик для измерения и оценки эффективности мероприятий по минимизации рисков и являются ли они целесообразными;</w:t>
      </w:r>
    </w:p>
    <w:bookmarkEnd w:id="7281"/>
    <w:bookmarkStart w:name="z7452" w:id="7282"/>
    <w:p>
      <w:pPr>
        <w:spacing w:after="0"/>
        <w:ind w:left="0"/>
        <w:jc w:val="both"/>
      </w:pPr>
      <w:r>
        <w:rPr>
          <w:rFonts w:ascii="Times New Roman"/>
          <w:b w:val="false"/>
          <w:i w:val="false"/>
          <w:color w:val="000000"/>
          <w:sz w:val="28"/>
        </w:rPr>
        <w:t>
      9) были ли критерии оценки эффективности дополнительных мероприятий по минимизации рисков определены изначально.</w:t>
      </w:r>
    </w:p>
    <w:bookmarkEnd w:id="7282"/>
    <w:bookmarkStart w:name="z7453" w:id="7283"/>
    <w:p>
      <w:pPr>
        <w:spacing w:after="0"/>
        <w:ind w:left="0"/>
        <w:jc w:val="both"/>
      </w:pPr>
      <w:r>
        <w:rPr>
          <w:rFonts w:ascii="Times New Roman"/>
          <w:b w:val="false"/>
          <w:i w:val="false"/>
          <w:color w:val="000000"/>
          <w:sz w:val="28"/>
        </w:rPr>
        <w:t>
      218. При оценке обновления:</w:t>
      </w:r>
    </w:p>
    <w:bookmarkEnd w:id="7283"/>
    <w:bookmarkStart w:name="z7454" w:id="7284"/>
    <w:p>
      <w:pPr>
        <w:spacing w:after="0"/>
        <w:ind w:left="0"/>
        <w:jc w:val="both"/>
      </w:pPr>
      <w:r>
        <w:rPr>
          <w:rFonts w:ascii="Times New Roman"/>
          <w:b w:val="false"/>
          <w:i w:val="false"/>
          <w:color w:val="000000"/>
          <w:sz w:val="28"/>
        </w:rPr>
        <w:t>
      1) были ли новые данные включены в спецификацию по безопасности;</w:t>
      </w:r>
    </w:p>
    <w:bookmarkEnd w:id="7284"/>
    <w:bookmarkStart w:name="z7455" w:id="7285"/>
    <w:p>
      <w:pPr>
        <w:spacing w:after="0"/>
        <w:ind w:left="0"/>
        <w:jc w:val="both"/>
      </w:pPr>
      <w:r>
        <w:rPr>
          <w:rFonts w:ascii="Times New Roman"/>
          <w:b w:val="false"/>
          <w:i w:val="false"/>
          <w:color w:val="000000"/>
          <w:sz w:val="28"/>
        </w:rPr>
        <w:t>
      2) были ли в план фармаконадзора внесены соответствующие изменения (если это необходимо с учетом новых данных);</w:t>
      </w:r>
    </w:p>
    <w:bookmarkEnd w:id="7285"/>
    <w:bookmarkStart w:name="z7456" w:id="7286"/>
    <w:p>
      <w:pPr>
        <w:spacing w:after="0"/>
        <w:ind w:left="0"/>
        <w:jc w:val="both"/>
      </w:pPr>
      <w:r>
        <w:rPr>
          <w:rFonts w:ascii="Times New Roman"/>
          <w:b w:val="false"/>
          <w:i w:val="false"/>
          <w:color w:val="000000"/>
          <w:sz w:val="28"/>
        </w:rPr>
        <w:t>
      3) насколько эффективными были введенные мероприятия по минимизации рисков;</w:t>
      </w:r>
    </w:p>
    <w:bookmarkEnd w:id="7286"/>
    <w:bookmarkStart w:name="z7457" w:id="7287"/>
    <w:p>
      <w:pPr>
        <w:spacing w:after="0"/>
        <w:ind w:left="0"/>
        <w:jc w:val="both"/>
      </w:pPr>
      <w:r>
        <w:rPr>
          <w:rFonts w:ascii="Times New Roman"/>
          <w:b w:val="false"/>
          <w:i w:val="false"/>
          <w:color w:val="000000"/>
          <w:sz w:val="28"/>
        </w:rPr>
        <w:t>
      4) были ли в случае необходимости предложены изменения в мероприятия по минимизации рисков;</w:t>
      </w:r>
    </w:p>
    <w:bookmarkEnd w:id="7287"/>
    <w:bookmarkStart w:name="z7458" w:id="7288"/>
    <w:p>
      <w:pPr>
        <w:spacing w:after="0"/>
        <w:ind w:left="0"/>
        <w:jc w:val="both"/>
      </w:pPr>
      <w:r>
        <w:rPr>
          <w:rFonts w:ascii="Times New Roman"/>
          <w:b w:val="false"/>
          <w:i w:val="false"/>
          <w:color w:val="000000"/>
          <w:sz w:val="28"/>
        </w:rPr>
        <w:t>
      5) свидетельствуют ли новые данные о том, что требуется официальная оценка соотношения польза-риск (если это еще не было сделано в ПОБ).</w:t>
      </w:r>
    </w:p>
    <w:bookmarkEnd w:id="7288"/>
    <w:bookmarkStart w:name="z7459" w:id="7289"/>
    <w:p>
      <w:pPr>
        <w:spacing w:after="0"/>
        <w:ind w:left="0"/>
        <w:jc w:val="both"/>
      </w:pPr>
      <w:r>
        <w:rPr>
          <w:rFonts w:ascii="Times New Roman"/>
          <w:b w:val="false"/>
          <w:i w:val="false"/>
          <w:color w:val="000000"/>
          <w:sz w:val="28"/>
        </w:rPr>
        <w:t>
      219. Системы качества и управление документацией.</w:t>
      </w:r>
    </w:p>
    <w:bookmarkEnd w:id="7289"/>
    <w:bookmarkStart w:name="z7460" w:id="7290"/>
    <w:p>
      <w:pPr>
        <w:spacing w:after="0"/>
        <w:ind w:left="0"/>
        <w:jc w:val="both"/>
      </w:pPr>
      <w:r>
        <w:rPr>
          <w:rFonts w:ascii="Times New Roman"/>
          <w:b w:val="false"/>
          <w:i w:val="false"/>
          <w:color w:val="000000"/>
          <w:sz w:val="28"/>
        </w:rPr>
        <w:t>
      Несмотря на то, что в процесс написания ПУР вовлекается множество экспертов, окончательную работу по его качеству, точности и научной целостности осуществляет уполномоченное лицо по фармаконадзору в Республике Казахстан. Держатель регистрационного удостоверения обновляет ПУР, когда становится доступной новая информация, и применяет принципы обеспечения качества, изложенные в разделе 2 "Требования к системе качества" данного руководства. Держатель регистрационного удостоверения обеспечивает контроль и документирование процедуры представления ПУР в уполномоченную организацию с указанием дат представления и всех значительных изменений, внесенных в каждую версию ПУР. Данные записи, ПУР и любые документы, имеющие отношение к информации в рамках ПУР, подвергаются проверке квалифицированными инспекторами по фармаконадзору.</w:t>
      </w:r>
    </w:p>
    <w:bookmarkEnd w:id="7290"/>
    <w:bookmarkStart w:name="z7461" w:id="7291"/>
    <w:p>
      <w:pPr>
        <w:spacing w:after="0"/>
        <w:ind w:left="0"/>
        <w:jc w:val="left"/>
      </w:pPr>
      <w:r>
        <w:rPr>
          <w:rFonts w:ascii="Times New Roman"/>
          <w:b/>
          <w:i w:val="false"/>
          <w:color w:val="000000"/>
        </w:rPr>
        <w:t xml:space="preserve"> Глава 33. Требования к представлению ПУР</w:t>
      </w:r>
    </w:p>
    <w:bookmarkEnd w:id="7291"/>
    <w:bookmarkStart w:name="z7462" w:id="7292"/>
    <w:p>
      <w:pPr>
        <w:spacing w:after="0"/>
        <w:ind w:left="0"/>
        <w:jc w:val="left"/>
      </w:pPr>
      <w:r>
        <w:rPr>
          <w:rFonts w:ascii="Times New Roman"/>
          <w:b/>
          <w:i w:val="false"/>
          <w:color w:val="000000"/>
        </w:rPr>
        <w:t xml:space="preserve"> Параграф 1. Ситуации, в которых предоставляется ПУР</w:t>
      </w:r>
    </w:p>
    <w:bookmarkEnd w:id="7292"/>
    <w:bookmarkStart w:name="z7463" w:id="7293"/>
    <w:p>
      <w:pPr>
        <w:spacing w:after="0"/>
        <w:ind w:left="0"/>
        <w:jc w:val="both"/>
      </w:pPr>
      <w:r>
        <w:rPr>
          <w:rFonts w:ascii="Times New Roman"/>
          <w:b w:val="false"/>
          <w:i w:val="false"/>
          <w:color w:val="000000"/>
          <w:sz w:val="28"/>
        </w:rPr>
        <w:t>
      220. Представление ПУР или, в соответствующих случаях, его обновление, требуется в любое время в течение жизненного цикла лекарственного препарата.</w:t>
      </w:r>
    </w:p>
    <w:bookmarkEnd w:id="7293"/>
    <w:bookmarkStart w:name="z7464" w:id="7294"/>
    <w:p>
      <w:pPr>
        <w:spacing w:after="0"/>
        <w:ind w:left="0"/>
        <w:jc w:val="both"/>
      </w:pPr>
      <w:r>
        <w:rPr>
          <w:rFonts w:ascii="Times New Roman"/>
          <w:b w:val="false"/>
          <w:i w:val="false"/>
          <w:color w:val="000000"/>
          <w:sz w:val="28"/>
        </w:rPr>
        <w:t>
      221. При первичной подаче заявления на государственную регистрацию лекарственного препарата ПУР представляется в следующих случаях:</w:t>
      </w:r>
    </w:p>
    <w:bookmarkEnd w:id="7294"/>
    <w:bookmarkStart w:name="z7465" w:id="7295"/>
    <w:p>
      <w:pPr>
        <w:spacing w:after="0"/>
        <w:ind w:left="0"/>
        <w:jc w:val="both"/>
      </w:pPr>
      <w:r>
        <w:rPr>
          <w:rFonts w:ascii="Times New Roman"/>
          <w:b w:val="false"/>
          <w:i w:val="false"/>
          <w:color w:val="000000"/>
          <w:sz w:val="28"/>
        </w:rPr>
        <w:t>
      1) при подаче на государственную регистрацию лекарственного препарата, содержащего ранее не зарегистрированное в Республике Казахстан действующее вещество;</w:t>
      </w:r>
    </w:p>
    <w:bookmarkEnd w:id="7295"/>
    <w:bookmarkStart w:name="z7466" w:id="7296"/>
    <w:p>
      <w:pPr>
        <w:spacing w:after="0"/>
        <w:ind w:left="0"/>
        <w:jc w:val="both"/>
      </w:pPr>
      <w:r>
        <w:rPr>
          <w:rFonts w:ascii="Times New Roman"/>
          <w:b w:val="false"/>
          <w:i w:val="false"/>
          <w:color w:val="000000"/>
          <w:sz w:val="28"/>
        </w:rPr>
        <w:t>
      2) при подаче на государственную регистрацию лекарственного препарата, содержащего ранее не зарегистрированную в Республике Казахстан комбинацию действующих веществ;</w:t>
      </w:r>
    </w:p>
    <w:bookmarkEnd w:id="7296"/>
    <w:bookmarkStart w:name="z7467" w:id="7297"/>
    <w:p>
      <w:pPr>
        <w:spacing w:after="0"/>
        <w:ind w:left="0"/>
        <w:jc w:val="both"/>
      </w:pPr>
      <w:r>
        <w:rPr>
          <w:rFonts w:ascii="Times New Roman"/>
          <w:b w:val="false"/>
          <w:i w:val="false"/>
          <w:color w:val="000000"/>
          <w:sz w:val="28"/>
        </w:rPr>
        <w:t>
      3) при заявлении на государственную регистрацию лекарственного препарата биологического происхождения.</w:t>
      </w:r>
    </w:p>
    <w:bookmarkEnd w:id="7297"/>
    <w:bookmarkStart w:name="z7468" w:id="7298"/>
    <w:p>
      <w:pPr>
        <w:spacing w:after="0"/>
        <w:ind w:left="0"/>
        <w:jc w:val="both"/>
      </w:pPr>
      <w:r>
        <w:rPr>
          <w:rFonts w:ascii="Times New Roman"/>
          <w:b w:val="false"/>
          <w:i w:val="false"/>
          <w:color w:val="000000"/>
          <w:sz w:val="28"/>
        </w:rPr>
        <w:t xml:space="preserve">
      Уполномоченная организация запрашивает ПУР при заявлении на государственную регистрацию лекарственного препарата в иных случаях, когда обеспечение применения лекарственного препарата при превышении пользы над риском требует введения дополнительных мероприятий по фармаконадзору или мероприятий по минимизации рисков. </w:t>
      </w:r>
    </w:p>
    <w:bookmarkEnd w:id="7298"/>
    <w:bookmarkStart w:name="z7469" w:id="7299"/>
    <w:p>
      <w:pPr>
        <w:spacing w:after="0"/>
        <w:ind w:left="0"/>
        <w:jc w:val="both"/>
      </w:pPr>
      <w:r>
        <w:rPr>
          <w:rFonts w:ascii="Times New Roman"/>
          <w:b w:val="false"/>
          <w:i w:val="false"/>
          <w:color w:val="000000"/>
          <w:sz w:val="28"/>
        </w:rPr>
        <w:t>
      222. Уполномоченная организация запрашивает представление ПУР в следующих случаях:</w:t>
      </w:r>
    </w:p>
    <w:bookmarkEnd w:id="7299"/>
    <w:bookmarkStart w:name="z7470" w:id="7300"/>
    <w:p>
      <w:pPr>
        <w:spacing w:after="0"/>
        <w:ind w:left="0"/>
        <w:jc w:val="both"/>
      </w:pPr>
      <w:r>
        <w:rPr>
          <w:rFonts w:ascii="Times New Roman"/>
          <w:b w:val="false"/>
          <w:i w:val="false"/>
          <w:color w:val="000000"/>
          <w:sz w:val="28"/>
        </w:rPr>
        <w:t>
      1) при внесении значительных изменений в существующее удостоверение о государственной регистрации, область применения, аспекты производственного процесса:</w:t>
      </w:r>
    </w:p>
    <w:bookmarkEnd w:id="7300"/>
    <w:bookmarkStart w:name="z7471" w:id="7301"/>
    <w:p>
      <w:pPr>
        <w:spacing w:after="0"/>
        <w:ind w:left="0"/>
        <w:jc w:val="both"/>
      </w:pPr>
      <w:r>
        <w:rPr>
          <w:rFonts w:ascii="Times New Roman"/>
          <w:b w:val="false"/>
          <w:i w:val="false"/>
          <w:color w:val="000000"/>
          <w:sz w:val="28"/>
        </w:rPr>
        <w:t>
      новая лекарственная форма;</w:t>
      </w:r>
    </w:p>
    <w:bookmarkEnd w:id="7301"/>
    <w:bookmarkStart w:name="z7472" w:id="7302"/>
    <w:p>
      <w:pPr>
        <w:spacing w:after="0"/>
        <w:ind w:left="0"/>
        <w:jc w:val="both"/>
      </w:pPr>
      <w:r>
        <w:rPr>
          <w:rFonts w:ascii="Times New Roman"/>
          <w:b w:val="false"/>
          <w:i w:val="false"/>
          <w:color w:val="000000"/>
          <w:sz w:val="28"/>
        </w:rPr>
        <w:t>
      новый способ введения;</w:t>
      </w:r>
    </w:p>
    <w:bookmarkEnd w:id="7302"/>
    <w:bookmarkStart w:name="z7473" w:id="7303"/>
    <w:p>
      <w:pPr>
        <w:spacing w:after="0"/>
        <w:ind w:left="0"/>
        <w:jc w:val="both"/>
      </w:pPr>
      <w:r>
        <w:rPr>
          <w:rFonts w:ascii="Times New Roman"/>
          <w:b w:val="false"/>
          <w:i w:val="false"/>
          <w:color w:val="000000"/>
          <w:sz w:val="28"/>
        </w:rPr>
        <w:t>
      новый способ производства биотехнологических лекарственных препаратов;</w:t>
      </w:r>
    </w:p>
    <w:bookmarkEnd w:id="7303"/>
    <w:bookmarkStart w:name="z7474" w:id="7304"/>
    <w:p>
      <w:pPr>
        <w:spacing w:after="0"/>
        <w:ind w:left="0"/>
        <w:jc w:val="both"/>
      </w:pPr>
      <w:r>
        <w:rPr>
          <w:rFonts w:ascii="Times New Roman"/>
          <w:b w:val="false"/>
          <w:i w:val="false"/>
          <w:color w:val="000000"/>
          <w:sz w:val="28"/>
        </w:rPr>
        <w:t>
      введение педиатрических показаний;</w:t>
      </w:r>
    </w:p>
    <w:bookmarkEnd w:id="7304"/>
    <w:bookmarkStart w:name="z7475" w:id="7305"/>
    <w:p>
      <w:pPr>
        <w:spacing w:after="0"/>
        <w:ind w:left="0"/>
        <w:jc w:val="both"/>
      </w:pPr>
      <w:r>
        <w:rPr>
          <w:rFonts w:ascii="Times New Roman"/>
          <w:b w:val="false"/>
          <w:i w:val="false"/>
          <w:color w:val="000000"/>
          <w:sz w:val="28"/>
        </w:rPr>
        <w:t>
      другие значительные изменения в показаниях.</w:t>
      </w:r>
    </w:p>
    <w:bookmarkEnd w:id="7305"/>
    <w:bookmarkStart w:name="z7476" w:id="7306"/>
    <w:p>
      <w:pPr>
        <w:spacing w:after="0"/>
        <w:ind w:left="0"/>
        <w:jc w:val="both"/>
      </w:pPr>
      <w:r>
        <w:rPr>
          <w:rFonts w:ascii="Times New Roman"/>
          <w:b w:val="false"/>
          <w:i w:val="false"/>
          <w:color w:val="000000"/>
          <w:sz w:val="28"/>
        </w:rPr>
        <w:t>
      2) при существовании проблемы по безопасности, оказывающей влияние на соотношение польза-риск;</w:t>
      </w:r>
    </w:p>
    <w:bookmarkEnd w:id="7306"/>
    <w:bookmarkStart w:name="z7477" w:id="7307"/>
    <w:p>
      <w:pPr>
        <w:spacing w:after="0"/>
        <w:ind w:left="0"/>
        <w:jc w:val="both"/>
      </w:pPr>
      <w:r>
        <w:rPr>
          <w:rFonts w:ascii="Times New Roman"/>
          <w:b w:val="false"/>
          <w:i w:val="false"/>
          <w:color w:val="000000"/>
          <w:sz w:val="28"/>
        </w:rPr>
        <w:t>
      3) при продлении удостоверения о государственной регистрации, если в отношении лекарственного препарата имеется существующий ПУР.</w:t>
      </w:r>
    </w:p>
    <w:bookmarkEnd w:id="7307"/>
    <w:bookmarkStart w:name="z7478" w:id="7308"/>
    <w:p>
      <w:pPr>
        <w:spacing w:after="0"/>
        <w:ind w:left="0"/>
        <w:jc w:val="left"/>
      </w:pPr>
      <w:r>
        <w:rPr>
          <w:rFonts w:ascii="Times New Roman"/>
          <w:b/>
          <w:i w:val="false"/>
          <w:color w:val="000000"/>
        </w:rPr>
        <w:t xml:space="preserve"> Параграф 2. Требования в особых ситуациях</w:t>
      </w:r>
    </w:p>
    <w:bookmarkEnd w:id="7308"/>
    <w:bookmarkStart w:name="z7479" w:id="7309"/>
    <w:p>
      <w:pPr>
        <w:spacing w:after="0"/>
        <w:ind w:left="0"/>
        <w:jc w:val="both"/>
      </w:pPr>
      <w:r>
        <w:rPr>
          <w:rFonts w:ascii="Times New Roman"/>
          <w:b w:val="false"/>
          <w:i w:val="false"/>
          <w:color w:val="000000"/>
          <w:sz w:val="28"/>
        </w:rPr>
        <w:t>
      223. Как правило, представляются все части ПУР. Тем не менее, в некоторых случаях, описанных ниже, в соответствии с концепцией пропорциональности, некоторые части или модули опускаются, если только уполномоченный орган не представляет иных требований. Тем не менее, любые проблемы по безопасности, выявленные в отношении референтного лекарственного препарата в разделе, исключенном из общего представления ПУР, включают в модуль СVIII ПУР, за исключением случаев, когда они больше не являются актуальными.</w:t>
      </w:r>
    </w:p>
    <w:bookmarkEnd w:id="7309"/>
    <w:bookmarkStart w:name="z7480" w:id="7310"/>
    <w:p>
      <w:pPr>
        <w:spacing w:after="0"/>
        <w:ind w:left="0"/>
        <w:jc w:val="both"/>
      </w:pPr>
      <w:r>
        <w:rPr>
          <w:rFonts w:ascii="Times New Roman"/>
          <w:b w:val="false"/>
          <w:i w:val="false"/>
          <w:color w:val="000000"/>
          <w:sz w:val="28"/>
        </w:rPr>
        <w:t>
      В случае первичной подачи на регистрацию генерических лекарственных препаратов, для которых по оригинальным лекарственным препаратам введен ПУР, разделы СII-СV спецификации по безопасности опускаются. Раздел СVI основан на представлении информации о проблемах по безопасности, установленных для оригинального лекарственного препарата, если только генерический лекарственный препарат не отличается по своим свойствам настолько существенно, что это влияет на профиль безопасности, либо если иное не требует уполномоченный орган. При условии, если в отношении оригинального лекарственного препарата не введено никаких дополнительных мероприятий по фармаконадзору или проведению исследований эффективности, в качестве условия для получения регистрационного удостоверения, части III и IV ПУР и раздел о планируемом пострегистрационном развитии в части VI ПУР не представляются.</w:t>
      </w:r>
    </w:p>
    <w:bookmarkEnd w:id="7310"/>
    <w:bookmarkStart w:name="z7481" w:id="7311"/>
    <w:p>
      <w:pPr>
        <w:spacing w:after="0"/>
        <w:ind w:left="0"/>
        <w:jc w:val="both"/>
      </w:pPr>
      <w:r>
        <w:rPr>
          <w:rFonts w:ascii="Times New Roman"/>
          <w:b w:val="false"/>
          <w:i w:val="false"/>
          <w:color w:val="000000"/>
          <w:sz w:val="28"/>
        </w:rPr>
        <w:t>
      При представлении обновления ПУР, включается модуль СV ПУР.</w:t>
      </w:r>
    </w:p>
    <w:bookmarkEnd w:id="7311"/>
    <w:bookmarkStart w:name="z7482" w:id="7312"/>
    <w:p>
      <w:pPr>
        <w:spacing w:after="0"/>
        <w:ind w:left="0"/>
        <w:jc w:val="both"/>
      </w:pPr>
      <w:r>
        <w:rPr>
          <w:rFonts w:ascii="Times New Roman"/>
          <w:b w:val="false"/>
          <w:i w:val="false"/>
          <w:color w:val="000000"/>
          <w:sz w:val="28"/>
        </w:rPr>
        <w:t>
      При подаче заявления на включение нового показания на уже зарегистрированный на протяжении 10 лет на территории Республики Казахстан лекарственный препарат, данные клинических исследований (испытаний), связанные с уже одобренными показаниями, исключаются из модуля СIII ПУР, а модуль СIV ПУР включает информацию только в отношении целевых групп популяции по новому показанию, если только уполномоченный орган не представляет иных требований. Тем не менее, возможно включение данных об опыте использования уже зарегистрированных лекарственных препаратов у особых групп населения, являющихся предметом рассмотрения модуля СIV ПУР.</w:t>
      </w:r>
    </w:p>
    <w:bookmarkEnd w:id="7312"/>
    <w:bookmarkStart w:name="z7483" w:id="7313"/>
    <w:p>
      <w:pPr>
        <w:spacing w:after="0"/>
        <w:ind w:left="0"/>
        <w:jc w:val="both"/>
      </w:pPr>
      <w:r>
        <w:rPr>
          <w:rFonts w:ascii="Times New Roman"/>
          <w:b w:val="false"/>
          <w:i w:val="false"/>
          <w:color w:val="000000"/>
          <w:sz w:val="28"/>
        </w:rPr>
        <w:t>
      При подаче заявления на первичную государственную регистрацию требования по представлению данных по разделам ПУР приведены в таблице 1.</w:t>
      </w:r>
    </w:p>
    <w:bookmarkEnd w:id="7313"/>
    <w:bookmarkStart w:name="z7484" w:id="7314"/>
    <w:p>
      <w:pPr>
        <w:spacing w:after="0"/>
        <w:ind w:left="0"/>
        <w:jc w:val="both"/>
      </w:pPr>
      <w:r>
        <w:rPr>
          <w:rFonts w:ascii="Times New Roman"/>
          <w:b w:val="false"/>
          <w:i w:val="false"/>
          <w:color w:val="000000"/>
          <w:sz w:val="28"/>
        </w:rPr>
        <w:t>
      Таблица 1. Требования к представлению информации по разделам ПУР при подаче заявления на получение удостоверения о государственной регистрации </w:t>
      </w:r>
    </w:p>
    <w:bookmarkEnd w:id="7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активное вещество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Генерический лекарственный препарат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Аналогичное активное вещество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7315"/>
          <w:p>
            <w:pPr>
              <w:spacing w:after="20"/>
              <w:ind w:left="20"/>
              <w:jc w:val="both"/>
            </w:pPr>
            <w:r>
              <w:rPr>
                <w:rFonts w:ascii="Times New Roman"/>
                <w:b w:val="false"/>
                <w:i w:val="false"/>
                <w:color w:val="000000"/>
                <w:sz w:val="20"/>
              </w:rPr>
              <w:t>
‡ Опускаться в определенных случаях</w:t>
            </w:r>
          </w:p>
          <w:bookmarkEnd w:id="7315"/>
          <w:p>
            <w:pPr>
              <w:spacing w:after="20"/>
              <w:ind w:left="20"/>
              <w:jc w:val="both"/>
            </w:pPr>
            <w:r>
              <w:rPr>
                <w:rFonts w:ascii="Times New Roman"/>
                <w:b w:val="false"/>
                <w:i w:val="false"/>
                <w:color w:val="000000"/>
                <w:sz w:val="20"/>
              </w:rPr>
              <w:t>
* Модифицированные требования</w:t>
            </w:r>
          </w:p>
        </w:tc>
      </w:tr>
    </w:tbl>
    <w:bookmarkStart w:name="z7486" w:id="7316"/>
    <w:p>
      <w:pPr>
        <w:spacing w:after="0"/>
        <w:ind w:left="0"/>
        <w:jc w:val="both"/>
      </w:pPr>
      <w:r>
        <w:rPr>
          <w:rFonts w:ascii="Times New Roman"/>
          <w:b w:val="false"/>
          <w:i w:val="false"/>
          <w:color w:val="000000"/>
          <w:sz w:val="28"/>
        </w:rPr>
        <w:t>
      Продолжение таблицы</w:t>
      </w:r>
    </w:p>
    <w:bookmarkEnd w:id="7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Раздел СVIII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7317"/>
          <w:p>
            <w:pPr>
              <w:spacing w:after="20"/>
              <w:ind w:left="20"/>
              <w:jc w:val="both"/>
            </w:pPr>
            <w:r>
              <w:rPr>
                <w:rFonts w:ascii="Times New Roman"/>
                <w:b w:val="false"/>
                <w:i w:val="false"/>
                <w:color w:val="000000"/>
                <w:sz w:val="20"/>
              </w:rPr>
              <w:t>
‡ Опускаться в определенных случаях</w:t>
            </w:r>
          </w:p>
          <w:bookmarkEnd w:id="7317"/>
          <w:p>
            <w:pPr>
              <w:spacing w:after="20"/>
              <w:ind w:left="20"/>
              <w:jc w:val="both"/>
            </w:pPr>
            <w:r>
              <w:rPr>
                <w:rFonts w:ascii="Times New Roman"/>
                <w:b w:val="false"/>
                <w:i w:val="false"/>
                <w:color w:val="000000"/>
                <w:sz w:val="20"/>
              </w:rPr>
              <w:t>
* Модифицированные требования</w:t>
            </w:r>
          </w:p>
        </w:tc>
      </w:tr>
    </w:tbl>
    <w:bookmarkStart w:name="z7488" w:id="7318"/>
    <w:p>
      <w:pPr>
        <w:spacing w:after="0"/>
        <w:ind w:left="0"/>
        <w:jc w:val="both"/>
      </w:pPr>
      <w:r>
        <w:rPr>
          <w:rFonts w:ascii="Times New Roman"/>
          <w:b w:val="false"/>
          <w:i w:val="false"/>
          <w:color w:val="000000"/>
          <w:sz w:val="28"/>
        </w:rPr>
        <w:t>
      3) Первоначальный ПУР для лекарственных препаратов, находящихся в обращении на территории Республики Казахстан на протяжении 10 лет.</w:t>
      </w:r>
    </w:p>
    <w:bookmarkEnd w:id="7318"/>
    <w:bookmarkStart w:name="z7489" w:id="7319"/>
    <w:p>
      <w:pPr>
        <w:spacing w:after="0"/>
        <w:ind w:left="0"/>
        <w:jc w:val="both"/>
      </w:pPr>
      <w:r>
        <w:rPr>
          <w:rFonts w:ascii="Times New Roman"/>
          <w:b w:val="false"/>
          <w:i w:val="false"/>
          <w:color w:val="000000"/>
          <w:sz w:val="28"/>
        </w:rPr>
        <w:t>
      Если уполномоченная организация не определяет иные требования, то держатель регистрационного удостоверения, обязанный представить первоначальный ПУР для реализуемых на рынке Республики Казахстан лекарственных препаратов, опускает модули СII и СIV при соблюдении следующих условий:</w:t>
      </w:r>
    </w:p>
    <w:bookmarkEnd w:id="7319"/>
    <w:bookmarkStart w:name="z7490" w:id="7320"/>
    <w:p>
      <w:pPr>
        <w:spacing w:after="0"/>
        <w:ind w:left="0"/>
        <w:jc w:val="both"/>
      </w:pPr>
      <w:r>
        <w:rPr>
          <w:rFonts w:ascii="Times New Roman"/>
          <w:b w:val="false"/>
          <w:i w:val="false"/>
          <w:color w:val="000000"/>
          <w:sz w:val="28"/>
        </w:rPr>
        <w:t xml:space="preserve">
      1) лекарственный препарат размещен на рынке за 10 лет или ранее до установления требования к ПУР; </w:t>
      </w:r>
    </w:p>
    <w:bookmarkEnd w:id="7320"/>
    <w:bookmarkStart w:name="z7491" w:id="7321"/>
    <w:p>
      <w:pPr>
        <w:spacing w:after="0"/>
        <w:ind w:left="0"/>
        <w:jc w:val="both"/>
      </w:pPr>
      <w:r>
        <w:rPr>
          <w:rFonts w:ascii="Times New Roman"/>
          <w:b w:val="false"/>
          <w:i w:val="false"/>
          <w:color w:val="000000"/>
          <w:sz w:val="28"/>
        </w:rPr>
        <w:t>
      2) требование к ПУР не связано с подачей заявления на внесение значительного изменения в существующее регистрационное удостоверение, область применения, аспекты производственного процесса.</w:t>
      </w:r>
    </w:p>
    <w:bookmarkEnd w:id="7321"/>
    <w:bookmarkStart w:name="z7492" w:id="7322"/>
    <w:p>
      <w:pPr>
        <w:spacing w:after="0"/>
        <w:ind w:left="0"/>
        <w:jc w:val="both"/>
      </w:pPr>
      <w:r>
        <w:rPr>
          <w:rFonts w:ascii="Times New Roman"/>
          <w:b w:val="false"/>
          <w:i w:val="false"/>
          <w:color w:val="000000"/>
          <w:sz w:val="28"/>
        </w:rPr>
        <w:t>
      Если условие 2 не применимо, данные клинических исследований (испытаний), связанные с этими изменениями, представляются в модуле СIII ПУР, а модуль СIV ПУР исключается.</w:t>
      </w:r>
    </w:p>
    <w:bookmarkEnd w:id="7322"/>
    <w:bookmarkStart w:name="z7493" w:id="7323"/>
    <w:p>
      <w:pPr>
        <w:spacing w:after="0"/>
        <w:ind w:left="0"/>
        <w:jc w:val="both"/>
      </w:pPr>
      <w:r>
        <w:rPr>
          <w:rFonts w:ascii="Times New Roman"/>
          <w:b w:val="false"/>
          <w:i w:val="false"/>
          <w:color w:val="000000"/>
          <w:sz w:val="28"/>
        </w:rPr>
        <w:t>
      Обсуждение существующих пострегистрационных данных и их применимости к целевым группам пациентов подробно расписывается в разделе СV ПУР.</w:t>
      </w:r>
    </w:p>
    <w:bookmarkEnd w:id="7323"/>
    <w:bookmarkStart w:name="z7494" w:id="7324"/>
    <w:p>
      <w:pPr>
        <w:spacing w:after="0"/>
        <w:ind w:left="0"/>
        <w:jc w:val="left"/>
      </w:pPr>
      <w:r>
        <w:rPr>
          <w:rFonts w:ascii="Times New Roman"/>
          <w:b/>
          <w:i w:val="false"/>
          <w:color w:val="000000"/>
        </w:rPr>
        <w:t xml:space="preserve"> Параграф 3. Обновление плана управления рисками</w:t>
      </w:r>
    </w:p>
    <w:bookmarkEnd w:id="7324"/>
    <w:bookmarkStart w:name="z7495" w:id="7325"/>
    <w:p>
      <w:pPr>
        <w:spacing w:after="0"/>
        <w:ind w:left="0"/>
        <w:jc w:val="both"/>
      </w:pPr>
      <w:r>
        <w:rPr>
          <w:rFonts w:ascii="Times New Roman"/>
          <w:b w:val="false"/>
          <w:i w:val="false"/>
          <w:color w:val="000000"/>
          <w:sz w:val="28"/>
        </w:rPr>
        <w:t>
      224. Если ПУР ранее представлен держателем регистрационного удостоверения при процедуре регистрации для действующего вещества, любые последующие представления имеют вид обновления за исключением случаев, когда оговариваются иные требования. Каждое представление ПУР имеет четкий номер версии и датируется. Это относится к представлению ПУР полностью или только его части или модуля. Версии с изменениями, имеющие идентифицирующую информацию, представляются вместе с сопроводительным письмом, включающим подробное описание изменений с момента последней представленной версии.</w:t>
      </w:r>
    </w:p>
    <w:bookmarkEnd w:id="7325"/>
    <w:bookmarkStart w:name="z7496" w:id="7326"/>
    <w:p>
      <w:pPr>
        <w:spacing w:after="0"/>
        <w:ind w:left="0"/>
        <w:jc w:val="both"/>
      </w:pPr>
      <w:r>
        <w:rPr>
          <w:rFonts w:ascii="Times New Roman"/>
          <w:b w:val="false"/>
          <w:i w:val="false"/>
          <w:color w:val="000000"/>
          <w:sz w:val="28"/>
        </w:rPr>
        <w:t>
      225. Сроки представления обновлений ПУР устанавливаются при его введении и также являются условием сохранения регуляторного статуса. Данные установленные сроки являются максимально допустимыми и не снимают работу с держателя регистрационного удостоверения по контролю профиля безопасности лекарственного препарата и требование по представлению обновленного ПУР в случае выявления значительных изменений в оценке соотношения польза-риск соответствующих лекарственных препаратов, включенных в ПУР, вне установленного графика подачи обновлений.</w:t>
      </w:r>
    </w:p>
    <w:bookmarkEnd w:id="7326"/>
    <w:bookmarkStart w:name="z7497" w:id="7327"/>
    <w:p>
      <w:pPr>
        <w:spacing w:after="0"/>
        <w:ind w:left="0"/>
        <w:jc w:val="both"/>
      </w:pPr>
      <w:r>
        <w:rPr>
          <w:rFonts w:ascii="Times New Roman"/>
          <w:b w:val="false"/>
          <w:i w:val="false"/>
          <w:color w:val="000000"/>
          <w:sz w:val="28"/>
        </w:rPr>
        <w:t>
      Если с момента последнего представления в ПУР не вносится никаких изменений (т.е. плановое обновление происходит вскоре после окончания процедуры), держатель регистрационного удостоверения представляет письмо, объясняющее отсутствие изменений, и по согласованию с уполномоченным органом не представляет обновление ПУР.</w:t>
      </w:r>
    </w:p>
    <w:bookmarkEnd w:id="7327"/>
    <w:bookmarkStart w:name="z7498" w:id="7328"/>
    <w:p>
      <w:pPr>
        <w:spacing w:after="0"/>
        <w:ind w:left="0"/>
        <w:jc w:val="both"/>
      </w:pPr>
      <w:r>
        <w:rPr>
          <w:rFonts w:ascii="Times New Roman"/>
          <w:b w:val="false"/>
          <w:i w:val="false"/>
          <w:color w:val="000000"/>
          <w:sz w:val="28"/>
        </w:rPr>
        <w:t>
      Если не оговорено иное, в случаях, когда ПОБ и ПУР являются необходимыми для лекарственного препарата, плановые обновления ПУР представляются в то же время, что и ПОБ.</w:t>
      </w:r>
    </w:p>
    <w:bookmarkEnd w:id="7328"/>
    <w:bookmarkStart w:name="z7499" w:id="7329"/>
    <w:p>
      <w:pPr>
        <w:spacing w:after="0"/>
        <w:ind w:left="0"/>
        <w:jc w:val="both"/>
      </w:pPr>
      <w:r>
        <w:rPr>
          <w:rFonts w:ascii="Times New Roman"/>
          <w:b w:val="false"/>
          <w:i w:val="false"/>
          <w:color w:val="000000"/>
          <w:sz w:val="28"/>
        </w:rPr>
        <w:t>
      После обновления ПУР план по минимизации рисков при необходимости включает оценку эффективности и результатов рутинных и (или) дополнительных мероприятий по минимизации рисков.</w:t>
      </w:r>
    </w:p>
    <w:bookmarkEnd w:id="7329"/>
    <w:bookmarkStart w:name="z7500" w:id="7330"/>
    <w:p>
      <w:pPr>
        <w:spacing w:after="0"/>
        <w:ind w:left="0"/>
        <w:jc w:val="both"/>
      </w:pPr>
      <w:r>
        <w:rPr>
          <w:rFonts w:ascii="Times New Roman"/>
          <w:b w:val="false"/>
          <w:i w:val="false"/>
          <w:color w:val="000000"/>
          <w:sz w:val="28"/>
        </w:rPr>
        <w:t>
      226. Уполномоченная организация обеспечивает доступность отчетов по результатам оценки представляемых ПУР и резюме ПУР через соответствующий веб-портал.</w:t>
      </w:r>
    </w:p>
    <w:bookmarkEnd w:id="7330"/>
    <w:bookmarkStart w:name="z7501" w:id="7331"/>
    <w:p>
      <w:pPr>
        <w:spacing w:after="0"/>
        <w:ind w:left="0"/>
        <w:jc w:val="left"/>
      </w:pPr>
      <w:r>
        <w:rPr>
          <w:rFonts w:ascii="Times New Roman"/>
          <w:b/>
          <w:i w:val="false"/>
          <w:color w:val="000000"/>
        </w:rPr>
        <w:t xml:space="preserve"> Глава 34. Организация работы с информацией о нежелательных реакциях на лекарственные препараты</w:t>
      </w:r>
    </w:p>
    <w:bookmarkEnd w:id="7331"/>
    <w:bookmarkStart w:name="z7502" w:id="7332"/>
    <w:p>
      <w:pPr>
        <w:spacing w:after="0"/>
        <w:ind w:left="0"/>
        <w:jc w:val="left"/>
      </w:pPr>
      <w:r>
        <w:rPr>
          <w:rFonts w:ascii="Times New Roman"/>
          <w:b/>
          <w:i w:val="false"/>
          <w:color w:val="000000"/>
        </w:rPr>
        <w:t xml:space="preserve"> Параграф 1. Структуры и процессы</w:t>
      </w:r>
    </w:p>
    <w:bookmarkEnd w:id="7332"/>
    <w:bookmarkStart w:name="z7503" w:id="7333"/>
    <w:p>
      <w:pPr>
        <w:spacing w:after="0"/>
        <w:ind w:left="0"/>
        <w:jc w:val="both"/>
      </w:pPr>
      <w:r>
        <w:rPr>
          <w:rFonts w:ascii="Times New Roman"/>
          <w:b w:val="false"/>
          <w:i w:val="false"/>
          <w:color w:val="000000"/>
          <w:sz w:val="28"/>
        </w:rPr>
        <w:t>
      227. Уполномоченная организация и держатель регистрационного удостоверения осуществляют сбор и упорядочение всех сообщений о нежелательных реакциях, связанных с применением лекарственных препаратов, полученных из различных источников без предварительного запроса и по запросу.</w:t>
      </w:r>
    </w:p>
    <w:bookmarkEnd w:id="7333"/>
    <w:bookmarkStart w:name="z7504" w:id="7334"/>
    <w:p>
      <w:pPr>
        <w:spacing w:after="0"/>
        <w:ind w:left="0"/>
        <w:jc w:val="both"/>
      </w:pPr>
      <w:r>
        <w:rPr>
          <w:rFonts w:ascii="Times New Roman"/>
          <w:b w:val="false"/>
          <w:i w:val="false"/>
          <w:color w:val="000000"/>
          <w:sz w:val="28"/>
        </w:rPr>
        <w:t xml:space="preserve">
      Система фармаконадзора обеспечивает сбор достаточного количества сообщений о нежелательных реакциях, и их последующую научно обоснованную оценку, надлежащую оценку качества собранных сообщений о нежелательных реакциях в отношении подлинности, точности, последовательности, возможности проверки полноты данных для их клинической оценки. </w:t>
      </w:r>
    </w:p>
    <w:bookmarkEnd w:id="7334"/>
    <w:bookmarkStart w:name="z7505" w:id="7335"/>
    <w:p>
      <w:pPr>
        <w:spacing w:after="0"/>
        <w:ind w:left="0"/>
        <w:jc w:val="both"/>
      </w:pPr>
      <w:r>
        <w:rPr>
          <w:rFonts w:ascii="Times New Roman"/>
          <w:b w:val="false"/>
          <w:i w:val="false"/>
          <w:color w:val="000000"/>
          <w:sz w:val="28"/>
        </w:rPr>
        <w:t>
      Система фармаконадзора позволяет своевременно валидировать отчеты о нежелательных реакциях и обмениваться ими с уполномоченными органами и держателями регистрационных удостоверений в сроки, установленные законодательством.</w:t>
      </w:r>
    </w:p>
    <w:bookmarkEnd w:id="7335"/>
    <w:bookmarkStart w:name="z7506" w:id="7336"/>
    <w:p>
      <w:pPr>
        <w:spacing w:after="0"/>
        <w:ind w:left="0"/>
        <w:jc w:val="both"/>
      </w:pPr>
      <w:r>
        <w:rPr>
          <w:rFonts w:ascii="Times New Roman"/>
          <w:b w:val="false"/>
          <w:i w:val="false"/>
          <w:color w:val="000000"/>
          <w:sz w:val="28"/>
        </w:rPr>
        <w:t>
      228. Сообщения, полученные без запроса</w:t>
      </w:r>
    </w:p>
    <w:bookmarkEnd w:id="7336"/>
    <w:bookmarkStart w:name="z7507" w:id="7337"/>
    <w:p>
      <w:pPr>
        <w:spacing w:after="0"/>
        <w:ind w:left="0"/>
        <w:jc w:val="both"/>
      </w:pPr>
      <w:r>
        <w:rPr>
          <w:rFonts w:ascii="Times New Roman"/>
          <w:b w:val="false"/>
          <w:i w:val="false"/>
          <w:color w:val="000000"/>
          <w:sz w:val="28"/>
        </w:rPr>
        <w:t>
      229. Спонтанное сообщение - это сообщение, которое специалист системы здравоохранения, пациент (потребитель) направляет в адрес уполномоченной организации, держателя регистрационного удостоверения или другой организации без предварительного запроса со стороны последних, и описывает одно или более нежелательных реакций у пациента, при назначении одного или более лекарственных препаратов. К спонтанным сообщениям не относятся сообщения, полученные в ходе исследований или иных форм организованного сбора данных о нежелательных реакциях на лекарственные препараты.</w:t>
      </w:r>
    </w:p>
    <w:bookmarkEnd w:id="7337"/>
    <w:bookmarkStart w:name="z7508" w:id="7338"/>
    <w:p>
      <w:pPr>
        <w:spacing w:after="0"/>
        <w:ind w:left="0"/>
        <w:jc w:val="both"/>
      </w:pPr>
      <w:r>
        <w:rPr>
          <w:rFonts w:ascii="Times New Roman"/>
          <w:b w:val="false"/>
          <w:i w:val="false"/>
          <w:color w:val="000000"/>
          <w:sz w:val="28"/>
        </w:rPr>
        <w:t>
      Первоисточником о нежелательной реакции является лицо, предоставившее информацию о развитии нежелательной реакции. Если информация об одной нежелательной реакции поступает от нескольких первоисточников, таких как специалист системы здравоохранения, пациент (потребитель), данные по всем первоисточникам вносятся в раздел "Первоисточник" формы сообщения о нежелательной реакции.</w:t>
      </w:r>
    </w:p>
    <w:bookmarkEnd w:id="7338"/>
    <w:bookmarkStart w:name="z7509" w:id="7339"/>
    <w:p>
      <w:pPr>
        <w:spacing w:after="0"/>
        <w:ind w:left="0"/>
        <w:jc w:val="both"/>
      </w:pPr>
      <w:r>
        <w:rPr>
          <w:rFonts w:ascii="Times New Roman"/>
          <w:b w:val="false"/>
          <w:i w:val="false"/>
          <w:color w:val="000000"/>
          <w:sz w:val="28"/>
        </w:rPr>
        <w:t>
      Стимулирование получение сообщений, являющееся следствием "Обращений к специалистам системы здравоохранения", публикаций в прессе, опроса специалистов системы здравоохранения представителями держателей регистрационных удостоверений или судебных исков в отношении класса лекарственных средств, также являются спонтанными сообщениями.</w:t>
      </w:r>
    </w:p>
    <w:bookmarkEnd w:id="7339"/>
    <w:bookmarkStart w:name="z7510" w:id="7340"/>
    <w:p>
      <w:pPr>
        <w:spacing w:after="0"/>
        <w:ind w:left="0"/>
        <w:jc w:val="both"/>
      </w:pPr>
      <w:r>
        <w:rPr>
          <w:rFonts w:ascii="Times New Roman"/>
          <w:b w:val="false"/>
          <w:i w:val="false"/>
          <w:color w:val="000000"/>
          <w:sz w:val="28"/>
        </w:rPr>
        <w:t>
      Сообщения о нежелательных реакциях от пациента или потребителя обрабатывают как спонтанные сообщения независимо от последующего медицинского подтверждения.</w:t>
      </w:r>
    </w:p>
    <w:bookmarkEnd w:id="7340"/>
    <w:bookmarkStart w:name="z7511" w:id="7341"/>
    <w:p>
      <w:pPr>
        <w:spacing w:after="0"/>
        <w:ind w:left="0"/>
        <w:jc w:val="both"/>
      </w:pPr>
      <w:r>
        <w:rPr>
          <w:rFonts w:ascii="Times New Roman"/>
          <w:b w:val="false"/>
          <w:i w:val="false"/>
          <w:color w:val="000000"/>
          <w:sz w:val="28"/>
        </w:rPr>
        <w:t>
      В случае получения спонтанного сообщения о развитии нежелательного явления, без указания наличия причинно-следственной связи, данное нежелательное явление рассматривается как нежелательная реакция. Все поступающие спонтанные сообщения, представляемые специалистами системы здравоохранения, пациентами или потребителями, рассматриваются как нежелательные реакции исходя из того, что их представление содержит предположение первоисточника сообщения о наличии взаимосвязи. Исключение составляют сообщения, в которых репортером сделано указание об отсутствии взаимосвязи между нежелательным явлением и приемом лекарственного препарата.</w:t>
      </w:r>
    </w:p>
    <w:bookmarkEnd w:id="7341"/>
    <w:bookmarkStart w:name="z7512" w:id="7342"/>
    <w:p>
      <w:pPr>
        <w:spacing w:after="0"/>
        <w:ind w:left="0"/>
        <w:jc w:val="both"/>
      </w:pPr>
      <w:r>
        <w:rPr>
          <w:rFonts w:ascii="Times New Roman"/>
          <w:b w:val="false"/>
          <w:i w:val="false"/>
          <w:color w:val="000000"/>
          <w:sz w:val="28"/>
        </w:rPr>
        <w:t xml:space="preserve">
      230. Сообщения о нежелательных реакциях, опубликованные в медицинской литературе. Научно-медицинская литература является важным источником информации для мониторинга профиля безопасности и соотношения польза-риск лекарственных препаратов, в особенности в отношении обнаружения новых сигналов, связанных с безопасностью, либо актуальных вопросов по безопасности. Держатель регистрационного удостоверения проводит систематический обзор литературы широко используемых справочных баз данных не реже одного раза в неделю, а также осведомлен о публикациях в медицинских изданиях и соответствующим образом информируют о них отдел безопасности компании. Обзор литературы включает использование баз данных, содержащих максимальное количество ссылок на статьи, имеющие отношение к мониторируемому лекарственному препарату. </w:t>
      </w:r>
    </w:p>
    <w:bookmarkEnd w:id="7342"/>
    <w:bookmarkStart w:name="z7513" w:id="7343"/>
    <w:p>
      <w:pPr>
        <w:spacing w:after="0"/>
        <w:ind w:left="0"/>
        <w:jc w:val="both"/>
      </w:pPr>
      <w:r>
        <w:rPr>
          <w:rFonts w:ascii="Times New Roman"/>
          <w:b w:val="false"/>
          <w:i w:val="false"/>
          <w:color w:val="000000"/>
          <w:sz w:val="28"/>
        </w:rPr>
        <w:t>
      Держатель регистрационного удостоверения просматривает сообщения о нежелательных реакциях, публикуемых в научно-медицинской литературе, в том числе опубликованные абстракты в материалах конференций или проекты монографий, для выявления и регистрации сообщения о нежелательных реакциях, представляющие собой спонтанные сообщения или сообщения, выявленные в ходе неинтервенционных пострегистрационных исследований.</w:t>
      </w:r>
    </w:p>
    <w:bookmarkEnd w:id="7343"/>
    <w:bookmarkStart w:name="z7514" w:id="7344"/>
    <w:p>
      <w:pPr>
        <w:spacing w:after="0"/>
        <w:ind w:left="0"/>
        <w:jc w:val="both"/>
      </w:pPr>
      <w:r>
        <w:rPr>
          <w:rFonts w:ascii="Times New Roman"/>
          <w:b w:val="false"/>
          <w:i w:val="false"/>
          <w:color w:val="000000"/>
          <w:sz w:val="28"/>
        </w:rPr>
        <w:t>
      Если в публикации упоминается несколько лекарственных препаратов, то держатель регистрационного удостоверения рассматривает только те лекарственные препараты, которые определяются автором публикации как имеющие, по меньшей мере, возможную причинно-следственную взаимосвязь с выявленными нежелательными реакциями. Это относится также к сообщениям, опубликованным в научно-медицинской литературе в стране, в которой зарегистрирован препарат, но не осуществлялось коммерческое внедрение лекарственного препарата.</w:t>
      </w:r>
    </w:p>
    <w:bookmarkEnd w:id="7344"/>
    <w:bookmarkStart w:name="z7515" w:id="7345"/>
    <w:p>
      <w:pPr>
        <w:spacing w:after="0"/>
        <w:ind w:left="0"/>
        <w:jc w:val="both"/>
      </w:pPr>
      <w:r>
        <w:rPr>
          <w:rFonts w:ascii="Times New Roman"/>
          <w:b w:val="false"/>
          <w:i w:val="false"/>
          <w:color w:val="000000"/>
          <w:sz w:val="28"/>
        </w:rPr>
        <w:t>
      Валидные сообщения подлежат представлению в уполномоченный орган согласно требованиям действующего законодательства. Начало отсчета времени, установленного для представления сообщения о нежелательной реакции, является момент, когда в распоряжении держателя регистрационного удостоверения оказалась информация по случаю нежелательной реакции, отвечающая требованиям по минимальной информации как для срочного репортирования. Оформляется один случай нежелательной реакции для каждого идентифицируемого пациента и представляется ссылка на публикации для оценки информации. Ссылку на публикацию приводится как источник сообщения о нежелательной реакции.</w:t>
      </w:r>
    </w:p>
    <w:bookmarkEnd w:id="7345"/>
    <w:bookmarkStart w:name="z7516" w:id="7346"/>
    <w:p>
      <w:pPr>
        <w:spacing w:after="0"/>
        <w:ind w:left="0"/>
        <w:jc w:val="both"/>
      </w:pPr>
      <w:r>
        <w:rPr>
          <w:rFonts w:ascii="Times New Roman"/>
          <w:b w:val="false"/>
          <w:i w:val="false"/>
          <w:color w:val="000000"/>
          <w:sz w:val="28"/>
        </w:rPr>
        <w:t>
      231. Сообщения из других источников. Держатель регистрационного удостоверения в случае получения сообщения о нежелательной реакции из немедицинских источников, в частности, из непрофильной прессы или других средств информации, обрабатывает ее как спонтанное сообщение. Держатель регистрационного удостоверения прорабатывает случай для получения минимальной необходимой информации, которая представляет собой валидное сообщение о нежелательной реакции. Данный тип сообщений обрабатывается как спонтанные сообщения с применением к ним требований по времени репортирования, как и для иных спонтанных сообщений.</w:t>
      </w:r>
    </w:p>
    <w:bookmarkEnd w:id="7346"/>
    <w:bookmarkStart w:name="z7517" w:id="7347"/>
    <w:p>
      <w:pPr>
        <w:spacing w:after="0"/>
        <w:ind w:left="0"/>
        <w:jc w:val="both"/>
      </w:pPr>
      <w:r>
        <w:rPr>
          <w:rFonts w:ascii="Times New Roman"/>
          <w:b w:val="false"/>
          <w:i w:val="false"/>
          <w:color w:val="000000"/>
          <w:sz w:val="28"/>
        </w:rPr>
        <w:t xml:space="preserve">
      232. Информация о подозреваемых нежелательных реакциях из Интернета или цифровых средств информации. Держатель регистрационного удостоверения регулярно просматривает Интернет или цифровые средства информации (веб-сайт, веб-страница, блог, социальная сеть, интернет-форум, чат-рум, портал по теме здравоохранения), находящиеся под его управлением на наличие потенциальных сообщений о нежелательных реакциях. В данном контексте цифровые средства информации считаются спонсируемыми компанией, если держатель регистрационного удостоверения владеет, оплачивает или контролирует их. При этом пожертвование (финансовое или иное) в адрес организации (сайта) производителем лекарственных препаратов (держателем регистрационного удостоверения) не относится к владению, при условии, что производитель лекарственных препаратов (держатель регистрационного удостоверения) не контролирует окончательное содержание сайта. </w:t>
      </w:r>
    </w:p>
    <w:bookmarkEnd w:id="7347"/>
    <w:bookmarkStart w:name="z7518" w:id="7348"/>
    <w:p>
      <w:pPr>
        <w:spacing w:after="0"/>
        <w:ind w:left="0"/>
        <w:jc w:val="both"/>
      </w:pPr>
      <w:r>
        <w:rPr>
          <w:rFonts w:ascii="Times New Roman"/>
          <w:b w:val="false"/>
          <w:i w:val="false"/>
          <w:color w:val="000000"/>
          <w:sz w:val="28"/>
        </w:rPr>
        <w:t>
      Периодичность просмотра указанных источников обеспечивает выполнение требований по времени представления валидных сообщений о нежелательных реакциях в уполномоченный орган, считая со дня размещения информации.</w:t>
      </w:r>
    </w:p>
    <w:bookmarkEnd w:id="7348"/>
    <w:bookmarkStart w:name="z7519" w:id="7349"/>
    <w:p>
      <w:pPr>
        <w:spacing w:after="0"/>
        <w:ind w:left="0"/>
        <w:jc w:val="both"/>
      </w:pPr>
      <w:r>
        <w:rPr>
          <w:rFonts w:ascii="Times New Roman"/>
          <w:b w:val="false"/>
          <w:i w:val="false"/>
          <w:color w:val="000000"/>
          <w:sz w:val="28"/>
        </w:rPr>
        <w:t>
      Держатель регистрационного удостоверения ведет мониторинг специальных интернет-сайтов или цифровых средств информации, таких как сайты поддержки пациентов или групп с определенными заболеваниями, на наличие информации, требующей составления сообщения. Периодичность мониторинга этих сайтов или цифровых средств информации определяется рисками, связанными с мониторируемым лекарственным препаратом.</w:t>
      </w:r>
    </w:p>
    <w:bookmarkEnd w:id="7349"/>
    <w:bookmarkStart w:name="z7520" w:id="7350"/>
    <w:p>
      <w:pPr>
        <w:spacing w:after="0"/>
        <w:ind w:left="0"/>
        <w:jc w:val="both"/>
      </w:pPr>
      <w:r>
        <w:rPr>
          <w:rFonts w:ascii="Times New Roman"/>
          <w:b w:val="false"/>
          <w:i w:val="false"/>
          <w:color w:val="000000"/>
          <w:sz w:val="28"/>
        </w:rPr>
        <w:t xml:space="preserve">
      Случаи подозреваемых нежелательных реакций из Интернета или цифровых средств информации, полученные без запроса, обрабатываются как спонтанные сообщения с применением к ним требований по времени репортирования, как и для иных спонтанных сообщений. </w:t>
      </w:r>
    </w:p>
    <w:bookmarkEnd w:id="7350"/>
    <w:bookmarkStart w:name="z7521" w:id="7351"/>
    <w:p>
      <w:pPr>
        <w:spacing w:after="0"/>
        <w:ind w:left="0"/>
        <w:jc w:val="both"/>
      </w:pPr>
      <w:r>
        <w:rPr>
          <w:rFonts w:ascii="Times New Roman"/>
          <w:b w:val="false"/>
          <w:i w:val="false"/>
          <w:color w:val="000000"/>
          <w:sz w:val="28"/>
        </w:rPr>
        <w:t>
      В отношении случаев нежелательных реакций из Интернета или цифровых средств информации, идентифицируемость составителя сообщения относится к существованию реального лица, т.е. возможности проверить правильность контактных данных составителя отчета (в частности, наличие действительного адреса электронной почты). Контактные данные используют только для целей фармаконадзора. Если отсутствует страна первоисточника, то в качестве страны первоисточника используют страну получения информации, в зависимости от места проведения мониторинга.</w:t>
      </w:r>
    </w:p>
    <w:bookmarkEnd w:id="7351"/>
    <w:bookmarkStart w:name="z7522" w:id="7352"/>
    <w:p>
      <w:pPr>
        <w:spacing w:after="0"/>
        <w:ind w:left="0"/>
        <w:jc w:val="both"/>
      </w:pPr>
      <w:r>
        <w:rPr>
          <w:rFonts w:ascii="Times New Roman"/>
          <w:b w:val="false"/>
          <w:i w:val="false"/>
          <w:color w:val="000000"/>
          <w:sz w:val="28"/>
        </w:rPr>
        <w:t>
      Если держателю регистрационного удостоверения становится известно о сообщении нежелательной реакции, описанной в цифровых средствах информации, спонсором которых компания не является, держатель регистрационного удостоверения проводит оценку о необходимости срочного репортирования сообщения.</w:t>
      </w:r>
    </w:p>
    <w:bookmarkEnd w:id="7352"/>
    <w:bookmarkStart w:name="z7523" w:id="7353"/>
    <w:p>
      <w:pPr>
        <w:spacing w:after="0"/>
        <w:ind w:left="0"/>
        <w:jc w:val="both"/>
      </w:pPr>
      <w:r>
        <w:rPr>
          <w:rFonts w:ascii="Times New Roman"/>
          <w:b w:val="false"/>
          <w:i w:val="false"/>
          <w:color w:val="000000"/>
          <w:sz w:val="28"/>
        </w:rPr>
        <w:t>
      233. Сообщения о нежелательных реакциях, полученные по запросу - сообщения, полученные от систем организованного сбора данных, включают клинические исследования (испытания), неинтервенционные исследования (испытания), регистры, персонализированные программы использования незарегистрированных лекарственных препаратов, другие программы использования незарегистрированных лекарственных препаратов в связи с исключительными обстоятельствами из соображений сострадания и мониторинга заболеваний, опросы пациентов или медицинских работников, или сбор данных по эффективности или приверженности пациентов. Сообщения о нежелательных реакциях, полученные от какой-либо из этих систем сбора данных, не относятся к спонтанным сообщениям.</w:t>
      </w:r>
    </w:p>
    <w:bookmarkEnd w:id="7353"/>
    <w:bookmarkStart w:name="z7524" w:id="7354"/>
    <w:p>
      <w:pPr>
        <w:spacing w:after="0"/>
        <w:ind w:left="0"/>
        <w:jc w:val="both"/>
      </w:pPr>
      <w:r>
        <w:rPr>
          <w:rFonts w:ascii="Times New Roman"/>
          <w:b w:val="false"/>
          <w:i w:val="false"/>
          <w:color w:val="000000"/>
          <w:sz w:val="28"/>
        </w:rPr>
        <w:t>
      В рамках процедуры репортирования сообщения о нежелательных реакциях, полученные по запросу, сообщения, полученные в ходе исследований (испытаний), подвергаются оценке причинно-следственной связи с целью их отнесения к случаям срочного репортирования.</w:t>
      </w:r>
    </w:p>
    <w:bookmarkEnd w:id="7354"/>
    <w:bookmarkStart w:name="z7525" w:id="7355"/>
    <w:p>
      <w:pPr>
        <w:spacing w:after="0"/>
        <w:ind w:left="0"/>
        <w:jc w:val="left"/>
      </w:pPr>
      <w:r>
        <w:rPr>
          <w:rFonts w:ascii="Times New Roman"/>
          <w:b/>
          <w:i w:val="false"/>
          <w:color w:val="000000"/>
        </w:rPr>
        <w:t xml:space="preserve"> Параграф 2. Валидация сообщений</w:t>
      </w:r>
    </w:p>
    <w:bookmarkEnd w:id="7355"/>
    <w:bookmarkStart w:name="z7526" w:id="7356"/>
    <w:p>
      <w:pPr>
        <w:spacing w:after="0"/>
        <w:ind w:left="0"/>
        <w:jc w:val="both"/>
      </w:pPr>
      <w:r>
        <w:rPr>
          <w:rFonts w:ascii="Times New Roman"/>
          <w:b w:val="false"/>
          <w:i w:val="false"/>
          <w:color w:val="000000"/>
          <w:sz w:val="28"/>
        </w:rPr>
        <w:t>
      234. Срочному репортированию подлежат только индивидуальные сообщения о нежелательных реакциях, имеющие положительные результаты валидации. Все сообщения о нежелательных реакциях до их представления в уполномоченную организацию подвергаются валидации на наличие минимальной требуемой информации. Минимальная требуемая информация включает:</w:t>
      </w:r>
    </w:p>
    <w:bookmarkEnd w:id="7356"/>
    <w:bookmarkStart w:name="z7527" w:id="7357"/>
    <w:p>
      <w:pPr>
        <w:spacing w:after="0"/>
        <w:ind w:left="0"/>
        <w:jc w:val="both"/>
      </w:pPr>
      <w:r>
        <w:rPr>
          <w:rFonts w:ascii="Times New Roman"/>
          <w:b w:val="false"/>
          <w:i w:val="false"/>
          <w:color w:val="000000"/>
          <w:sz w:val="28"/>
        </w:rPr>
        <w:t>
      1) идентифицируемый репортер (первоисточник), который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 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 Все стороны, представляющие информацию о случае нежелательной реакции, в том числе дополнительную информацию по запросу, являются идентифицируемыми. Если репортер не желает представлять контактные данные, сообщение о нежелательной реакции является валидным при условии, что организация, проинформированная о случае, способна подтвердить его напрямую с репортером;</w:t>
      </w:r>
    </w:p>
    <w:bookmarkEnd w:id="7357"/>
    <w:bookmarkStart w:name="z7528" w:id="7358"/>
    <w:p>
      <w:pPr>
        <w:spacing w:after="0"/>
        <w:ind w:left="0"/>
        <w:jc w:val="both"/>
      </w:pPr>
      <w:r>
        <w:rPr>
          <w:rFonts w:ascii="Times New Roman"/>
          <w:b w:val="false"/>
          <w:i w:val="false"/>
          <w:color w:val="000000"/>
          <w:sz w:val="28"/>
        </w:rPr>
        <w:t>
      2) идентифицируемый пациент, с указанием инициалов, идентификационного номера пациента, даты рождения, возраста или возрастной группы, пола. Информация о пациенте является максимальной;</w:t>
      </w:r>
    </w:p>
    <w:bookmarkEnd w:id="7358"/>
    <w:bookmarkStart w:name="z7529" w:id="7359"/>
    <w:p>
      <w:pPr>
        <w:spacing w:after="0"/>
        <w:ind w:left="0"/>
        <w:jc w:val="both"/>
      </w:pPr>
      <w:r>
        <w:rPr>
          <w:rFonts w:ascii="Times New Roman"/>
          <w:b w:val="false"/>
          <w:i w:val="false"/>
          <w:color w:val="000000"/>
          <w:sz w:val="28"/>
        </w:rPr>
        <w:t>
      3) по меньшей мере, один подозреваемый лекарственный препарат;</w:t>
      </w:r>
    </w:p>
    <w:bookmarkEnd w:id="7359"/>
    <w:bookmarkStart w:name="z7530" w:id="7360"/>
    <w:p>
      <w:pPr>
        <w:spacing w:after="0"/>
        <w:ind w:left="0"/>
        <w:jc w:val="both"/>
      </w:pPr>
      <w:r>
        <w:rPr>
          <w:rFonts w:ascii="Times New Roman"/>
          <w:b w:val="false"/>
          <w:i w:val="false"/>
          <w:color w:val="000000"/>
          <w:sz w:val="28"/>
        </w:rPr>
        <w:t>
      4) по меньшей мере, одна подозреваемая нежелательная реакция. В случае утверждения первоисточником в прямой форме об отсутствии наличия причинно-следственной связи между назначением лекарственного препарата и нежелательной реакцией, и получатель (уполномоченный орган или держатель регистрационного удостоверения) согласен с этим, сообщение определяется как не валидное индивидуальное сообщение о нежелательной реакции, ввиду неполной требуемой минимальной информации. Сообщение определяется как не валидное индивидуальное сообщение о нежелательной реакции, если сообщается о перенесенной нежелательной реакции без представления ее описания.</w:t>
      </w:r>
    </w:p>
    <w:bookmarkEnd w:id="7360"/>
    <w:bookmarkStart w:name="z7531" w:id="7361"/>
    <w:p>
      <w:pPr>
        <w:spacing w:after="0"/>
        <w:ind w:left="0"/>
        <w:jc w:val="both"/>
      </w:pPr>
      <w:r>
        <w:rPr>
          <w:rFonts w:ascii="Times New Roman"/>
          <w:b w:val="false"/>
          <w:i w:val="false"/>
          <w:color w:val="000000"/>
          <w:sz w:val="28"/>
        </w:rPr>
        <w:t>
      235. При сборе сообщений о нежелательных реакциях через Интернет или цифровые средства информации термин "идентифицируемый" относится к возможности проверки существования репортера (составителя сообщения) и пациента.</w:t>
      </w:r>
    </w:p>
    <w:bookmarkEnd w:id="7361"/>
    <w:bookmarkStart w:name="z7532" w:id="7362"/>
    <w:p>
      <w:pPr>
        <w:spacing w:after="0"/>
        <w:ind w:left="0"/>
        <w:jc w:val="both"/>
      </w:pPr>
      <w:r>
        <w:rPr>
          <w:rFonts w:ascii="Times New Roman"/>
          <w:b w:val="false"/>
          <w:i w:val="false"/>
          <w:color w:val="000000"/>
          <w:sz w:val="28"/>
        </w:rPr>
        <w:t>
      236. При отсутствии какого-либо элементов минимальной информации, перечисленных в пункте 233, случай считается неполным и не подлежит процедуре срочного репортирования сообщения о нежелательной реакции. Уполномоченная организация и держатель регистрационного удостоверения осуществляют сбор недостающих данных в сообщениях. Сообщения о нежелательных реакциях, с неполной минимальной информацией, регистрируются в рамках системы фармаконадзора для использования в текущей деятельности, по оценке безопасности.</w:t>
      </w:r>
    </w:p>
    <w:bookmarkEnd w:id="7362"/>
    <w:bookmarkStart w:name="z7533" w:id="7363"/>
    <w:p>
      <w:pPr>
        <w:spacing w:after="0"/>
        <w:ind w:left="0"/>
        <w:jc w:val="both"/>
      </w:pPr>
      <w:r>
        <w:rPr>
          <w:rFonts w:ascii="Times New Roman"/>
          <w:b w:val="false"/>
          <w:i w:val="false"/>
          <w:color w:val="000000"/>
          <w:sz w:val="28"/>
        </w:rPr>
        <w:t>
      237. Если одной стороне (уполномоченной организации или держателю регистрационного удостоверения) становится известно, что репортер мог сообщить о нежелательной реакции также другой заинтересованной стороне, сообщение, тем не менее, считается валидным сообщением о нежелательной реакции. Сообщение о нежелательной реакции включает всю важную информацию, необходимую для обнаружения дублирующего сообщения.</w:t>
      </w:r>
    </w:p>
    <w:bookmarkEnd w:id="7363"/>
    <w:bookmarkStart w:name="z7534" w:id="7364"/>
    <w:p>
      <w:pPr>
        <w:spacing w:after="0"/>
        <w:ind w:left="0"/>
        <w:jc w:val="both"/>
      </w:pPr>
      <w:r>
        <w:rPr>
          <w:rFonts w:ascii="Times New Roman"/>
          <w:b w:val="false"/>
          <w:i w:val="false"/>
          <w:color w:val="000000"/>
          <w:sz w:val="28"/>
        </w:rPr>
        <w:t>
      238. При пострегистрационных неинтервенционных исследованиях, в случае наличия несогласие между исследователем и держателем регистрационного удостоверения или спонсором исследования по вопросу оценки причинно-следственной связи между назначением подозреваемого лекарственного препарата и развитием нежелательной реакции, случай не переводится в более низкую категорию по степени достоверности взаимосвязи. В сообщении о нежелательной реакции представляются мнения исследователя, держателя регистрационного удостоверения или спонсора исследования.</w:t>
      </w:r>
    </w:p>
    <w:bookmarkEnd w:id="7364"/>
    <w:bookmarkStart w:name="z7535" w:id="7365"/>
    <w:p>
      <w:pPr>
        <w:spacing w:after="0"/>
        <w:ind w:left="0"/>
        <w:jc w:val="left"/>
      </w:pPr>
      <w:r>
        <w:rPr>
          <w:rFonts w:ascii="Times New Roman"/>
          <w:b/>
          <w:i w:val="false"/>
          <w:color w:val="000000"/>
        </w:rPr>
        <w:t xml:space="preserve"> Параграф 3. Последующая работа с сообщениями о нежелательных реакциях</w:t>
      </w:r>
    </w:p>
    <w:bookmarkEnd w:id="7365"/>
    <w:bookmarkStart w:name="z7536" w:id="7366"/>
    <w:p>
      <w:pPr>
        <w:spacing w:after="0"/>
        <w:ind w:left="0"/>
        <w:jc w:val="both"/>
      </w:pPr>
      <w:r>
        <w:rPr>
          <w:rFonts w:ascii="Times New Roman"/>
          <w:b w:val="false"/>
          <w:i w:val="false"/>
          <w:color w:val="000000"/>
          <w:sz w:val="28"/>
        </w:rPr>
        <w:t xml:space="preserve">
      239. При первоначальном получении неполной информации в сообщениях о нежелательных реакциях, проводится последуюшая работа по получению дополнительной информации для проведения научной оценки случаев развития нежелательных реакций. </w:t>
      </w:r>
    </w:p>
    <w:bookmarkEnd w:id="7366"/>
    <w:bookmarkStart w:name="z7537" w:id="7367"/>
    <w:p>
      <w:pPr>
        <w:spacing w:after="0"/>
        <w:ind w:left="0"/>
        <w:jc w:val="both"/>
      </w:pPr>
      <w:r>
        <w:rPr>
          <w:rFonts w:ascii="Times New Roman"/>
          <w:b w:val="false"/>
          <w:i w:val="false"/>
          <w:color w:val="000000"/>
          <w:sz w:val="28"/>
        </w:rPr>
        <w:t xml:space="preserve">
      240. Методы последующей работы направлены на оптимизацию сбора недостающей информации. Устные сведения подтверждаются письменно по возможности. Деятельность по фармаконадзору ведется образом, мотивирующим первоисточник (репортер) представлять новую информацию, важную для научной оценки вопросов безопасности. </w:t>
      </w:r>
    </w:p>
    <w:bookmarkEnd w:id="7367"/>
    <w:bookmarkStart w:name="z7538" w:id="7368"/>
    <w:p>
      <w:pPr>
        <w:spacing w:after="0"/>
        <w:ind w:left="0"/>
        <w:jc w:val="both"/>
      </w:pPr>
      <w:r>
        <w:rPr>
          <w:rFonts w:ascii="Times New Roman"/>
          <w:b w:val="false"/>
          <w:i w:val="false"/>
          <w:color w:val="000000"/>
          <w:sz w:val="28"/>
        </w:rPr>
        <w:t>
      241. В случаях, получения неполной информации непосредственно от пациента или потребителя, предполагающего наличие нежелательной реакции, предпринимаются попытки получения согласия на контакт с соответствующим медицинским работником, с целью получения дополнительной информации. В случае подтверждения (полностью или частично) медицинским работником такого случая, отражают данную информацию в индивидуальном сообщении о нежелательной реакции, составленном потребителем или пациентом.</w:t>
      </w:r>
    </w:p>
    <w:bookmarkEnd w:id="7368"/>
    <w:bookmarkStart w:name="z7539" w:id="7369"/>
    <w:p>
      <w:pPr>
        <w:spacing w:after="0"/>
        <w:ind w:left="0"/>
        <w:jc w:val="both"/>
      </w:pPr>
      <w:r>
        <w:rPr>
          <w:rFonts w:ascii="Times New Roman"/>
          <w:b w:val="false"/>
          <w:i w:val="false"/>
          <w:color w:val="000000"/>
          <w:sz w:val="28"/>
        </w:rPr>
        <w:t xml:space="preserve">
      242. В отношении нежелательных реакций, связанных с применением лекарственных препаратов биологического происхождения, указывается точное торговое название лекарственного препарата и номер партии. </w:t>
      </w:r>
    </w:p>
    <w:bookmarkEnd w:id="7369"/>
    <w:bookmarkStart w:name="z7540" w:id="7370"/>
    <w:p>
      <w:pPr>
        <w:spacing w:after="0"/>
        <w:ind w:left="0"/>
        <w:jc w:val="left"/>
      </w:pPr>
      <w:r>
        <w:rPr>
          <w:rFonts w:ascii="Times New Roman"/>
          <w:b/>
          <w:i w:val="false"/>
          <w:color w:val="000000"/>
        </w:rPr>
        <w:t xml:space="preserve"> Параграф 4. Управление данными</w:t>
      </w:r>
    </w:p>
    <w:bookmarkEnd w:id="7370"/>
    <w:bookmarkStart w:name="z7541" w:id="7371"/>
    <w:p>
      <w:pPr>
        <w:spacing w:after="0"/>
        <w:ind w:left="0"/>
        <w:jc w:val="both"/>
      </w:pPr>
      <w:r>
        <w:rPr>
          <w:rFonts w:ascii="Times New Roman"/>
          <w:b w:val="false"/>
          <w:i w:val="false"/>
          <w:color w:val="000000"/>
          <w:sz w:val="28"/>
        </w:rPr>
        <w:t>
      243. Обращение и хранение электронных данных и бумажных сообщений о нежелательных реакциях осуществляется таким же образом, как и другие медицинские записи, включая соблюдение требований по обеспечению конфиденциальности в отношении идентифицируемости пациентов и репортеров, и в соответствии с требованиями законодательства о неприкосновенности данных. Не разглашаются идентифицируемые персональные сведения о специалистах (репортерах) системы здравоохранения, составляющих отчеты.</w:t>
      </w:r>
    </w:p>
    <w:bookmarkEnd w:id="7371"/>
    <w:bookmarkStart w:name="z7542" w:id="7372"/>
    <w:p>
      <w:pPr>
        <w:spacing w:after="0"/>
        <w:ind w:left="0"/>
        <w:jc w:val="both"/>
      </w:pPr>
      <w:r>
        <w:rPr>
          <w:rFonts w:ascii="Times New Roman"/>
          <w:b w:val="false"/>
          <w:i w:val="false"/>
          <w:color w:val="000000"/>
          <w:sz w:val="28"/>
        </w:rPr>
        <w:t>
      244. Доступ к документам и базам данных предоставляется только уполномоченному персоналу с целью обеспечения сохранности и конфиденциальности данных по фармаконадзору. Требование по обеспечению безопасности данных распространяется на все этапы прохождения и обращения данных, а также на время их передачи.</w:t>
      </w:r>
    </w:p>
    <w:bookmarkEnd w:id="7372"/>
    <w:bookmarkStart w:name="z7543" w:id="7373"/>
    <w:p>
      <w:pPr>
        <w:spacing w:after="0"/>
        <w:ind w:left="0"/>
        <w:jc w:val="both"/>
      </w:pPr>
      <w:r>
        <w:rPr>
          <w:rFonts w:ascii="Times New Roman"/>
          <w:b w:val="false"/>
          <w:i w:val="false"/>
          <w:color w:val="000000"/>
          <w:sz w:val="28"/>
        </w:rPr>
        <w:t>
      245. В случае передачи данных фармаконадзора в пределах организации или между организациями, применяется такой механизм, при котором имеется подтверждение того, что все уведомления получены; обеспечен процесс подтверждения и (или) сверки. Информация по сообщению о случае развития нежелательной реакции передается только между заинтересованными лицами в анонимном формате.</w:t>
      </w:r>
    </w:p>
    <w:bookmarkEnd w:id="7373"/>
    <w:bookmarkStart w:name="z7544" w:id="7374"/>
    <w:p>
      <w:pPr>
        <w:spacing w:after="0"/>
        <w:ind w:left="0"/>
        <w:jc w:val="both"/>
      </w:pPr>
      <w:r>
        <w:rPr>
          <w:rFonts w:ascii="Times New Roman"/>
          <w:b w:val="false"/>
          <w:i w:val="false"/>
          <w:color w:val="000000"/>
          <w:sz w:val="28"/>
        </w:rPr>
        <w:t>
      246. Обеспечен "онлайн" доступ к данным в электронном формате.</w:t>
      </w:r>
    </w:p>
    <w:bookmarkEnd w:id="7374"/>
    <w:bookmarkStart w:name="z7545" w:id="7375"/>
    <w:p>
      <w:pPr>
        <w:spacing w:after="0"/>
        <w:ind w:left="0"/>
        <w:jc w:val="both"/>
      </w:pPr>
      <w:r>
        <w:rPr>
          <w:rFonts w:ascii="Times New Roman"/>
          <w:b w:val="false"/>
          <w:i w:val="false"/>
          <w:color w:val="000000"/>
          <w:sz w:val="28"/>
        </w:rPr>
        <w:t xml:space="preserve">
      247. Процедура использования терминологии мониторируется и валидируется с помощью систематического аудита или в виде периодической выборочной оценки системы обеспечения качества. Персонал обучается в части ввода данных по использованию терминологий. Квалификация персонала периодически подтверждается. Сообщения о нежелательных реакциях, полученные от первоисточника (репортера), обрабатываются непредвзято, без трансформации информации и вмешательства, а также во время ввода данных или передачи электронных данных исключены приписывания. Сообщения содержат дословный текст, используемый в первоисточнике, или его точный перевод. Исходный дословный текст кодируется с использованием соответствующей терминологии. </w:t>
      </w:r>
    </w:p>
    <w:bookmarkEnd w:id="7375"/>
    <w:bookmarkStart w:name="z7546" w:id="7376"/>
    <w:p>
      <w:pPr>
        <w:spacing w:after="0"/>
        <w:ind w:left="0"/>
        <w:jc w:val="both"/>
      </w:pPr>
      <w:r>
        <w:rPr>
          <w:rFonts w:ascii="Times New Roman"/>
          <w:b w:val="false"/>
          <w:i w:val="false"/>
          <w:color w:val="000000"/>
          <w:sz w:val="28"/>
        </w:rPr>
        <w:t>
      248. Хранение данных в электронном формате обеспечивает прослеживаемость ("аудиторский след") всех введенных или измененных данных, в том числе даты и источники полученных данных, а также даты и места, передачи данных.</w:t>
      </w:r>
    </w:p>
    <w:bookmarkEnd w:id="7376"/>
    <w:bookmarkStart w:name="z7547" w:id="7377"/>
    <w:p>
      <w:pPr>
        <w:spacing w:after="0"/>
        <w:ind w:left="0"/>
        <w:jc w:val="both"/>
      </w:pPr>
      <w:r>
        <w:rPr>
          <w:rFonts w:ascii="Times New Roman"/>
          <w:b w:val="false"/>
          <w:i w:val="false"/>
          <w:color w:val="000000"/>
          <w:sz w:val="28"/>
        </w:rPr>
        <w:t>
      249. Регулярно проверяется база данных для обнаружения и обработки дублирующих сообщений о нежелательных реакциях.</w:t>
      </w:r>
    </w:p>
    <w:bookmarkEnd w:id="7377"/>
    <w:bookmarkStart w:name="z7548" w:id="7378"/>
    <w:p>
      <w:pPr>
        <w:spacing w:after="0"/>
        <w:ind w:left="0"/>
        <w:jc w:val="left"/>
      </w:pPr>
      <w:r>
        <w:rPr>
          <w:rFonts w:ascii="Times New Roman"/>
          <w:b/>
          <w:i w:val="false"/>
          <w:color w:val="000000"/>
        </w:rPr>
        <w:t xml:space="preserve"> Параграф 5. Управление качеством</w:t>
      </w:r>
    </w:p>
    <w:bookmarkEnd w:id="7378"/>
    <w:bookmarkStart w:name="z7549" w:id="7379"/>
    <w:p>
      <w:pPr>
        <w:spacing w:after="0"/>
        <w:ind w:left="0"/>
        <w:jc w:val="both"/>
      </w:pPr>
      <w:r>
        <w:rPr>
          <w:rFonts w:ascii="Times New Roman"/>
          <w:b w:val="false"/>
          <w:i w:val="false"/>
          <w:color w:val="000000"/>
          <w:sz w:val="28"/>
        </w:rPr>
        <w:t>
      250. Уполномоченная организация и держатель регистрационного удостоверения имеет систему управления качеством для соответствия необходимым стандартам качества на каждой стадии обращения с сообщениями о нежелательных реакциях, как сбор, передача, управление данными, кодирование и архивирование данных, валидация случая, оценка случая, получение последующей информации и представление индивидуальных сообщений о нежелательных реакциях. Соответствие сохраненных данных исходным сообщениям и сообщениям, содержащим информацию о последующей оценке, проверяют с помощью процедур контроля качества, для валидации сопоставлением с исходными данными или их изображениями. Для чего обеспечен ограниченный доступ к данным первоисточника (в частности, письма, сообщения по электронной почте, записи телефонных разговоров, которые включают подробные сведения о реакциях) или изображению данных источника.</w:t>
      </w:r>
    </w:p>
    <w:bookmarkEnd w:id="7379"/>
    <w:bookmarkStart w:name="z7550" w:id="7380"/>
    <w:p>
      <w:pPr>
        <w:spacing w:after="0"/>
        <w:ind w:left="0"/>
        <w:jc w:val="both"/>
      </w:pPr>
      <w:r>
        <w:rPr>
          <w:rFonts w:ascii="Times New Roman"/>
          <w:b w:val="false"/>
          <w:i w:val="false"/>
          <w:color w:val="000000"/>
          <w:sz w:val="28"/>
        </w:rPr>
        <w:t>
      251. Письменные стандартные рабочие процедуры обеспечивают четкое распределение ролей и обязанностей, ясность поставленных задач для всех задействованных сторон. Разработано и внедрено положение о надлежащем контроле и изменение системы. Требование распространяется на деятельность, на которую заключен контракт с третьими сторонами. Процедуры третьих сторон проверяются на соответствие применяемым требованиям.</w:t>
      </w:r>
    </w:p>
    <w:bookmarkEnd w:id="7380"/>
    <w:bookmarkStart w:name="z7551" w:id="7381"/>
    <w:p>
      <w:pPr>
        <w:spacing w:after="0"/>
        <w:ind w:left="0"/>
        <w:jc w:val="both"/>
      </w:pPr>
      <w:r>
        <w:rPr>
          <w:rFonts w:ascii="Times New Roman"/>
          <w:b w:val="false"/>
          <w:i w:val="false"/>
          <w:color w:val="000000"/>
          <w:sz w:val="28"/>
        </w:rPr>
        <w:t>
      252. Проводится соответствующее обучение персонала, непосредственно осуществляющего фармаконадзор, а также персонала других отделов, которые получают или обрабатывают сообщения по безопасности (в частности, отдел клинической разработки, продаж, медицинской информации, юридический, контроля качества). Обучение включает соответствующие разделы законодательства и руководств в сфере фармаконадзора, а также специальное обучение по осуществлению обработки отчетов.</w:t>
      </w:r>
    </w:p>
    <w:bookmarkEnd w:id="7381"/>
    <w:bookmarkStart w:name="z7552" w:id="7382"/>
    <w:p>
      <w:pPr>
        <w:spacing w:after="0"/>
        <w:ind w:left="0"/>
        <w:jc w:val="left"/>
      </w:pPr>
      <w:r>
        <w:rPr>
          <w:rFonts w:ascii="Times New Roman"/>
          <w:b/>
          <w:i w:val="false"/>
          <w:color w:val="000000"/>
        </w:rPr>
        <w:t xml:space="preserve"> Глава 35. Особые ситуации. Использование лекарственных препаратов во время беременности или кормления грудью</w:t>
      </w:r>
    </w:p>
    <w:bookmarkEnd w:id="7382"/>
    <w:bookmarkStart w:name="z7553" w:id="7383"/>
    <w:p>
      <w:pPr>
        <w:spacing w:after="0"/>
        <w:ind w:left="0"/>
        <w:jc w:val="left"/>
      </w:pPr>
      <w:r>
        <w:rPr>
          <w:rFonts w:ascii="Times New Roman"/>
          <w:b/>
          <w:i w:val="false"/>
          <w:color w:val="000000"/>
        </w:rPr>
        <w:t xml:space="preserve"> Параграф 1. Беременность</w:t>
      </w:r>
    </w:p>
    <w:bookmarkEnd w:id="7383"/>
    <w:bookmarkStart w:name="z7554" w:id="7384"/>
    <w:p>
      <w:pPr>
        <w:spacing w:after="0"/>
        <w:ind w:left="0"/>
        <w:jc w:val="both"/>
      </w:pPr>
      <w:r>
        <w:rPr>
          <w:rFonts w:ascii="Times New Roman"/>
          <w:b w:val="false"/>
          <w:i w:val="false"/>
          <w:color w:val="000000"/>
          <w:sz w:val="28"/>
        </w:rPr>
        <w:t>
      253. Проводится отслеживание случаев, в которых эмбрион или плод подвергались воздействию лекарственных средств (посредством воздействия на мать, либо передачи лекарственного средства через сперму после воздействия на отца) для сбора информации об исходе беременности и возможном влиянии на развитие ребенка. Принимается во внимание длительность периода полувыведения действующего вещества (или одного из его метаболитов) при оценке возможности воздействия на плод лекарственного препарата, в случае его приема до зачатия.</w:t>
      </w:r>
    </w:p>
    <w:bookmarkEnd w:id="7384"/>
    <w:bookmarkStart w:name="z7555" w:id="7385"/>
    <w:p>
      <w:pPr>
        <w:spacing w:after="0"/>
        <w:ind w:left="0"/>
        <w:jc w:val="both"/>
      </w:pPr>
      <w:r>
        <w:rPr>
          <w:rFonts w:ascii="Times New Roman"/>
          <w:b w:val="false"/>
          <w:i w:val="false"/>
          <w:color w:val="000000"/>
          <w:sz w:val="28"/>
        </w:rPr>
        <w:t>
      Обеспечивается наличие наиболее подробных сведений в сообщениях о воздействии лекарственных препаратов во время беременности с целью возможности выполнения оценки причинно-следственной связи. Для этих случаев разрабатываются и используются стандартные вопросники.</w:t>
      </w:r>
    </w:p>
    <w:bookmarkEnd w:id="7385"/>
    <w:bookmarkStart w:name="z7556" w:id="7386"/>
    <w:p>
      <w:pPr>
        <w:spacing w:after="0"/>
        <w:ind w:left="0"/>
        <w:jc w:val="both"/>
      </w:pPr>
      <w:r>
        <w:rPr>
          <w:rFonts w:ascii="Times New Roman"/>
          <w:b w:val="false"/>
          <w:i w:val="false"/>
          <w:color w:val="000000"/>
          <w:sz w:val="28"/>
        </w:rPr>
        <w:t>
      Отдельные случаи с нежелательным исходом, связанные с приемом лекарственных препаратов во время беременности, классифицируются как серьезные нежелательные реакции и подлежат срочному репортированию в соответствии с требованиями законодательства.</w:t>
      </w:r>
    </w:p>
    <w:bookmarkEnd w:id="7386"/>
    <w:bookmarkStart w:name="z7557" w:id="7387"/>
    <w:p>
      <w:pPr>
        <w:spacing w:after="0"/>
        <w:ind w:left="0"/>
        <w:jc w:val="both"/>
      </w:pPr>
      <w:r>
        <w:rPr>
          <w:rFonts w:ascii="Times New Roman"/>
          <w:b w:val="false"/>
          <w:i w:val="false"/>
          <w:color w:val="000000"/>
          <w:sz w:val="28"/>
        </w:rPr>
        <w:t>
      Это, в особенности, относится к следующим случаям:</w:t>
      </w:r>
    </w:p>
    <w:bookmarkEnd w:id="7387"/>
    <w:bookmarkStart w:name="z7558" w:id="7388"/>
    <w:p>
      <w:pPr>
        <w:spacing w:after="0"/>
        <w:ind w:left="0"/>
        <w:jc w:val="both"/>
      </w:pPr>
      <w:r>
        <w:rPr>
          <w:rFonts w:ascii="Times New Roman"/>
          <w:b w:val="false"/>
          <w:i w:val="false"/>
          <w:color w:val="000000"/>
          <w:sz w:val="28"/>
        </w:rPr>
        <w:t>
      1) сообщения о врожденных аномалиях или отставании в развитии плода или ребенка;</w:t>
      </w:r>
    </w:p>
    <w:bookmarkEnd w:id="7388"/>
    <w:bookmarkStart w:name="z7559" w:id="7389"/>
    <w:p>
      <w:pPr>
        <w:spacing w:after="0"/>
        <w:ind w:left="0"/>
        <w:jc w:val="both"/>
      </w:pPr>
      <w:r>
        <w:rPr>
          <w:rFonts w:ascii="Times New Roman"/>
          <w:b w:val="false"/>
          <w:i w:val="false"/>
          <w:color w:val="000000"/>
          <w:sz w:val="28"/>
        </w:rPr>
        <w:t>
      2) сообщения о смерти плода и самопроизвольном аборте;</w:t>
      </w:r>
    </w:p>
    <w:bookmarkEnd w:id="7389"/>
    <w:bookmarkStart w:name="z7560" w:id="7390"/>
    <w:p>
      <w:pPr>
        <w:spacing w:after="0"/>
        <w:ind w:left="0"/>
        <w:jc w:val="both"/>
      </w:pPr>
      <w:r>
        <w:rPr>
          <w:rFonts w:ascii="Times New Roman"/>
          <w:b w:val="false"/>
          <w:i w:val="false"/>
          <w:color w:val="000000"/>
          <w:sz w:val="28"/>
        </w:rPr>
        <w:t>
      3) сообщения о подозреваемых нежелательных реакциях у новорожденного, которые классифицируются как серьезные.</w:t>
      </w:r>
    </w:p>
    <w:bookmarkEnd w:id="7390"/>
    <w:bookmarkStart w:name="z7561" w:id="7391"/>
    <w:p>
      <w:pPr>
        <w:spacing w:after="0"/>
        <w:ind w:left="0"/>
        <w:jc w:val="both"/>
      </w:pPr>
      <w:r>
        <w:rPr>
          <w:rFonts w:ascii="Times New Roman"/>
          <w:b w:val="false"/>
          <w:i w:val="false"/>
          <w:color w:val="000000"/>
          <w:sz w:val="28"/>
        </w:rPr>
        <w:t>
      Не подлежат срочному репортированию иные случаи, такие как сообщения о прерывании беременности без информации о врожденном пороке развития, сообщения о воздействии на беременность без данных об исходе или сообщения, в которых имеется нормальный исход без подозреваемой нежелательной реакции. Данные сообщения обрабатываются, как и другие сообщения о нежелательных реакциях на лекарственный препарат.</w:t>
      </w:r>
    </w:p>
    <w:bookmarkEnd w:id="7391"/>
    <w:bookmarkStart w:name="z7562" w:id="7392"/>
    <w:p>
      <w:pPr>
        <w:spacing w:after="0"/>
        <w:ind w:left="0"/>
        <w:jc w:val="both"/>
      </w:pPr>
      <w:r>
        <w:rPr>
          <w:rFonts w:ascii="Times New Roman"/>
          <w:b w:val="false"/>
          <w:i w:val="false"/>
          <w:color w:val="000000"/>
          <w:sz w:val="28"/>
        </w:rPr>
        <w:t>
      В определенных случаях все сообщения о воздействии лекарственного препарата в период беременности подлежат срочному репортированию. Данное требование или условие включается в ПУР и обусловлено наличием противопоказаний по применению во время беременности или выраженной тератогенностью лекарственного препарата и необходимостью обязательного тщательного последующего мониторинга (в частности, в отношении талидомида, изотретиноина).</w:t>
      </w:r>
    </w:p>
    <w:bookmarkEnd w:id="7392"/>
    <w:bookmarkStart w:name="z7563" w:id="7393"/>
    <w:p>
      <w:pPr>
        <w:spacing w:after="0"/>
        <w:ind w:left="0"/>
        <w:jc w:val="both"/>
      </w:pPr>
      <w:r>
        <w:rPr>
          <w:rFonts w:ascii="Times New Roman"/>
          <w:b w:val="false"/>
          <w:i w:val="false"/>
          <w:color w:val="000000"/>
          <w:sz w:val="28"/>
        </w:rPr>
        <w:t>
      При выявлении сигнала о возможном тератогенном эффекте (в частности, группа сходных аномальных исходов) незамедлительно уведомляют уполномоченный орган и уполномоченную организацию.</w:t>
      </w:r>
    </w:p>
    <w:bookmarkEnd w:id="7393"/>
    <w:bookmarkStart w:name="z7564" w:id="7394"/>
    <w:p>
      <w:pPr>
        <w:spacing w:after="0"/>
        <w:ind w:left="0"/>
        <w:jc w:val="left"/>
      </w:pPr>
      <w:r>
        <w:rPr>
          <w:rFonts w:ascii="Times New Roman"/>
          <w:b/>
          <w:i w:val="false"/>
          <w:color w:val="000000"/>
        </w:rPr>
        <w:t xml:space="preserve"> Параграф 2. Кормление грудью</w:t>
      </w:r>
    </w:p>
    <w:bookmarkEnd w:id="7394"/>
    <w:bookmarkStart w:name="z7565" w:id="7395"/>
    <w:p>
      <w:pPr>
        <w:spacing w:after="0"/>
        <w:ind w:left="0"/>
        <w:jc w:val="both"/>
      </w:pPr>
      <w:r>
        <w:rPr>
          <w:rFonts w:ascii="Times New Roman"/>
          <w:b w:val="false"/>
          <w:i w:val="false"/>
          <w:color w:val="000000"/>
          <w:sz w:val="28"/>
        </w:rPr>
        <w:t>
      254. Подлежат сообщению подозреваемые нежелательные реакции, возникшие у младенцев после воздействия лекарственного средства при его проникновении в грудное молоко.</w:t>
      </w:r>
    </w:p>
    <w:bookmarkEnd w:id="7395"/>
    <w:bookmarkStart w:name="z7566" w:id="7396"/>
    <w:p>
      <w:pPr>
        <w:spacing w:after="0"/>
        <w:ind w:left="0"/>
        <w:jc w:val="left"/>
      </w:pPr>
      <w:r>
        <w:rPr>
          <w:rFonts w:ascii="Times New Roman"/>
          <w:b/>
          <w:i w:val="false"/>
          <w:color w:val="000000"/>
        </w:rPr>
        <w:t xml:space="preserve"> Параграф 3. Использование лекарственного препарата в педиатрии и для пожилых людей</w:t>
      </w:r>
    </w:p>
    <w:bookmarkEnd w:id="7396"/>
    <w:bookmarkStart w:name="z7567" w:id="7397"/>
    <w:p>
      <w:pPr>
        <w:spacing w:after="0"/>
        <w:ind w:left="0"/>
        <w:jc w:val="both"/>
      </w:pPr>
      <w:r>
        <w:rPr>
          <w:rFonts w:ascii="Times New Roman"/>
          <w:b w:val="false"/>
          <w:i w:val="false"/>
          <w:color w:val="000000"/>
          <w:sz w:val="28"/>
        </w:rPr>
        <w:t>
      255. В случае получения сообщения от специалиста системы здравоохранения, пациента или потребителя прилагаются все возможные усилия для получения информации о возрасте или возрастной группе пациента, для установления потенциальных сигналов безопасности, характерные для определенной группы населения.</w:t>
      </w:r>
    </w:p>
    <w:bookmarkEnd w:id="7397"/>
    <w:bookmarkStart w:name="z7568" w:id="7398"/>
    <w:p>
      <w:pPr>
        <w:spacing w:after="0"/>
        <w:ind w:left="0"/>
        <w:jc w:val="both"/>
      </w:pPr>
      <w:r>
        <w:rPr>
          <w:rFonts w:ascii="Times New Roman"/>
          <w:b w:val="false"/>
          <w:i w:val="false"/>
          <w:color w:val="000000"/>
          <w:sz w:val="28"/>
        </w:rPr>
        <w:t>
      Уполномоченная организация и держатель регистрационного удостоверения осуществляют мониторинг каких-либо последующих проблем по безопасности и принимают соответствующие меры по работе с ними в случае применение лекарственного препарата среди групп пациентов, не включенных в утвержденную инструкцию по медицинскому применению. Держатель регистрационного удостоверения и уполномоченная организация мотивируют составление и представление сообщений обо всех подозреваемых нежелательных реакциях в случаях применения среди групп населения, не включенных в инструкцию по медицинскому применению.</w:t>
      </w:r>
    </w:p>
    <w:bookmarkEnd w:id="7398"/>
    <w:bookmarkStart w:name="z7569" w:id="7399"/>
    <w:p>
      <w:pPr>
        <w:spacing w:after="0"/>
        <w:ind w:left="0"/>
        <w:jc w:val="left"/>
      </w:pPr>
      <w:r>
        <w:rPr>
          <w:rFonts w:ascii="Times New Roman"/>
          <w:b/>
          <w:i w:val="false"/>
          <w:color w:val="000000"/>
        </w:rPr>
        <w:t xml:space="preserve"> Параграф 4. Сообщения о передозировке, злоупотреблении, неправильном применении, медицинских ошибках или воздействии, связанном с профессиональной деятельностью.</w:t>
      </w:r>
    </w:p>
    <w:bookmarkEnd w:id="7399"/>
    <w:bookmarkStart w:name="z7570" w:id="7400"/>
    <w:p>
      <w:pPr>
        <w:spacing w:after="0"/>
        <w:ind w:left="0"/>
        <w:jc w:val="both"/>
      </w:pPr>
      <w:r>
        <w:rPr>
          <w:rFonts w:ascii="Times New Roman"/>
          <w:b w:val="false"/>
          <w:i w:val="false"/>
          <w:color w:val="000000"/>
          <w:sz w:val="28"/>
        </w:rPr>
        <w:t>
      256. В случае если передозировка, злоупотребление, неправильное применение, медицинская ошибка, воздействие, связанное с профессиональной деятельностью, не привели к развитию нежелательной реакции, они не подлежат процедуре срочного репортирования. Эти данные учитываются в соответствующем ПОБ и ПУР, если это применимо. В случае если сообщения содержат данные по безопасности, влияющие на соотношение польза-риск лекарственного препарата, в этом случае уполномоченные органы уведомляются в соответствии с требованиями законодательства.</w:t>
      </w:r>
    </w:p>
    <w:bookmarkEnd w:id="7400"/>
    <w:bookmarkStart w:name="z7571" w:id="7401"/>
    <w:p>
      <w:pPr>
        <w:spacing w:after="0"/>
        <w:ind w:left="0"/>
        <w:jc w:val="left"/>
      </w:pPr>
      <w:r>
        <w:rPr>
          <w:rFonts w:ascii="Times New Roman"/>
          <w:b/>
          <w:i w:val="false"/>
          <w:color w:val="000000"/>
        </w:rPr>
        <w:t xml:space="preserve"> Параграф 5. Отсутствие терапевтической эффективности</w:t>
      </w:r>
    </w:p>
    <w:bookmarkEnd w:id="7401"/>
    <w:bookmarkStart w:name="z7572" w:id="7402"/>
    <w:p>
      <w:pPr>
        <w:spacing w:after="0"/>
        <w:ind w:left="0"/>
        <w:jc w:val="both"/>
      </w:pPr>
      <w:r>
        <w:rPr>
          <w:rFonts w:ascii="Times New Roman"/>
          <w:b w:val="false"/>
          <w:i w:val="false"/>
          <w:color w:val="000000"/>
          <w:sz w:val="28"/>
        </w:rPr>
        <w:t>
      257. Регистрируются сообщения об отсутствии терапевтической эффективности и выполняется последующая работа по обеспечению полноты информации. Данные сообщения не подлежат срочному репортированию и учитываются в ПОБ. В следующих случаях требуется представление сообщений об отсутствии терапевтической эффективности в течение 15-дневного срока: отсутствие терапевтической эффективности при применении лекарственного препарата для лечения заболеваний, представляющих угрозу жизни (включая угрожающие жизни инфекционные заболевания, вызванные чувствительными микроорганизмами, либо развитием нового устойчивого штамма бактерии, ранее считавшегося восприимчивыми), а также в случае, если подозреваемыми лекарственными препаратами являются вакцины и контрацептивы.</w:t>
      </w:r>
    </w:p>
    <w:bookmarkEnd w:id="7402"/>
    <w:bookmarkStart w:name="z7573" w:id="7403"/>
    <w:p>
      <w:pPr>
        <w:spacing w:after="0"/>
        <w:ind w:left="0"/>
        <w:jc w:val="both"/>
      </w:pPr>
      <w:r>
        <w:rPr>
          <w:rFonts w:ascii="Times New Roman"/>
          <w:b w:val="false"/>
          <w:i w:val="false"/>
          <w:color w:val="000000"/>
          <w:sz w:val="28"/>
        </w:rPr>
        <w:t>
      В отношении вакцин сообщаются случаи отсутствия эффективности, в частности, для выделения потенциальных сигналов о сниженной иммуногенности в подгруппе вакцин, сниженном иммунитете или замещении штамма. Такие сигналы требуют оперативных действий и дальнейшего изучения в пострегистрационных исследованиях безопасности.</w:t>
      </w:r>
    </w:p>
    <w:bookmarkEnd w:id="7403"/>
    <w:bookmarkStart w:name="z7574" w:id="7404"/>
    <w:p>
      <w:pPr>
        <w:spacing w:after="0"/>
        <w:ind w:left="0"/>
        <w:jc w:val="left"/>
      </w:pPr>
      <w:r>
        <w:rPr>
          <w:rFonts w:ascii="Times New Roman"/>
          <w:b/>
          <w:i w:val="false"/>
          <w:color w:val="000000"/>
        </w:rPr>
        <w:t xml:space="preserve"> Параграф 6. Срочное репортирование индивидуальных сообщений о нежелательных реакциях и иной информации по безопасности лекарственного препарата</w:t>
      </w:r>
    </w:p>
    <w:bookmarkEnd w:id="7404"/>
    <w:bookmarkStart w:name="z7575" w:id="7405"/>
    <w:p>
      <w:pPr>
        <w:spacing w:after="0"/>
        <w:ind w:left="0"/>
        <w:jc w:val="both"/>
      </w:pPr>
      <w:r>
        <w:rPr>
          <w:rFonts w:ascii="Times New Roman"/>
          <w:b w:val="false"/>
          <w:i w:val="false"/>
          <w:color w:val="000000"/>
          <w:sz w:val="28"/>
        </w:rPr>
        <w:t>
      258. Представлению в уполномоченную организацию подлежат только сообщения о нежелательных реакциях, прошедшие валидацию. Отсчет времени для срочного репортирования сообщений начинается с того момента, как только информация, содержащая минимальные критерии для представления сообщения, стала доступна держателю регистрационного удостоверения, включая медицинских представителей и подрядчиков. Эта дата считается датой начала отсчета ("день ноль").</w:t>
      </w:r>
    </w:p>
    <w:bookmarkEnd w:id="7405"/>
    <w:bookmarkStart w:name="z7576" w:id="7406"/>
    <w:p>
      <w:pPr>
        <w:spacing w:after="0"/>
        <w:ind w:left="0"/>
        <w:jc w:val="both"/>
      </w:pPr>
      <w:r>
        <w:rPr>
          <w:rFonts w:ascii="Times New Roman"/>
          <w:b w:val="false"/>
          <w:i w:val="false"/>
          <w:color w:val="000000"/>
          <w:sz w:val="28"/>
        </w:rPr>
        <w:t>
      В тех случаях, когда держатель регистрационного удостоверения установил контрактные договоренности с лицом или организацией, существуют точные процедуры и подробные соглашения между держателем регистрационного удостоверения и лицом (организацией), для обеспечения выполнения держателем регистрационного удостоверения обязательств по представлению сообщений о нежелательных реакциях. Данные процедуры определяют, в частности, процессы обмена информацией о безопасности, в том числе временные шкалы и обязанности по представлению сообщений о нежелательных реакциях в уполномоченные органы. Избегают дублирования представления сообщений в уполномоченные органы.</w:t>
      </w:r>
    </w:p>
    <w:bookmarkEnd w:id="7406"/>
    <w:bookmarkStart w:name="z7577" w:id="7407"/>
    <w:p>
      <w:pPr>
        <w:spacing w:after="0"/>
        <w:ind w:left="0"/>
        <w:jc w:val="both"/>
      </w:pPr>
      <w:r>
        <w:rPr>
          <w:rFonts w:ascii="Times New Roman"/>
          <w:b w:val="false"/>
          <w:i w:val="false"/>
          <w:color w:val="000000"/>
          <w:sz w:val="28"/>
        </w:rPr>
        <w:t xml:space="preserve">
      В отношении индивидуальных сообщений о нежелательных реакциях, описанных в научно-медицинской литературе, отсчет времени ("день ноль") начинается от даты осведомленности о публикации, содержащей минимальную информацию. Существуют подробные соглашения для гарантирования того, что держатель регистрационного удостоверения выполняет требования законодательства по репортированию, в случае наличия контрактных договоренностей с лицом (организацией) по выполнению поисков информации в литературе и (или) по составлению сообщений о нежелательных реакциях. </w:t>
      </w:r>
    </w:p>
    <w:bookmarkEnd w:id="7407"/>
    <w:bookmarkStart w:name="z7578" w:id="7408"/>
    <w:p>
      <w:pPr>
        <w:spacing w:after="0"/>
        <w:ind w:left="0"/>
        <w:jc w:val="both"/>
      </w:pPr>
      <w:r>
        <w:rPr>
          <w:rFonts w:ascii="Times New Roman"/>
          <w:b w:val="false"/>
          <w:i w:val="false"/>
          <w:color w:val="000000"/>
          <w:sz w:val="28"/>
        </w:rPr>
        <w:t xml:space="preserve">
      Если получена дополнительная важная информация в отношении ранее представленного сообщения о нежелательной реакции, отсчет времени для составления последующего сообщения начинается от даты получения дополнительной информации. Важная последующая информация, подлежащая составлению сообщения - новая медицинская или административная информация, которая оказывает влияние на оценку или управление случаем, или которая изменится ее критерии тяжести. Несущественная информация включает обновленные комментарии по оценке случаев или исправления типографических ошибок предыдущих версий. </w:t>
      </w:r>
    </w:p>
    <w:bookmarkEnd w:id="7408"/>
    <w:bookmarkStart w:name="z7579" w:id="7409"/>
    <w:p>
      <w:pPr>
        <w:spacing w:after="0"/>
        <w:ind w:left="0"/>
        <w:jc w:val="left"/>
      </w:pPr>
      <w:r>
        <w:rPr>
          <w:rFonts w:ascii="Times New Roman"/>
          <w:b/>
          <w:i w:val="false"/>
          <w:color w:val="000000"/>
        </w:rPr>
        <w:t xml:space="preserve"> Параграф 7. Требования по срочному репортированию сообщений о нежелательных реакциях</w:t>
      </w:r>
    </w:p>
    <w:bookmarkEnd w:id="7409"/>
    <w:bookmarkStart w:name="z7580" w:id="7410"/>
    <w:p>
      <w:pPr>
        <w:spacing w:after="0"/>
        <w:ind w:left="0"/>
        <w:jc w:val="both"/>
      </w:pPr>
      <w:r>
        <w:rPr>
          <w:rFonts w:ascii="Times New Roman"/>
          <w:b w:val="false"/>
          <w:i w:val="false"/>
          <w:color w:val="000000"/>
          <w:sz w:val="28"/>
        </w:rPr>
        <w:t>
      259. Держатель регистрационного удостоверения в срок до 15 календарных дней от даты получения самостоятельно или уполномоченным представителем минимальной требуемой информации (Параграф 6) представляет в уполномоченную организацию:</w:t>
      </w:r>
    </w:p>
    <w:bookmarkEnd w:id="7410"/>
    <w:bookmarkStart w:name="z7581" w:id="7411"/>
    <w:p>
      <w:pPr>
        <w:spacing w:after="0"/>
        <w:ind w:left="0"/>
        <w:jc w:val="both"/>
      </w:pPr>
      <w:r>
        <w:rPr>
          <w:rFonts w:ascii="Times New Roman"/>
          <w:b w:val="false"/>
          <w:i w:val="false"/>
          <w:color w:val="000000"/>
          <w:sz w:val="28"/>
        </w:rPr>
        <w:t xml:space="preserve">
      1) сообщение о серьезной нежелательной реакции на лекарственный препарат, выявленной на территории Республики Казахстан; </w:t>
      </w:r>
    </w:p>
    <w:bookmarkEnd w:id="7411"/>
    <w:bookmarkStart w:name="z7582" w:id="7412"/>
    <w:p>
      <w:pPr>
        <w:spacing w:after="0"/>
        <w:ind w:left="0"/>
        <w:jc w:val="both"/>
      </w:pPr>
      <w:r>
        <w:rPr>
          <w:rFonts w:ascii="Times New Roman"/>
          <w:b w:val="false"/>
          <w:i w:val="false"/>
          <w:color w:val="000000"/>
          <w:sz w:val="28"/>
        </w:rPr>
        <w:t xml:space="preserve">
      2) сообщение о серьезной непредвиденной нежелательной реакции на лекарственный препарат, выявленной на территории иных стран. </w:t>
      </w:r>
    </w:p>
    <w:bookmarkEnd w:id="7412"/>
    <w:bookmarkStart w:name="z7583" w:id="7413"/>
    <w:p>
      <w:pPr>
        <w:spacing w:after="0"/>
        <w:ind w:left="0"/>
        <w:jc w:val="both"/>
      </w:pPr>
      <w:r>
        <w:rPr>
          <w:rFonts w:ascii="Times New Roman"/>
          <w:b w:val="false"/>
          <w:i w:val="false"/>
          <w:color w:val="000000"/>
          <w:sz w:val="28"/>
        </w:rPr>
        <w:t xml:space="preserve">
      Установленный срок репортирования применяется к первичной и к последующей информации о нежелательной реакции на лекарственных препарат. </w:t>
      </w:r>
    </w:p>
    <w:bookmarkEnd w:id="7413"/>
    <w:bookmarkStart w:name="z7584" w:id="7414"/>
    <w:p>
      <w:pPr>
        <w:spacing w:after="0"/>
        <w:ind w:left="0"/>
        <w:jc w:val="both"/>
      </w:pPr>
      <w:r>
        <w:rPr>
          <w:rFonts w:ascii="Times New Roman"/>
          <w:b w:val="false"/>
          <w:i w:val="false"/>
          <w:color w:val="000000"/>
          <w:sz w:val="28"/>
        </w:rPr>
        <w:t>
      В случае переведения нежелательной реакции из категории серьезной нежелательной реакции в несерьезную нежелательную реакцию, данная информация представляется в уполномоченный орган в срок не более 15 календарных дней.</w:t>
      </w:r>
    </w:p>
    <w:bookmarkEnd w:id="7414"/>
    <w:bookmarkStart w:name="z7585" w:id="7415"/>
    <w:p>
      <w:pPr>
        <w:spacing w:after="0"/>
        <w:ind w:left="0"/>
        <w:jc w:val="both"/>
      </w:pPr>
      <w:r>
        <w:rPr>
          <w:rFonts w:ascii="Times New Roman"/>
          <w:b w:val="false"/>
          <w:i w:val="false"/>
          <w:color w:val="000000"/>
          <w:sz w:val="28"/>
        </w:rPr>
        <w:t xml:space="preserve">
      260. Держатель регистрационного удостоверения представлять индивидуальные сообщения о нежелательных реакциях в уполномоченную организацию в электронном формате. Формат индивидуальных сообщений о нежелательных реакциях соответствует руководству Международной конференции по гармонизации "Управление данными по клинической безопасности-элементы данных для передачи сообщений об индивидуальных случаях нежелательных реакций" E2B. При составлении сообщении о нежелательных реакциях руководствуются действующей версии Медицинского словаря терминологии MedDRA Международной конференции по гармонизации (ICH). </w:t>
      </w:r>
    </w:p>
    <w:bookmarkEnd w:id="7415"/>
    <w:bookmarkStart w:name="z7586" w:id="7416"/>
    <w:p>
      <w:pPr>
        <w:spacing w:after="0"/>
        <w:ind w:left="0"/>
        <w:jc w:val="left"/>
      </w:pPr>
      <w:r>
        <w:rPr>
          <w:rFonts w:ascii="Times New Roman"/>
          <w:b/>
          <w:i w:val="false"/>
          <w:color w:val="000000"/>
        </w:rPr>
        <w:t xml:space="preserve"> Параграф 8. Требования по срочному репортированию иной информации по безопасности лекарственных препаратов</w:t>
      </w:r>
    </w:p>
    <w:bookmarkEnd w:id="7416"/>
    <w:bookmarkStart w:name="z7587" w:id="7417"/>
    <w:p>
      <w:pPr>
        <w:spacing w:after="0"/>
        <w:ind w:left="0"/>
        <w:jc w:val="both"/>
      </w:pPr>
      <w:r>
        <w:rPr>
          <w:rFonts w:ascii="Times New Roman"/>
          <w:b w:val="false"/>
          <w:i w:val="false"/>
          <w:color w:val="000000"/>
          <w:sz w:val="28"/>
        </w:rPr>
        <w:t>
      261. Срочному представлению в срок до 15 календарных дней подлежит следующая важная информация по безопасности, которая свидетельствует об изменениях в соотношении польза-риск лекарственного препарата:</w:t>
      </w:r>
    </w:p>
    <w:bookmarkEnd w:id="7417"/>
    <w:bookmarkStart w:name="z7588" w:id="7418"/>
    <w:p>
      <w:pPr>
        <w:spacing w:after="0"/>
        <w:ind w:left="0"/>
        <w:jc w:val="both"/>
      </w:pPr>
      <w:r>
        <w:rPr>
          <w:rFonts w:ascii="Times New Roman"/>
          <w:b w:val="false"/>
          <w:i w:val="false"/>
          <w:color w:val="000000"/>
          <w:sz w:val="28"/>
        </w:rPr>
        <w:t>
      1) превышение ожидаемой частоты серьезных нежелательных реакций, которое оказывает влияние на соотношение польза-риск лекарственного препарата;</w:t>
      </w:r>
    </w:p>
    <w:bookmarkEnd w:id="7418"/>
    <w:bookmarkStart w:name="z7589" w:id="7419"/>
    <w:p>
      <w:pPr>
        <w:spacing w:after="0"/>
        <w:ind w:left="0"/>
        <w:jc w:val="both"/>
      </w:pPr>
      <w:r>
        <w:rPr>
          <w:rFonts w:ascii="Times New Roman"/>
          <w:b w:val="false"/>
          <w:i w:val="false"/>
          <w:color w:val="000000"/>
          <w:sz w:val="28"/>
        </w:rPr>
        <w:t>
      2) ограничения в распространении лекарственного препарата, отзыв, непродление, аннулирование или приостановка действия регистрационных удостоверений на территории других стран по причинам, связанным с безопасностью и эффективностью лекарственного препарата, инициированные уполномоченными органами или держателями регистрационных удостоверений данного лекарственного препарата;</w:t>
      </w:r>
    </w:p>
    <w:bookmarkEnd w:id="7419"/>
    <w:bookmarkStart w:name="z7590" w:id="7420"/>
    <w:p>
      <w:pPr>
        <w:spacing w:after="0"/>
        <w:ind w:left="0"/>
        <w:jc w:val="both"/>
      </w:pPr>
      <w:r>
        <w:rPr>
          <w:rFonts w:ascii="Times New Roman"/>
          <w:b w:val="false"/>
          <w:i w:val="false"/>
          <w:color w:val="000000"/>
          <w:sz w:val="28"/>
        </w:rPr>
        <w:t>
      3) внесение существенных изменений в рекомендации по медицинскому применению на территории других стран по причинам, связанным с безопасностью лекарственного препарата;</w:t>
      </w:r>
    </w:p>
    <w:bookmarkEnd w:id="7420"/>
    <w:bookmarkStart w:name="z7591" w:id="7421"/>
    <w:p>
      <w:pPr>
        <w:spacing w:after="0"/>
        <w:ind w:left="0"/>
        <w:jc w:val="both"/>
      </w:pPr>
      <w:r>
        <w:rPr>
          <w:rFonts w:ascii="Times New Roman"/>
          <w:b w:val="false"/>
          <w:i w:val="false"/>
          <w:color w:val="000000"/>
          <w:sz w:val="28"/>
        </w:rPr>
        <w:t>
      4) проблема по безопасности, выявленная в ходе неинтервенционного пострегистрационного исследования, клинического исследования или доклинического исследования;</w:t>
      </w:r>
    </w:p>
    <w:bookmarkEnd w:id="7421"/>
    <w:bookmarkStart w:name="z7592" w:id="7422"/>
    <w:p>
      <w:pPr>
        <w:spacing w:after="0"/>
        <w:ind w:left="0"/>
        <w:jc w:val="both"/>
      </w:pPr>
      <w:r>
        <w:rPr>
          <w:rFonts w:ascii="Times New Roman"/>
          <w:b w:val="false"/>
          <w:i w:val="false"/>
          <w:color w:val="000000"/>
          <w:sz w:val="28"/>
        </w:rPr>
        <w:t>
      5) данные по безопасности, установленные в результате деятельности по выявлению сигнала, которые оказывают влияние на соотношение польза-риск;</w:t>
      </w:r>
    </w:p>
    <w:bookmarkEnd w:id="7422"/>
    <w:bookmarkStart w:name="z7593" w:id="7423"/>
    <w:p>
      <w:pPr>
        <w:spacing w:after="0"/>
        <w:ind w:left="0"/>
        <w:jc w:val="both"/>
      </w:pPr>
      <w:r>
        <w:rPr>
          <w:rFonts w:ascii="Times New Roman"/>
          <w:b w:val="false"/>
          <w:i w:val="false"/>
          <w:color w:val="000000"/>
          <w:sz w:val="28"/>
        </w:rPr>
        <w:t>
      6) проблемы по безопасности, связанные с применением лекарственного препарата не в соответствии с утвержденной инструкцией по медицинскому применению;</w:t>
      </w:r>
    </w:p>
    <w:bookmarkEnd w:id="7423"/>
    <w:bookmarkStart w:name="z7594" w:id="7424"/>
    <w:p>
      <w:pPr>
        <w:spacing w:after="0"/>
        <w:ind w:left="0"/>
        <w:jc w:val="both"/>
      </w:pPr>
      <w:r>
        <w:rPr>
          <w:rFonts w:ascii="Times New Roman"/>
          <w:b w:val="false"/>
          <w:i w:val="false"/>
          <w:color w:val="000000"/>
          <w:sz w:val="28"/>
        </w:rPr>
        <w:t>
      7) проблемы по безопасности, связанные с ошибочной информацией в утвержденной инструкции по медицинскому применению или в маркировке лекарственного препарата;</w:t>
      </w:r>
    </w:p>
    <w:bookmarkEnd w:id="7424"/>
    <w:bookmarkStart w:name="z7595" w:id="7425"/>
    <w:p>
      <w:pPr>
        <w:spacing w:after="0"/>
        <w:ind w:left="0"/>
        <w:jc w:val="both"/>
      </w:pPr>
      <w:r>
        <w:rPr>
          <w:rFonts w:ascii="Times New Roman"/>
          <w:b w:val="false"/>
          <w:i w:val="false"/>
          <w:color w:val="000000"/>
          <w:sz w:val="28"/>
        </w:rPr>
        <w:t>
      8) недостаточная эффективность (или ее отсутствие) лекарственных препаратов, применяемых при патологии, представляющей угрозу для жизни, а также вакцин и контрацептивных средств;</w:t>
      </w:r>
    </w:p>
    <w:bookmarkEnd w:id="7425"/>
    <w:bookmarkStart w:name="z7596" w:id="7426"/>
    <w:p>
      <w:pPr>
        <w:spacing w:after="0"/>
        <w:ind w:left="0"/>
        <w:jc w:val="both"/>
      </w:pPr>
      <w:r>
        <w:rPr>
          <w:rFonts w:ascii="Times New Roman"/>
          <w:b w:val="false"/>
          <w:i w:val="false"/>
          <w:color w:val="000000"/>
          <w:sz w:val="28"/>
        </w:rPr>
        <w:t>
      9) проблемы по безопасности, обусловленные поставками сырья.</w:t>
      </w:r>
    </w:p>
    <w:bookmarkEnd w:id="7426"/>
    <w:bookmarkStart w:name="z7597" w:id="7427"/>
    <w:p>
      <w:pPr>
        <w:spacing w:after="0"/>
        <w:ind w:left="0"/>
        <w:jc w:val="both"/>
      </w:pPr>
      <w:r>
        <w:rPr>
          <w:rFonts w:ascii="Times New Roman"/>
          <w:b w:val="false"/>
          <w:i w:val="false"/>
          <w:color w:val="000000"/>
          <w:sz w:val="28"/>
        </w:rPr>
        <w:t>
      Данная информация по безопасности представляется в уполномоченный орган в письменном виде. Представление вышеуказанной информации по безопасности или эффективности лекарственного препарата осуществляется незамедлительно, как только о ней становится известно держателю регистрационного удостоверения или его уполномоченному представителю. В представляемой информации описывают вышеуказанные данные по безопасности или эффективности и действия или меры, предлагаемые в отношении подозреваемого лекарственного препарата. Указанные аспекты профиля безопасности подлежат отражению и анализу в соответствующих разделах ПОБ лекарственного препарата.</w:t>
      </w:r>
    </w:p>
    <w:bookmarkEnd w:id="7427"/>
    <w:bookmarkStart w:name="z7598" w:id="7428"/>
    <w:p>
      <w:pPr>
        <w:spacing w:after="0"/>
        <w:ind w:left="0"/>
        <w:jc w:val="left"/>
      </w:pPr>
      <w:r>
        <w:rPr>
          <w:rFonts w:ascii="Times New Roman"/>
          <w:b/>
          <w:i w:val="false"/>
          <w:color w:val="000000"/>
        </w:rPr>
        <w:t xml:space="preserve"> Глава 36. Сбор сообщений о нежелательных реакциях</w:t>
      </w:r>
    </w:p>
    <w:bookmarkEnd w:id="7428"/>
    <w:bookmarkStart w:name="z7599" w:id="7429"/>
    <w:p>
      <w:pPr>
        <w:spacing w:after="0"/>
        <w:ind w:left="0"/>
        <w:jc w:val="left"/>
      </w:pPr>
      <w:r>
        <w:rPr>
          <w:rFonts w:ascii="Times New Roman"/>
          <w:b/>
          <w:i w:val="false"/>
          <w:color w:val="000000"/>
        </w:rPr>
        <w:t xml:space="preserve"> Параграф 1. Обязанности уполномоченной организации</w:t>
      </w:r>
    </w:p>
    <w:bookmarkEnd w:id="7429"/>
    <w:bookmarkStart w:name="z7600" w:id="7430"/>
    <w:p>
      <w:pPr>
        <w:spacing w:after="0"/>
        <w:ind w:left="0"/>
        <w:jc w:val="both"/>
      </w:pPr>
      <w:r>
        <w:rPr>
          <w:rFonts w:ascii="Times New Roman"/>
          <w:b w:val="false"/>
          <w:i w:val="false"/>
          <w:color w:val="000000"/>
          <w:sz w:val="28"/>
        </w:rPr>
        <w:t>
      262. Уполномоченная организация создает систему сбора и регистрации всех сообщений о подозреваемых нежелательных реакциях, выявленных на территории Республики Казахстан и на которые обращают внимание специалисты системы здравоохранения, пациенты или потребители, либо держатель регистрационного удостоверения.</w:t>
      </w:r>
    </w:p>
    <w:bookmarkEnd w:id="7430"/>
    <w:bookmarkStart w:name="z7601" w:id="7431"/>
    <w:p>
      <w:pPr>
        <w:spacing w:after="0"/>
        <w:ind w:left="0"/>
        <w:jc w:val="both"/>
      </w:pPr>
      <w:r>
        <w:rPr>
          <w:rFonts w:ascii="Times New Roman"/>
          <w:b w:val="false"/>
          <w:i w:val="false"/>
          <w:color w:val="000000"/>
          <w:sz w:val="28"/>
        </w:rPr>
        <w:t xml:space="preserve">
      Уполномоченный орган принимает все соответствующие меры для мотивирования специалистов системы здравоохранения на представление сообщений о подозреваемых нежелательных реакциях в уполномоченную организацию. </w:t>
      </w:r>
    </w:p>
    <w:bookmarkEnd w:id="7431"/>
    <w:bookmarkStart w:name="z7602" w:id="7432"/>
    <w:p>
      <w:pPr>
        <w:spacing w:after="0"/>
        <w:ind w:left="0"/>
        <w:jc w:val="both"/>
      </w:pPr>
      <w:r>
        <w:rPr>
          <w:rFonts w:ascii="Times New Roman"/>
          <w:b w:val="false"/>
          <w:i w:val="false"/>
          <w:color w:val="000000"/>
          <w:sz w:val="28"/>
        </w:rPr>
        <w:t>
      В целях оптимизации процедуры представления информации о нежелательных реакциях стандартные структурированные бланки на веб-основе широкодоступны на веб-порталах вместе с информацией о различных способах представления информации о подозреваемых нежелательных реакциях, связанных с применением лекарственных препаратов.</w:t>
      </w:r>
    </w:p>
    <w:bookmarkEnd w:id="7432"/>
    <w:bookmarkStart w:name="z7603" w:id="7433"/>
    <w:p>
      <w:pPr>
        <w:spacing w:after="0"/>
        <w:ind w:left="0"/>
        <w:jc w:val="both"/>
      </w:pPr>
      <w:r>
        <w:rPr>
          <w:rFonts w:ascii="Times New Roman"/>
          <w:b w:val="false"/>
          <w:i w:val="false"/>
          <w:color w:val="000000"/>
          <w:sz w:val="28"/>
        </w:rPr>
        <w:t xml:space="preserve">
      Уполномоченная организация обеспечивает включение в единую базу данных нежелательных реакций всех представленных и оцененных как валидные сообщений о серьезных нежелательных реакциях, выявленных на территории Республики Казахстан. </w:t>
      </w:r>
    </w:p>
    <w:bookmarkEnd w:id="7433"/>
    <w:bookmarkStart w:name="z7604" w:id="7434"/>
    <w:p>
      <w:pPr>
        <w:spacing w:after="0"/>
        <w:ind w:left="0"/>
        <w:jc w:val="both"/>
      </w:pPr>
      <w:r>
        <w:rPr>
          <w:rFonts w:ascii="Times New Roman"/>
          <w:b w:val="false"/>
          <w:i w:val="false"/>
          <w:color w:val="000000"/>
          <w:sz w:val="28"/>
        </w:rPr>
        <w:t>
      Принимаются меры по выражению признательности за работу по представлению сообщений о нежелательных реакциях, включая представление дополнительной информации репортерами.</w:t>
      </w:r>
    </w:p>
    <w:bookmarkEnd w:id="7434"/>
    <w:bookmarkStart w:name="z7605" w:id="7435"/>
    <w:p>
      <w:pPr>
        <w:spacing w:after="0"/>
        <w:ind w:left="0"/>
        <w:jc w:val="both"/>
      </w:pPr>
      <w:r>
        <w:rPr>
          <w:rFonts w:ascii="Times New Roman"/>
          <w:b w:val="false"/>
          <w:i w:val="false"/>
          <w:color w:val="000000"/>
          <w:sz w:val="28"/>
        </w:rPr>
        <w:t>
      При представлении сообщений о нежелательных реакциях со стороны держателя регистрационного удостоверения, уполномоченная организация привлекает держателя регистрационных удостоверений к последующей работе с сообщениями.</w:t>
      </w:r>
    </w:p>
    <w:bookmarkEnd w:id="7435"/>
    <w:bookmarkStart w:name="z7606" w:id="7436"/>
    <w:p>
      <w:pPr>
        <w:spacing w:after="0"/>
        <w:ind w:left="0"/>
        <w:jc w:val="both"/>
      </w:pPr>
      <w:r>
        <w:rPr>
          <w:rFonts w:ascii="Times New Roman"/>
          <w:b w:val="false"/>
          <w:i w:val="false"/>
          <w:color w:val="000000"/>
          <w:sz w:val="28"/>
        </w:rPr>
        <w:t>
      Уполномоченная организация обеспечивает систему информирования о любой подозреваемой нежелательной реакции, на которую обратили внимание специалисты любого другого органа, ведомства, учреждения или организации по безопасности пациентов, и чтобы эти сообщения были представлены в национальную базу данных.</w:t>
      </w:r>
    </w:p>
    <w:bookmarkEnd w:id="7436"/>
    <w:bookmarkStart w:name="z7607" w:id="7437"/>
    <w:p>
      <w:pPr>
        <w:spacing w:after="0"/>
        <w:ind w:left="0"/>
        <w:jc w:val="left"/>
      </w:pPr>
      <w:r>
        <w:rPr>
          <w:rFonts w:ascii="Times New Roman"/>
          <w:b/>
          <w:i w:val="false"/>
          <w:color w:val="000000"/>
        </w:rPr>
        <w:t xml:space="preserve"> Параграф 2. Обязанности держателей регистрационных удостоверений</w:t>
      </w:r>
    </w:p>
    <w:bookmarkEnd w:id="7437"/>
    <w:bookmarkStart w:name="z7608" w:id="7438"/>
    <w:p>
      <w:pPr>
        <w:spacing w:after="0"/>
        <w:ind w:left="0"/>
        <w:jc w:val="both"/>
      </w:pPr>
      <w:r>
        <w:rPr>
          <w:rFonts w:ascii="Times New Roman"/>
          <w:b w:val="false"/>
          <w:i w:val="false"/>
          <w:color w:val="000000"/>
          <w:sz w:val="28"/>
        </w:rPr>
        <w:t>
      263. Каждый держатель регистрационного удостоверения имеет систему сбора и регистрации всех сообщений о подозреваемых нежелательных реакциях, доведенных до его сведения, как представленные в рамках спонтанного репортирования специалистами системы здравоохранения, пациентами или потребителями, так и полученные в ходе пострегистрационных исследований. Держатель регистрационного удостоверения создает механизмы, обеспечивающие возможность прослеживания и последующей работы с сообщениями о нежелательных реакциях.</w:t>
      </w:r>
    </w:p>
    <w:bookmarkEnd w:id="7438"/>
    <w:bookmarkStart w:name="z7609" w:id="7439"/>
    <w:p>
      <w:pPr>
        <w:spacing w:after="0"/>
        <w:ind w:left="0"/>
        <w:jc w:val="both"/>
      </w:pPr>
      <w:r>
        <w:rPr>
          <w:rFonts w:ascii="Times New Roman"/>
          <w:b w:val="false"/>
          <w:i w:val="false"/>
          <w:color w:val="000000"/>
          <w:sz w:val="28"/>
        </w:rPr>
        <w:t xml:space="preserve">
      Обязанность по сбору сведений о подозреваемых нежелательных реакциях держателей регистрационных удостоверений распространяется на сообщения, относящиеся к лекарственным препаратам, владение которыми не исключаются на основе названия действующего вещества, состава, номера партии, способа введения, страны первоисточника или страны развития подозреваемой нежелательной реакции. </w:t>
      </w:r>
    </w:p>
    <w:bookmarkEnd w:id="7439"/>
    <w:bookmarkStart w:name="z7610" w:id="7440"/>
    <w:p>
      <w:pPr>
        <w:spacing w:after="0"/>
        <w:ind w:left="0"/>
        <w:jc w:val="left"/>
      </w:pPr>
      <w:r>
        <w:rPr>
          <w:rFonts w:ascii="Times New Roman"/>
          <w:b/>
          <w:i w:val="false"/>
          <w:color w:val="000000"/>
        </w:rPr>
        <w:t xml:space="preserve"> Параграф 3. Спонтанные сообщения</w:t>
      </w:r>
    </w:p>
    <w:bookmarkEnd w:id="7440"/>
    <w:bookmarkStart w:name="z7611" w:id="7441"/>
    <w:p>
      <w:pPr>
        <w:spacing w:after="0"/>
        <w:ind w:left="0"/>
        <w:jc w:val="both"/>
      </w:pPr>
      <w:r>
        <w:rPr>
          <w:rFonts w:ascii="Times New Roman"/>
          <w:b w:val="false"/>
          <w:i w:val="false"/>
          <w:color w:val="000000"/>
          <w:sz w:val="28"/>
        </w:rPr>
        <w:t>
      264. Держатель регистрационного удостоверения регистрирует все спонтанные сообщения о подозреваемых нежелательных реакциях, возникающих в Республике Казахстан или за его пределами. Это включает сообщения о подозреваемых нежелательных реакциях, полученные в электронном виде или какими-либо другими подходящими способами. Держатель регистрационного удостоверения использует свои веб-сайты для содействия сбора сведений о подозреваемых нежелательных реакциях, предоставив бланки для составления сообщений о нежелательных реакциях или соответствующие контактные данные для прямой связи.</w:t>
      </w:r>
    </w:p>
    <w:bookmarkEnd w:id="7441"/>
    <w:bookmarkStart w:name="z7612" w:id="7442"/>
    <w:p>
      <w:pPr>
        <w:spacing w:after="0"/>
        <w:ind w:left="0"/>
        <w:jc w:val="left"/>
      </w:pPr>
      <w:r>
        <w:rPr>
          <w:rFonts w:ascii="Times New Roman"/>
          <w:b/>
          <w:i w:val="false"/>
          <w:color w:val="000000"/>
        </w:rPr>
        <w:t xml:space="preserve"> Параграф 4. Сообщения, полученные по запросу</w:t>
      </w:r>
    </w:p>
    <w:bookmarkEnd w:id="7442"/>
    <w:bookmarkStart w:name="z7613" w:id="7443"/>
    <w:p>
      <w:pPr>
        <w:spacing w:after="0"/>
        <w:ind w:left="0"/>
        <w:jc w:val="both"/>
      </w:pPr>
      <w:r>
        <w:rPr>
          <w:rFonts w:ascii="Times New Roman"/>
          <w:b w:val="false"/>
          <w:i w:val="false"/>
          <w:color w:val="000000"/>
          <w:sz w:val="28"/>
        </w:rPr>
        <w:t>
      265. Держатель регистрационного удостоверения регистрирует все сообщения о подозреваемых нежелательных реакциях, выявленных в ходе пострегистрационных исследований на территории Республики Казахстан или за ее пределами. В число сообщений, полученных по запросу, входят сообщения, полученные по результатам организованного сбора данных, инициируемого, управляемого или финансируемого держателем регистрационного удостоверения. Они также включают неинтервенционные пострегистрационные исследования, программы использования лекарственного препарата в связи с исключительными обстоятельствами из соображений сострадания, персонализированные программы использования незарегистрированного лекарственного препарата, другие программы поддержки пациентов и мониторинга заболеваний, реестры, программы поддержки пациентов и сбор информации об эффективности или приверженности пациентов лечению.</w:t>
      </w:r>
    </w:p>
    <w:bookmarkEnd w:id="7443"/>
    <w:bookmarkStart w:name="z7614" w:id="7444"/>
    <w:p>
      <w:pPr>
        <w:spacing w:after="0"/>
        <w:ind w:left="0"/>
        <w:jc w:val="both"/>
      </w:pPr>
      <w:r>
        <w:rPr>
          <w:rFonts w:ascii="Times New Roman"/>
          <w:b w:val="false"/>
          <w:i w:val="false"/>
          <w:color w:val="000000"/>
          <w:sz w:val="28"/>
        </w:rPr>
        <w:t xml:space="preserve">
      Держатель регистрационного удостоверения имеет механизмы сбора полной и всесторонней информации о случаях при первичном составлении сообщений по результату получения спонтанного сообщения в целях обеспечения возможности выполнения надлежащей оценки и в случае применимости требований по срочному репортированию в уполномоченную организацию. </w:t>
      </w:r>
    </w:p>
    <w:bookmarkEnd w:id="7444"/>
    <w:bookmarkStart w:name="z7615" w:id="7445"/>
    <w:p>
      <w:pPr>
        <w:spacing w:after="0"/>
        <w:ind w:left="0"/>
        <w:jc w:val="left"/>
      </w:pPr>
      <w:r>
        <w:rPr>
          <w:rFonts w:ascii="Times New Roman"/>
          <w:b/>
          <w:i w:val="false"/>
          <w:color w:val="000000"/>
        </w:rPr>
        <w:t xml:space="preserve"> Параграф 5. Сообщения, полученные в ходе неинтервенционных исследований</w:t>
      </w:r>
    </w:p>
    <w:bookmarkEnd w:id="7445"/>
    <w:bookmarkStart w:name="z7616" w:id="7446"/>
    <w:p>
      <w:pPr>
        <w:spacing w:after="0"/>
        <w:ind w:left="0"/>
        <w:jc w:val="both"/>
      </w:pPr>
      <w:r>
        <w:rPr>
          <w:rFonts w:ascii="Times New Roman"/>
          <w:b w:val="false"/>
          <w:i w:val="false"/>
          <w:color w:val="000000"/>
          <w:sz w:val="28"/>
        </w:rPr>
        <w:t>
      266. В отношении данных неинтервенционных исследований, проводится различие между исследованиями со сбором первичных данных напрямую от пациентов и специалистов системы здравоохранения и дизайнами исследований, основанные на вторичном использовании данных, такие как пересмотр медицинских карт или электронных записей здравоохранения, систематические пересмотры или мета-анализы.</w:t>
      </w:r>
    </w:p>
    <w:bookmarkEnd w:id="7446"/>
    <w:bookmarkStart w:name="z7617" w:id="7447"/>
    <w:p>
      <w:pPr>
        <w:spacing w:after="0"/>
        <w:ind w:left="0"/>
        <w:jc w:val="both"/>
      </w:pPr>
      <w:r>
        <w:rPr>
          <w:rFonts w:ascii="Times New Roman"/>
          <w:b w:val="false"/>
          <w:i w:val="false"/>
          <w:color w:val="000000"/>
          <w:sz w:val="28"/>
        </w:rPr>
        <w:t>
      Сообщение составляется в случае, когда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сообщения о нежелательных явлениях, в которых причинно-следственная связь оценивается как сомнительная, включают в заключительный отчет об исследовании:</w:t>
      </w:r>
    </w:p>
    <w:bookmarkEnd w:id="7447"/>
    <w:bookmarkStart w:name="z7618" w:id="7448"/>
    <w:p>
      <w:pPr>
        <w:spacing w:after="0"/>
        <w:ind w:left="0"/>
        <w:jc w:val="both"/>
      </w:pPr>
      <w:r>
        <w:rPr>
          <w:rFonts w:ascii="Times New Roman"/>
          <w:b w:val="false"/>
          <w:i w:val="false"/>
          <w:color w:val="000000"/>
          <w:sz w:val="28"/>
        </w:rPr>
        <w:t>
      1) в отношении неинтервенционных исследований с первичным сбором данных напрямую от пациентов и специалистов системы здравоохранения, представлению подлежат сообщения о нежелательных реакциях, в отношении которых репортер или держатель регистрационного удостоверения имеет подозрения о возможной причинно-следственной связи с подозреваемым лекарственным препаратом. Исследователи направляют в соответствующие уполномоченные органы, если это применимо, другие сообщения о нежелательных реакциях, в отношении которых имеются подозрения в связи с лекарственными препаратами, не входящими в число исследуемых и где отсутствуют взаимодействия с исследуемым лекарственным препаратом;</w:t>
      </w:r>
    </w:p>
    <w:bookmarkEnd w:id="7448"/>
    <w:bookmarkStart w:name="z7619" w:id="7449"/>
    <w:p>
      <w:pPr>
        <w:spacing w:after="0"/>
        <w:ind w:left="0"/>
        <w:jc w:val="both"/>
      </w:pPr>
      <w:r>
        <w:rPr>
          <w:rFonts w:ascii="Times New Roman"/>
          <w:b w:val="false"/>
          <w:i w:val="false"/>
          <w:color w:val="000000"/>
          <w:sz w:val="28"/>
        </w:rPr>
        <w:t>
      2) при проведении неинтервенционных исследований, основанных на вторичном использовании данных, представление сообщений о выявляемых нежелательных реакциях не требуется. Все данные по выявленным нежелательным реакциям суммируются в заключительном отчете по исследованию;</w:t>
      </w:r>
    </w:p>
    <w:bookmarkEnd w:id="7449"/>
    <w:bookmarkStart w:name="z7620" w:id="7450"/>
    <w:p>
      <w:pPr>
        <w:spacing w:after="0"/>
        <w:ind w:left="0"/>
        <w:jc w:val="both"/>
      </w:pPr>
      <w:r>
        <w:rPr>
          <w:rFonts w:ascii="Times New Roman"/>
          <w:b w:val="false"/>
          <w:i w:val="false"/>
          <w:color w:val="000000"/>
          <w:sz w:val="28"/>
        </w:rPr>
        <w:t>
      3) в случае сомнений держатель регистрационного удостоверения уточняет требования о представлении сообщений о нежелательных реакциях в уполномоченной организации;</w:t>
      </w:r>
    </w:p>
    <w:bookmarkEnd w:id="7450"/>
    <w:bookmarkStart w:name="z7621" w:id="7451"/>
    <w:p>
      <w:pPr>
        <w:spacing w:after="0"/>
        <w:ind w:left="0"/>
        <w:jc w:val="both"/>
      </w:pPr>
      <w:r>
        <w:rPr>
          <w:rFonts w:ascii="Times New Roman"/>
          <w:b w:val="false"/>
          <w:i w:val="false"/>
          <w:color w:val="000000"/>
          <w:sz w:val="28"/>
        </w:rPr>
        <w:t>
      4) держатель регистрационного удостоверения соблюдает требования законодательства, применяемые к представлению сообщений о случаях подозреваемых нежелательных реакций в организации этики и исследователям.</w:t>
      </w:r>
    </w:p>
    <w:bookmarkEnd w:id="7451"/>
    <w:bookmarkStart w:name="z7622" w:id="7452"/>
    <w:p>
      <w:pPr>
        <w:spacing w:after="0"/>
        <w:ind w:left="0"/>
        <w:jc w:val="left"/>
      </w:pPr>
      <w:r>
        <w:rPr>
          <w:rFonts w:ascii="Times New Roman"/>
          <w:b/>
          <w:i w:val="false"/>
          <w:color w:val="000000"/>
        </w:rPr>
        <w:t xml:space="preserve"> Параграф 6. Программа использования лекарственного препарата в связи с исключительными обстоятельствами из соображений сострадания, персонализированная программа использования незарегистрированного лекарственного препарата</w:t>
      </w:r>
    </w:p>
    <w:bookmarkEnd w:id="7452"/>
    <w:bookmarkStart w:name="z7623" w:id="7453"/>
    <w:p>
      <w:pPr>
        <w:spacing w:after="0"/>
        <w:ind w:left="0"/>
        <w:jc w:val="both"/>
      </w:pPr>
      <w:r>
        <w:rPr>
          <w:rFonts w:ascii="Times New Roman"/>
          <w:b w:val="false"/>
          <w:i w:val="false"/>
          <w:color w:val="000000"/>
          <w:sz w:val="28"/>
        </w:rPr>
        <w:t>
      267. Если держатель регистрационного удостоверения или специалист системы здравоохранения извещены и выявляют подозреваемую нежелательную реакцию в рамках проведения программы использования лекарственного препарата в связи с исключительными обстоятельствами из соображений сострадания или персонализированной программы использования незарегистрированного лекарственного препарата, сообщения о нежелательных реакциях представляются следующим образом:</w:t>
      </w:r>
    </w:p>
    <w:bookmarkEnd w:id="7453"/>
    <w:bookmarkStart w:name="z7624" w:id="7454"/>
    <w:p>
      <w:pPr>
        <w:spacing w:after="0"/>
        <w:ind w:left="0"/>
        <w:jc w:val="both"/>
      </w:pPr>
      <w:r>
        <w:rPr>
          <w:rFonts w:ascii="Times New Roman"/>
          <w:b w:val="false"/>
          <w:i w:val="false"/>
          <w:color w:val="000000"/>
          <w:sz w:val="28"/>
        </w:rPr>
        <w:t>
      1) в случае если нежелательная реакция выявляется при выполнении активного поиска, представляют сообщения только о нежелательных реакциях, для которых причинно-следственная связь с применением подозреваемого лекарственного препарата определяется первоисточником или держателем регистрационного удостоверения, как минимум, как возможная. Их рассматривает как сообщения о нежелательных реакциях, полученных по запросу;</w:t>
      </w:r>
    </w:p>
    <w:bookmarkEnd w:id="7454"/>
    <w:bookmarkStart w:name="z7625" w:id="7455"/>
    <w:p>
      <w:pPr>
        <w:spacing w:after="0"/>
        <w:ind w:left="0"/>
        <w:jc w:val="both"/>
      </w:pPr>
      <w:r>
        <w:rPr>
          <w:rFonts w:ascii="Times New Roman"/>
          <w:b w:val="false"/>
          <w:i w:val="false"/>
          <w:color w:val="000000"/>
          <w:sz w:val="28"/>
        </w:rPr>
        <w:t>
      2) в случае если нежелательная реакция выявляется не в рамках активного поиска или запроса, все нежелательные и непреднамеренные реакции на лекарственный препарат рассматриваются как сообщения о подозреваемой нежелательной реакции, полученной не по запросу, и сообщение представляется соответствующим образом.</w:t>
      </w:r>
    </w:p>
    <w:bookmarkEnd w:id="7455"/>
    <w:bookmarkStart w:name="z7626" w:id="7456"/>
    <w:p>
      <w:pPr>
        <w:spacing w:after="0"/>
        <w:ind w:left="0"/>
        <w:jc w:val="left"/>
      </w:pPr>
      <w:r>
        <w:rPr>
          <w:rFonts w:ascii="Times New Roman"/>
          <w:b/>
          <w:i w:val="false"/>
          <w:color w:val="000000"/>
        </w:rPr>
        <w:t xml:space="preserve"> Параграф 7. Программа поддержки пациентов</w:t>
      </w:r>
    </w:p>
    <w:bookmarkEnd w:id="7456"/>
    <w:bookmarkStart w:name="z7627" w:id="7457"/>
    <w:p>
      <w:pPr>
        <w:spacing w:after="0"/>
        <w:ind w:left="0"/>
        <w:jc w:val="both"/>
      </w:pPr>
      <w:r>
        <w:rPr>
          <w:rFonts w:ascii="Times New Roman"/>
          <w:b w:val="false"/>
          <w:i w:val="false"/>
          <w:color w:val="000000"/>
          <w:sz w:val="28"/>
        </w:rPr>
        <w:t>
      268. Программа поддержки пациентов - схема организованного сбора данных, где держатель регистрационного удостоверения собирает данные, относящиеся к применению лекарственного препарата. Примерами являются пострегистрационные программы поддержки пациентов и мониторинга заболеваний, мониторинг пациентов, сбор информации о приверженности пациентов лечению, мониторинг в рамках систем компенсации или возмещения.</w:t>
      </w:r>
    </w:p>
    <w:bookmarkEnd w:id="7457"/>
    <w:bookmarkStart w:name="z7628" w:id="7458"/>
    <w:p>
      <w:pPr>
        <w:spacing w:after="0"/>
        <w:ind w:left="0"/>
        <w:jc w:val="both"/>
      </w:pPr>
      <w:r>
        <w:rPr>
          <w:rFonts w:ascii="Times New Roman"/>
          <w:b w:val="false"/>
          <w:i w:val="false"/>
          <w:color w:val="000000"/>
          <w:sz w:val="28"/>
        </w:rPr>
        <w:t>
      Можно вести активный поиск нежелательных реакций в ходе выполнения различных типов систем организованного сбора данных, в этом случае их учитывают, как сообщения, полученные по запросу. Составляются отчеты только на нежелательные реакции, где репортером или держателем регистрационного удостоверения подозревается как минимум возможная причинно-следственная связь.</w:t>
      </w:r>
    </w:p>
    <w:bookmarkEnd w:id="7458"/>
    <w:bookmarkStart w:name="z7629" w:id="7459"/>
    <w:p>
      <w:pPr>
        <w:spacing w:after="0"/>
        <w:ind w:left="0"/>
        <w:jc w:val="both"/>
      </w:pPr>
      <w:r>
        <w:rPr>
          <w:rFonts w:ascii="Times New Roman"/>
          <w:b w:val="false"/>
          <w:i w:val="false"/>
          <w:color w:val="000000"/>
          <w:sz w:val="28"/>
        </w:rPr>
        <w:t>
      В случае если в рамках системы организованного сбора данных нежелательная реакция была выявлена не в рамках активного поиска или запроса, все нежелательные и непреднамеренные реакции на лекарственный препарат, которые были сообщены держателю регистрационного удостоверения специалистом здравоохранения или пациентом, рассматривают как сообщения о подозреваемой нежелательной реакции, полученной не по запросу, и сообщение представляются соответствующим образом.</w:t>
      </w:r>
    </w:p>
    <w:bookmarkEnd w:id="7459"/>
    <w:bookmarkStart w:name="z7630" w:id="7460"/>
    <w:p>
      <w:pPr>
        <w:spacing w:after="0"/>
        <w:ind w:left="0"/>
        <w:jc w:val="left"/>
      </w:pPr>
      <w:r>
        <w:rPr>
          <w:rFonts w:ascii="Times New Roman"/>
          <w:b/>
          <w:i w:val="false"/>
          <w:color w:val="000000"/>
        </w:rPr>
        <w:t xml:space="preserve"> Параграф 8. Сообщения, опубликованные в научно-медицинской литературе</w:t>
      </w:r>
    </w:p>
    <w:bookmarkEnd w:id="7460"/>
    <w:bookmarkStart w:name="z7631" w:id="7461"/>
    <w:p>
      <w:pPr>
        <w:spacing w:after="0"/>
        <w:ind w:left="0"/>
        <w:jc w:val="both"/>
      </w:pPr>
      <w:r>
        <w:rPr>
          <w:rFonts w:ascii="Times New Roman"/>
          <w:b w:val="false"/>
          <w:i w:val="false"/>
          <w:color w:val="000000"/>
          <w:sz w:val="28"/>
        </w:rPr>
        <w:t>
      269. Держатель регистрационного удостоверения осуществляет мониторинг публикаций в научно-медицинской литературе во всех странах, в которых разрешено применение соответствующих лекарственных препаратов с выполнением требований по представлению сообщений о нежелательных реакциях в уполномоченный орган согласно требований законодательства.</w:t>
      </w:r>
    </w:p>
    <w:bookmarkEnd w:id="7461"/>
    <w:bookmarkStart w:name="z7632" w:id="7462"/>
    <w:p>
      <w:pPr>
        <w:spacing w:after="0"/>
        <w:ind w:left="0"/>
        <w:jc w:val="both"/>
      </w:pPr>
      <w:r>
        <w:rPr>
          <w:rFonts w:ascii="Times New Roman"/>
          <w:b w:val="false"/>
          <w:i w:val="false"/>
          <w:color w:val="000000"/>
          <w:sz w:val="28"/>
        </w:rPr>
        <w:t>
      Срочному репортированию не подлежат следующие сообщения (информация) о нежелательных реакциях, выявленные при мониторинге публикаций научно-медицинской литературы, если статьи из литературы, представляют собой обобщенные анализы данных из общедоступных баз данных или указывают сведения о пациентах в виде таблиц или построчных перечислений. Эти типы статей описывают нежелательные реакции, которые развиваются в группе пациентов, принимающих определенный лекарственный препарат с целью выявления или количественной оценки угрозы по безопасности. Данные статьи часто связаны с фармакоэпидемиологическими исследованиями и их главной целью является обнаружение или оценка определенных рисков, которые могли бы повлиять на общее соотношение польза-риск лекарственного препарата.</w:t>
      </w:r>
    </w:p>
    <w:bookmarkEnd w:id="7462"/>
    <w:bookmarkStart w:name="z7633" w:id="7463"/>
    <w:p>
      <w:pPr>
        <w:spacing w:after="0"/>
        <w:ind w:left="0"/>
        <w:jc w:val="both"/>
      </w:pPr>
      <w:r>
        <w:rPr>
          <w:rFonts w:ascii="Times New Roman"/>
          <w:b w:val="false"/>
          <w:i w:val="false"/>
          <w:color w:val="000000"/>
          <w:sz w:val="28"/>
        </w:rPr>
        <w:t>
      Сведения по безопасности, представленные в этих типах статей, рассматриваются в соответствующих разделах ПОБ и принимаются во внимание при анализе влияния на соотношение польза-риск лекарственного препарата. Незамедлительно уведомляют уполномоченную организацию, в случае какой-либо новой информации по безопасности, влияющей на соотношение польза-риск лекарственного препарата.</w:t>
      </w:r>
    </w:p>
    <w:bookmarkEnd w:id="7463"/>
    <w:bookmarkStart w:name="z7634" w:id="7464"/>
    <w:p>
      <w:pPr>
        <w:spacing w:after="0"/>
        <w:ind w:left="0"/>
        <w:jc w:val="left"/>
      </w:pPr>
      <w:r>
        <w:rPr>
          <w:rFonts w:ascii="Times New Roman"/>
          <w:b/>
          <w:i w:val="false"/>
          <w:color w:val="000000"/>
        </w:rPr>
        <w:t xml:space="preserve"> Параграф 9. Подозреваемые нежелательные реакции, связанные с дефектом качества или фальсифицированными лекарственными препаратами</w:t>
      </w:r>
    </w:p>
    <w:bookmarkEnd w:id="7464"/>
    <w:bookmarkStart w:name="z7635" w:id="7465"/>
    <w:p>
      <w:pPr>
        <w:spacing w:after="0"/>
        <w:ind w:left="0"/>
        <w:jc w:val="both"/>
      </w:pPr>
      <w:r>
        <w:rPr>
          <w:rFonts w:ascii="Times New Roman"/>
          <w:b w:val="false"/>
          <w:i w:val="false"/>
          <w:color w:val="000000"/>
          <w:sz w:val="28"/>
        </w:rPr>
        <w:t xml:space="preserve">
      270. Если сообщение о подозреваемой нежелательной реакции связано с применением подозреваемого или подтвержденного фальсифицированного лекарственного препарата или лекарственного препарата, имеющего ненадлежащее качество, данное сообщение, в случае отнесения его к валидному сообщению, подлежит репортированию. </w:t>
      </w:r>
    </w:p>
    <w:bookmarkEnd w:id="7465"/>
    <w:bookmarkStart w:name="z7636" w:id="7466"/>
    <w:p>
      <w:pPr>
        <w:spacing w:after="0"/>
        <w:ind w:left="0"/>
        <w:jc w:val="both"/>
      </w:pPr>
      <w:r>
        <w:rPr>
          <w:rFonts w:ascii="Times New Roman"/>
          <w:b w:val="false"/>
          <w:i w:val="false"/>
          <w:color w:val="000000"/>
          <w:sz w:val="28"/>
        </w:rPr>
        <w:t>
      В указанных случаях в целях охраны общественного здоровья требуется осуществление срочных мер, таких как отзыв с рынка одной или более дефектной серии лекарственного препарата. Держатель регистрационного удостоверения имеет систему, обеспечивающую незамедлительную оценку и расследование полученного сообщения о подозреваемой нежелательной реакции, связанной с фальсифицированным лекарственным препаратом или дефектом качества лекарственного препарата. В случае подтверждения наличия дефекта качества незамедлительно уведомляют непосредственного производителя лекарственного средства и уполномоченную организацию.</w:t>
      </w:r>
    </w:p>
    <w:bookmarkEnd w:id="7466"/>
    <w:bookmarkStart w:name="z7637" w:id="7467"/>
    <w:p>
      <w:pPr>
        <w:spacing w:after="0"/>
        <w:ind w:left="0"/>
        <w:jc w:val="left"/>
      </w:pPr>
      <w:r>
        <w:rPr>
          <w:rFonts w:ascii="Times New Roman"/>
          <w:b/>
          <w:i w:val="false"/>
          <w:color w:val="000000"/>
        </w:rPr>
        <w:t xml:space="preserve"> Параграф 10. Подозреваемая передача инфекционного агента через лекарственный препарат</w:t>
      </w:r>
    </w:p>
    <w:bookmarkEnd w:id="7467"/>
    <w:bookmarkStart w:name="z7638" w:id="7468"/>
    <w:p>
      <w:pPr>
        <w:spacing w:after="0"/>
        <w:ind w:left="0"/>
        <w:jc w:val="both"/>
      </w:pPr>
      <w:r>
        <w:rPr>
          <w:rFonts w:ascii="Times New Roman"/>
          <w:b w:val="false"/>
          <w:i w:val="false"/>
          <w:color w:val="000000"/>
          <w:sz w:val="28"/>
        </w:rPr>
        <w:t>
      271. Инфекционным агентом считается любой патогенный либо непатогенный микроорганизм, вирус или инфекционная частица (в частности, прион, протеин, передающие трансмиссивную губчатую энцефалопатию).</w:t>
      </w:r>
    </w:p>
    <w:bookmarkEnd w:id="7468"/>
    <w:bookmarkStart w:name="z7639" w:id="7469"/>
    <w:p>
      <w:pPr>
        <w:spacing w:after="0"/>
        <w:ind w:left="0"/>
        <w:jc w:val="both"/>
      </w:pPr>
      <w:r>
        <w:rPr>
          <w:rFonts w:ascii="Times New Roman"/>
          <w:b w:val="false"/>
          <w:i w:val="false"/>
          <w:color w:val="000000"/>
          <w:sz w:val="28"/>
        </w:rPr>
        <w:t>
      Подозрение на передачу инфекционных агентов через лекарственный препарат рассматривается как серьезная нежелательная реакция, подлежащая срочному репортированию в уполномоченный орган и уполномоченную организацию. Данное требование распространяется также на вакцины.</w:t>
      </w:r>
    </w:p>
    <w:bookmarkEnd w:id="7469"/>
    <w:bookmarkStart w:name="z7640" w:id="7470"/>
    <w:p>
      <w:pPr>
        <w:spacing w:after="0"/>
        <w:ind w:left="0"/>
        <w:jc w:val="both"/>
      </w:pPr>
      <w:r>
        <w:rPr>
          <w:rFonts w:ascii="Times New Roman"/>
          <w:b w:val="false"/>
          <w:i w:val="false"/>
          <w:color w:val="000000"/>
          <w:sz w:val="28"/>
        </w:rPr>
        <w:t>
      Передача возбудителя инфекции подозревается на основании клинических признаков или симптомов, лабораторных результатов, указывающих на наличие инфекции у пациента, подвергшегося воздействию лекарственного препарата. Уделяется особое внимание на обнаружение инфекции или возбудителя инфекции, с известной потенциальной передачей через лекарственный препарат, но при этом учитывается риск появления неизвестных возбудителей.</w:t>
      </w:r>
    </w:p>
    <w:bookmarkEnd w:id="7470"/>
    <w:bookmarkStart w:name="z7641" w:id="7471"/>
    <w:p>
      <w:pPr>
        <w:spacing w:after="0"/>
        <w:ind w:left="0"/>
        <w:jc w:val="both"/>
      </w:pPr>
      <w:r>
        <w:rPr>
          <w:rFonts w:ascii="Times New Roman"/>
          <w:b w:val="false"/>
          <w:i w:val="false"/>
          <w:color w:val="000000"/>
          <w:sz w:val="28"/>
        </w:rPr>
        <w:t>
      При оценке подозреваемой передачи инфекционного агента посредством лекарственного препарата соблюдается осторожность и проводится различие, между причиной (инъекция или прием) и источником инфекции (контаминация) и клиническим состоянием пациента на момент предполагаемого инфицирования (иммунодепрессивное состояние или предшествующая вакцинация).</w:t>
      </w:r>
    </w:p>
    <w:bookmarkEnd w:id="7471"/>
    <w:bookmarkStart w:name="z7642" w:id="7472"/>
    <w:p>
      <w:pPr>
        <w:spacing w:after="0"/>
        <w:ind w:left="0"/>
        <w:jc w:val="both"/>
      </w:pPr>
      <w:r>
        <w:rPr>
          <w:rFonts w:ascii="Times New Roman"/>
          <w:b w:val="false"/>
          <w:i w:val="false"/>
          <w:color w:val="000000"/>
          <w:sz w:val="28"/>
        </w:rPr>
        <w:t>
      Подтверждение контаминации (включая несоответствующую инактивацию или ослабление вирулентности (аттенуацию) возбудителей инфекции как активных веществ) подозреваемого лекарственного препарата усиливает доказательство передачи возбудителя инфекции и подозрение на наличие дефекта качества.</w:t>
      </w:r>
    </w:p>
    <w:bookmarkEnd w:id="7472"/>
    <w:bookmarkStart w:name="z7643" w:id="7473"/>
    <w:p>
      <w:pPr>
        <w:spacing w:after="0"/>
        <w:ind w:left="0"/>
        <w:jc w:val="left"/>
      </w:pPr>
      <w:r>
        <w:rPr>
          <w:rFonts w:ascii="Times New Roman"/>
          <w:b/>
          <w:i w:val="false"/>
          <w:color w:val="000000"/>
        </w:rPr>
        <w:t xml:space="preserve"> Параграф 11. Период между подачей заявления на государственную регистрацию и получением удостоверения о государственной регистрации</w:t>
      </w:r>
    </w:p>
    <w:bookmarkEnd w:id="7473"/>
    <w:bookmarkStart w:name="z7644" w:id="7474"/>
    <w:p>
      <w:pPr>
        <w:spacing w:after="0"/>
        <w:ind w:left="0"/>
        <w:jc w:val="both"/>
      </w:pPr>
      <w:r>
        <w:rPr>
          <w:rFonts w:ascii="Times New Roman"/>
          <w:b w:val="false"/>
          <w:i w:val="false"/>
          <w:color w:val="000000"/>
          <w:sz w:val="28"/>
        </w:rPr>
        <w:t xml:space="preserve">
      272. В период между подачей заявления на государственную регистрацию и получением удостоверения о государственной регистрации, в случае появления информации, влияющую на соотношение польза-риск лекарственного препарата держатель регистрационного удостоверения обеспечивает незамедлительное представления данной информации в уполномоченную организацию. </w:t>
      </w:r>
    </w:p>
    <w:bookmarkEnd w:id="7474"/>
    <w:bookmarkStart w:name="z7645" w:id="7475"/>
    <w:p>
      <w:pPr>
        <w:spacing w:after="0"/>
        <w:ind w:left="0"/>
        <w:jc w:val="left"/>
      </w:pPr>
      <w:r>
        <w:rPr>
          <w:rFonts w:ascii="Times New Roman"/>
          <w:b/>
          <w:i w:val="false"/>
          <w:color w:val="000000"/>
        </w:rPr>
        <w:t xml:space="preserve"> Параграф 12. Период после приостановления действия или</w:t>
      </w:r>
      <w:r>
        <w:rPr>
          <w:rFonts w:ascii="Times New Roman"/>
          <w:b/>
          <w:i w:val="false"/>
          <w:color w:val="000000"/>
        </w:rPr>
        <w:t xml:space="preserve"> аннулирования удостоверения о государственной регистрации</w:t>
      </w:r>
    </w:p>
    <w:bookmarkEnd w:id="7475"/>
    <w:bookmarkStart w:name="z7647" w:id="7476"/>
    <w:p>
      <w:pPr>
        <w:spacing w:after="0"/>
        <w:ind w:left="0"/>
        <w:jc w:val="both"/>
      </w:pPr>
      <w:r>
        <w:rPr>
          <w:rFonts w:ascii="Times New Roman"/>
          <w:b w:val="false"/>
          <w:i w:val="false"/>
          <w:color w:val="000000"/>
          <w:sz w:val="28"/>
        </w:rPr>
        <w:t>
      273. Держатель регистрационного удостоверения продолжает собирать любые сведения о подозреваемых нежелательных реакциях, относительно лекарственного препарата с приостановленным удостоверением о государственной регистрации с выполнением требований срочного репортирования, при таковых случаях.</w:t>
      </w:r>
    </w:p>
    <w:bookmarkEnd w:id="7476"/>
    <w:bookmarkStart w:name="z7648" w:id="7477"/>
    <w:p>
      <w:pPr>
        <w:spacing w:after="0"/>
        <w:ind w:left="0"/>
        <w:jc w:val="both"/>
      </w:pPr>
      <w:r>
        <w:rPr>
          <w:rFonts w:ascii="Times New Roman"/>
          <w:b w:val="false"/>
          <w:i w:val="false"/>
          <w:color w:val="000000"/>
          <w:sz w:val="28"/>
        </w:rPr>
        <w:t>
      В случае аннулирования удостоверения о государственной регистрации держатель регистрационного удостоверения продолжает собирать сведения о подозреваемых нежелательных реакциях в целях, в частности, облегчения оценки в случае развития отсроченных нежелательных реакций, либо в случаях получения нежелательных реакциях, представляемых ретроспективно.</w:t>
      </w:r>
    </w:p>
    <w:bookmarkEnd w:id="7477"/>
    <w:bookmarkStart w:name="z7649" w:id="7478"/>
    <w:p>
      <w:pPr>
        <w:spacing w:after="0"/>
        <w:ind w:left="0"/>
        <w:jc w:val="left"/>
      </w:pPr>
      <w:r>
        <w:rPr>
          <w:rFonts w:ascii="Times New Roman"/>
          <w:b/>
          <w:i w:val="false"/>
          <w:color w:val="000000"/>
        </w:rPr>
        <w:t xml:space="preserve"> Параграф 13. Период во время чрезвычайной ситуации в здравоохранении</w:t>
      </w:r>
    </w:p>
    <w:bookmarkEnd w:id="7478"/>
    <w:bookmarkStart w:name="z7650" w:id="7479"/>
    <w:p>
      <w:pPr>
        <w:spacing w:after="0"/>
        <w:ind w:left="0"/>
        <w:jc w:val="both"/>
      </w:pPr>
      <w:r>
        <w:rPr>
          <w:rFonts w:ascii="Times New Roman"/>
          <w:b w:val="false"/>
          <w:i w:val="false"/>
          <w:color w:val="000000"/>
          <w:sz w:val="28"/>
        </w:rPr>
        <w:t>
      274. Чрезвычайная ситуация в здравоохранении - признанная Всемирной организацией здравоохранения (ВОЗ) угроза общественному здоровью. В случае чрезвычайной ситуации в здравоохранении вносятся поправки в требования к регулярному составлению отчетов. Такие поправки рассматриваются индивидуально и размещаются в виде извещений на веб-сайте уполномоченной организации.</w:t>
      </w:r>
    </w:p>
    <w:bookmarkEnd w:id="7479"/>
    <w:bookmarkStart w:name="z7651" w:id="7480"/>
    <w:p>
      <w:pPr>
        <w:spacing w:after="0"/>
        <w:ind w:left="0"/>
        <w:jc w:val="left"/>
      </w:pPr>
      <w:r>
        <w:rPr>
          <w:rFonts w:ascii="Times New Roman"/>
          <w:b/>
          <w:i w:val="false"/>
          <w:color w:val="000000"/>
        </w:rPr>
        <w:t xml:space="preserve"> Параграф 14. Сообщения на основе судебных исков в отношении лекарственных препаратов</w:t>
      </w:r>
    </w:p>
    <w:bookmarkEnd w:id="7480"/>
    <w:bookmarkStart w:name="z7652" w:id="74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275. Сообщения, возникающие по результатам судебных исков в отношении лекарственных препаратов, относятся к сообщениям, полученными без запроса. Представляются сообщения только о нежелательных реакциях, в которых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В этих случаях срочное репортирование осуществляется согласно требованиям, установленным законодательством. </w:t>
      </w:r>
    </w:p>
    <w:bookmarkEnd w:id="7481"/>
    <w:bookmarkStart w:name="z7654" w:id="7482"/>
    <w:p>
      <w:pPr>
        <w:spacing w:after="0"/>
        <w:ind w:left="0"/>
        <w:jc w:val="left"/>
      </w:pPr>
      <w:r>
        <w:rPr>
          <w:rFonts w:ascii="Times New Roman"/>
          <w:b/>
          <w:i w:val="false"/>
          <w:color w:val="000000"/>
        </w:rPr>
        <w:t xml:space="preserve"> Глава 37. Подготовка индивидуальных сообщений о нежелательных реакциях</w:t>
      </w:r>
    </w:p>
    <w:bookmarkEnd w:id="7482"/>
    <w:bookmarkStart w:name="z7655" w:id="7483"/>
    <w:p>
      <w:pPr>
        <w:spacing w:after="0"/>
        <w:ind w:left="0"/>
        <w:jc w:val="left"/>
      </w:pPr>
      <w:r>
        <w:rPr>
          <w:rFonts w:ascii="Times New Roman"/>
          <w:b/>
          <w:i w:val="false"/>
          <w:color w:val="000000"/>
        </w:rPr>
        <w:t xml:space="preserve"> Параграф 1. Информация о подозреваемых, взаимодействующих и сопутствующих лекарственных препаратах</w:t>
      </w:r>
    </w:p>
    <w:bookmarkEnd w:id="7483"/>
    <w:bookmarkStart w:name="z7656" w:id="7484"/>
    <w:p>
      <w:pPr>
        <w:spacing w:after="0"/>
        <w:ind w:left="0"/>
        <w:jc w:val="both"/>
      </w:pPr>
      <w:r>
        <w:rPr>
          <w:rFonts w:ascii="Times New Roman"/>
          <w:b w:val="false"/>
          <w:i w:val="false"/>
          <w:color w:val="000000"/>
          <w:sz w:val="28"/>
        </w:rPr>
        <w:t>
      276. В сообщении о нежелательной реакции указываются подозреваемые, взаимодействующие и (или) сопутствующие лекарственные препараты с указанием режимов дозирования и дат начала и окончания терапии. В отношении комбинированных лекарственных препаратов, которые содержат более одного активного вещества, каждое действующее вещество указывается отдельно.</w:t>
      </w:r>
    </w:p>
    <w:bookmarkEnd w:id="7484"/>
    <w:bookmarkStart w:name="z7657" w:id="7485"/>
    <w:p>
      <w:pPr>
        <w:spacing w:after="0"/>
        <w:ind w:left="0"/>
        <w:jc w:val="both"/>
      </w:pPr>
      <w:r>
        <w:rPr>
          <w:rFonts w:ascii="Times New Roman"/>
          <w:b w:val="false"/>
          <w:i w:val="false"/>
          <w:color w:val="000000"/>
          <w:sz w:val="28"/>
        </w:rPr>
        <w:t>
      Если сообщается, что описываемый случай нежелательной реакции связан только с терапевтическим классом, он считается неполным и не отвечает критериям срочного репортирования сообщения о нежелательной реакции. Ведется последующая деятельность по случаю нежелательной реакции, для сбора недостающей информацию о подозреваемом лекарственном препарате.</w:t>
      </w:r>
    </w:p>
    <w:bookmarkEnd w:id="7485"/>
    <w:bookmarkStart w:name="z7658" w:id="7486"/>
    <w:p>
      <w:pPr>
        <w:spacing w:after="0"/>
        <w:ind w:left="0"/>
        <w:jc w:val="both"/>
      </w:pPr>
      <w:r>
        <w:rPr>
          <w:rFonts w:ascii="Times New Roman"/>
          <w:b w:val="false"/>
          <w:i w:val="false"/>
          <w:color w:val="000000"/>
          <w:sz w:val="28"/>
        </w:rPr>
        <w:t>
      277. Описание подозреваемой нежелательной реакции выполняется согласно действующей версии Медицинского словаря терминологии MedDRA Международной конференции по гармонизации (ICH).</w:t>
      </w:r>
    </w:p>
    <w:bookmarkEnd w:id="7486"/>
    <w:bookmarkStart w:name="z7659" w:id="7487"/>
    <w:p>
      <w:pPr>
        <w:spacing w:after="0"/>
        <w:ind w:left="0"/>
        <w:jc w:val="left"/>
      </w:pPr>
      <w:r>
        <w:rPr>
          <w:rFonts w:ascii="Times New Roman"/>
          <w:b/>
          <w:i w:val="false"/>
          <w:color w:val="000000"/>
        </w:rPr>
        <w:t xml:space="preserve"> Параграф 2. Описание нежелательной реакции и оценка причинно-следственной связи</w:t>
      </w:r>
    </w:p>
    <w:bookmarkEnd w:id="7487"/>
    <w:bookmarkStart w:name="z7660" w:id="7488"/>
    <w:p>
      <w:pPr>
        <w:spacing w:after="0"/>
        <w:ind w:left="0"/>
        <w:jc w:val="both"/>
      </w:pPr>
      <w:r>
        <w:rPr>
          <w:rFonts w:ascii="Times New Roman"/>
          <w:b w:val="false"/>
          <w:i w:val="false"/>
          <w:color w:val="000000"/>
          <w:sz w:val="28"/>
        </w:rPr>
        <w:t>
      278. Для каждого индивидуального случая представляется вся имеющаяся информация по развившейся нежелательной реакции. Информация представляется в логической временной последовательности, в хронологии изменения состояния пациента, включая клиническое течение, терапевтические меры, исход и полученную последующую информацию. Описание всестороннее, самостоятельное "медицинский отчет", содержащее все известные важные клинические и связанные с этим (лабораторные, диагностические и иные) сведения, включая характеристику пациента, подробности лечения, историю болезни, клиническое течение явления(-й), диагноз, нежелательные реакции и их исход и любая другая информация, подтверждающая или опровергающая подозреваемые нежелательные реакции. В случаях, когда это применимо, обобщаются важные результаты вскрытия или результаты посмертного исследования.</w:t>
      </w:r>
    </w:p>
    <w:bookmarkEnd w:id="7488"/>
    <w:bookmarkStart w:name="z7661" w:id="7489"/>
    <w:p>
      <w:pPr>
        <w:spacing w:after="0"/>
        <w:ind w:left="0"/>
        <w:jc w:val="both"/>
      </w:pPr>
      <w:r>
        <w:rPr>
          <w:rFonts w:ascii="Times New Roman"/>
          <w:b w:val="false"/>
          <w:i w:val="false"/>
          <w:color w:val="000000"/>
          <w:sz w:val="28"/>
        </w:rPr>
        <w:t>
      Уполномоченная организация и держатель регистрационного удостоверения, дополнительно к оценке причинно-следственной связи первоисточника (репортера), если она представлена, комментируют отношение причинно-следственной связи между подозреваемым лекарственным препаратом и нежелательной реакцией.</w:t>
      </w:r>
    </w:p>
    <w:bookmarkEnd w:id="7489"/>
    <w:bookmarkStart w:name="z7662" w:id="7490"/>
    <w:p>
      <w:pPr>
        <w:spacing w:after="0"/>
        <w:ind w:left="0"/>
        <w:jc w:val="both"/>
      </w:pPr>
      <w:r>
        <w:rPr>
          <w:rFonts w:ascii="Times New Roman"/>
          <w:b w:val="false"/>
          <w:i w:val="false"/>
          <w:color w:val="000000"/>
          <w:sz w:val="28"/>
        </w:rPr>
        <w:t>
      279. В описании нежелательной реакции фиксируются результаты анализов и процедур, выполненных с целью диагностики или подтверждения реакции, или явления, включая анализы, проведенные для исследования причины, не связанной с лекарственным препаратом (в частности, серологические анализы на инфекционный гепатит при подозрении на гепатит, вызванный лекарственным препаратом). Подлежат сообщению и положительные, и отрицательные результаты исследований.</w:t>
      </w:r>
    </w:p>
    <w:bookmarkEnd w:id="7490"/>
    <w:bookmarkStart w:name="z7663" w:id="7491"/>
    <w:p>
      <w:pPr>
        <w:spacing w:after="0"/>
        <w:ind w:left="0"/>
        <w:jc w:val="left"/>
      </w:pPr>
      <w:r>
        <w:rPr>
          <w:rFonts w:ascii="Times New Roman"/>
          <w:b/>
          <w:i w:val="false"/>
          <w:color w:val="000000"/>
        </w:rPr>
        <w:t xml:space="preserve"> Параграф 3. Последующая информация</w:t>
      </w:r>
    </w:p>
    <w:bookmarkEnd w:id="7491"/>
    <w:bookmarkStart w:name="z7664" w:id="7492"/>
    <w:p>
      <w:pPr>
        <w:spacing w:after="0"/>
        <w:ind w:left="0"/>
        <w:jc w:val="both"/>
      </w:pPr>
      <w:r>
        <w:rPr>
          <w:rFonts w:ascii="Times New Roman"/>
          <w:b w:val="false"/>
          <w:i w:val="false"/>
          <w:color w:val="000000"/>
          <w:sz w:val="28"/>
        </w:rPr>
        <w:t>
      280. Отправитель сообщения о нежелательной реакции, в случае получения новой важной медицинской информации, направляет ее незамедлительно. Важная новая информация включает, новую подозреваемую нежелательную реакцию, изменение в оценке причинно-следственной связи и любую новую информацию или данные об изменении первоначальной (предшествующей) информации, или случаи, влияющие на медицинскую оценку. Идентификация важной новой информации, требующей срочного репортирования, подвергается медицинскому заключению.</w:t>
      </w:r>
    </w:p>
    <w:bookmarkEnd w:id="7492"/>
    <w:bookmarkStart w:name="z7665" w:id="7493"/>
    <w:p>
      <w:pPr>
        <w:spacing w:after="0"/>
        <w:ind w:left="0"/>
        <w:jc w:val="both"/>
      </w:pPr>
      <w:r>
        <w:rPr>
          <w:rFonts w:ascii="Times New Roman"/>
          <w:b w:val="false"/>
          <w:i w:val="false"/>
          <w:color w:val="000000"/>
          <w:sz w:val="28"/>
        </w:rPr>
        <w:t>
      Ситуации, когда критерии серьезности и (или) оценка причинно-следственной связи по отдельным случаям снижаются (в частности, последующая информация приводит к изменению критериев серьезности с серьезной нежелательной реакции на несерьезную; оценка причинно-следственной связи меняется с установленного уровня взаимосвязи на сомнительную взаимосвязь) оцениваются как значительные изменения, и подлежат сообщению согласно требованиям, срочного репортирования информации.</w:t>
      </w:r>
    </w:p>
    <w:bookmarkEnd w:id="7493"/>
    <w:bookmarkStart w:name="z7666" w:id="7494"/>
    <w:p>
      <w:pPr>
        <w:spacing w:after="0"/>
        <w:ind w:left="0"/>
        <w:jc w:val="both"/>
      </w:pPr>
      <w:r>
        <w:rPr>
          <w:rFonts w:ascii="Times New Roman"/>
          <w:b w:val="false"/>
          <w:i w:val="false"/>
          <w:color w:val="000000"/>
          <w:sz w:val="28"/>
        </w:rPr>
        <w:t>
      В случае, если последующая информация вносит незначительные изменения в изначальные данные и оценку, она не подлежит срочному репортированию. Примеры незначительных изменений включают незначимые изменения некоторых дат, без влияния на оценку или передачу случая, или исправления опечаток в предыдущей версии. Тем не менее, последующая информация подлежит медицинскому экспертному заключению в отношении значимости, так как в ряде случаев формальная оценка является недостаточной (в частности, изменение в дате рождения представляет существенное изменение информации о возрасте пациента).</w:t>
      </w:r>
    </w:p>
    <w:bookmarkEnd w:id="7494"/>
    <w:bookmarkStart w:name="z7667" w:id="7495"/>
    <w:p>
      <w:pPr>
        <w:spacing w:after="0"/>
        <w:ind w:left="0"/>
        <w:jc w:val="left"/>
      </w:pPr>
      <w:r>
        <w:rPr>
          <w:rFonts w:ascii="Times New Roman"/>
          <w:b/>
          <w:i w:val="false"/>
          <w:color w:val="000000"/>
        </w:rPr>
        <w:t xml:space="preserve"> Параграф 4. Аннулирование случаев</w:t>
      </w:r>
    </w:p>
    <w:bookmarkEnd w:id="7495"/>
    <w:bookmarkStart w:name="z7668" w:id="7496"/>
    <w:p>
      <w:pPr>
        <w:spacing w:after="0"/>
        <w:ind w:left="0"/>
        <w:jc w:val="both"/>
      </w:pPr>
      <w:r>
        <w:rPr>
          <w:rFonts w:ascii="Times New Roman"/>
          <w:b w:val="false"/>
          <w:i w:val="false"/>
          <w:color w:val="000000"/>
          <w:sz w:val="28"/>
        </w:rPr>
        <w:t>
      281. Аннулированный случай - случай, который более не учитывается в процедурах оценки. Аннулирование осуществляется при обнаружении ошибочности случая, либо в случае дублированных отчетов. Процесс аннулирования случая выполняется посредством уведомления репортера о том, что случай более не является действительным. Однако сообщение сохраняется в базе данных фармаконадзора репортера.</w:t>
      </w:r>
    </w:p>
    <w:bookmarkEnd w:id="7496"/>
    <w:bookmarkStart w:name="z7669" w:id="7497"/>
    <w:p>
      <w:pPr>
        <w:spacing w:after="0"/>
        <w:ind w:left="0"/>
        <w:jc w:val="left"/>
      </w:pPr>
      <w:r>
        <w:rPr>
          <w:rFonts w:ascii="Times New Roman"/>
          <w:b/>
          <w:i w:val="false"/>
          <w:color w:val="000000"/>
        </w:rPr>
        <w:t xml:space="preserve"> Глава 38. Сотрудничество со Всемирной Организацией Здравоохранения</w:t>
      </w:r>
    </w:p>
    <w:bookmarkEnd w:id="7497"/>
    <w:bookmarkStart w:name="z7670" w:id="7498"/>
    <w:p>
      <w:pPr>
        <w:spacing w:after="0"/>
        <w:ind w:left="0"/>
        <w:jc w:val="both"/>
      </w:pPr>
      <w:r>
        <w:rPr>
          <w:rFonts w:ascii="Times New Roman"/>
          <w:b w:val="false"/>
          <w:i w:val="false"/>
          <w:color w:val="000000"/>
          <w:sz w:val="28"/>
        </w:rPr>
        <w:t>
      282. Уполномоченная организация обеспечивает регулярное представление сообщений о выявленных на территории Республики Казахстан подозреваемых нежелательных реакций на лекарственные препараты в Сотрудничающий Центр Всемирной Организации Здравоохранения с целью их включения в базу данных нежелательных реакций Всемирной Организации Здравоохранения.</w:t>
      </w:r>
    </w:p>
    <w:bookmarkEnd w:id="7498"/>
    <w:bookmarkStart w:name="z7671" w:id="7499"/>
    <w:p>
      <w:pPr>
        <w:spacing w:after="0"/>
        <w:ind w:left="0"/>
        <w:jc w:val="left"/>
      </w:pPr>
      <w:r>
        <w:rPr>
          <w:rFonts w:ascii="Times New Roman"/>
          <w:b/>
          <w:i w:val="false"/>
          <w:color w:val="000000"/>
        </w:rPr>
        <w:t xml:space="preserve"> Глава 39. Периодический отчет по безопасности</w:t>
      </w:r>
    </w:p>
    <w:bookmarkEnd w:id="7499"/>
    <w:bookmarkStart w:name="z7672" w:id="7500"/>
    <w:p>
      <w:pPr>
        <w:spacing w:after="0"/>
        <w:ind w:left="0"/>
        <w:jc w:val="left"/>
      </w:pPr>
      <w:r>
        <w:rPr>
          <w:rFonts w:ascii="Times New Roman"/>
          <w:b/>
          <w:i w:val="false"/>
          <w:color w:val="000000"/>
        </w:rPr>
        <w:t xml:space="preserve"> Параграф 1. Понятие и цели периодического отчета по безопасности</w:t>
      </w:r>
    </w:p>
    <w:bookmarkEnd w:id="7500"/>
    <w:bookmarkStart w:name="z7673" w:id="7501"/>
    <w:p>
      <w:pPr>
        <w:spacing w:after="0"/>
        <w:ind w:left="0"/>
        <w:jc w:val="both"/>
      </w:pPr>
      <w:r>
        <w:rPr>
          <w:rFonts w:ascii="Times New Roman"/>
          <w:b w:val="false"/>
          <w:i w:val="false"/>
          <w:color w:val="000000"/>
          <w:sz w:val="28"/>
        </w:rPr>
        <w:t>
      283. Периодический отчет по безопасности (далее - ПОБ) представляет собой документ по фармаконадзору, целью которого является представление держателем регистрационного удостоверения оценки соотношения польза-риск лекарственного препарата на определенных этапах пострегистрационного периода.</w:t>
      </w:r>
    </w:p>
    <w:bookmarkEnd w:id="7501"/>
    <w:bookmarkStart w:name="z7674" w:id="7502"/>
    <w:p>
      <w:pPr>
        <w:spacing w:after="0"/>
        <w:ind w:left="0"/>
        <w:jc w:val="both"/>
      </w:pPr>
      <w:r>
        <w:rPr>
          <w:rFonts w:ascii="Times New Roman"/>
          <w:b w:val="false"/>
          <w:i w:val="false"/>
          <w:color w:val="000000"/>
          <w:sz w:val="28"/>
        </w:rPr>
        <w:t>
      Уполномоченная организация выполняет оценку ПОБ для определения возможных новых выявленных рисков и их влияния на оценку соотношения польза-риск лекарственного препарата. По результатам оценки уполномоченный орган определяет необходимость выполнения дальнейших исследований или испытаний безопасности, или эффективности лекарственного препарата, принятия уполномоченных решений в отношении регистрационного статуса лекарственного препарата или внесения изменений в утвержденную инструкцию по медицинскому применению лекарственного препарата в целях обеспечения его применения при превышении пользы над риском.</w:t>
      </w:r>
    </w:p>
    <w:bookmarkEnd w:id="7502"/>
    <w:bookmarkStart w:name="z7675" w:id="7503"/>
    <w:p>
      <w:pPr>
        <w:spacing w:after="0"/>
        <w:ind w:left="0"/>
        <w:jc w:val="both"/>
      </w:pPr>
      <w:r>
        <w:rPr>
          <w:rFonts w:ascii="Times New Roman"/>
          <w:b w:val="false"/>
          <w:i w:val="false"/>
          <w:color w:val="000000"/>
          <w:sz w:val="28"/>
        </w:rPr>
        <w:t xml:space="preserve">
      284. Основной целью ПОБ является представление исчерпывающего и критического анализа соотношения польза-риск лекарственного препарата с учетом всех новых данных по безопасности и их кумулятивного влияния на профиль безопасности и эффективности лекарственного препарата. ПОБ является инструментом пострегистрационной оценки соотношения польза-риск лекарственного препарата на определенных этапах жизненного цикла лекарственного препарата. </w:t>
      </w:r>
    </w:p>
    <w:bookmarkEnd w:id="7503"/>
    <w:bookmarkStart w:name="z7676" w:id="7504"/>
    <w:p>
      <w:pPr>
        <w:spacing w:after="0"/>
        <w:ind w:left="0"/>
        <w:jc w:val="both"/>
      </w:pPr>
      <w:r>
        <w:rPr>
          <w:rFonts w:ascii="Times New Roman"/>
          <w:b w:val="false"/>
          <w:i w:val="false"/>
          <w:color w:val="000000"/>
          <w:sz w:val="28"/>
        </w:rPr>
        <w:t xml:space="preserve">
      285. В процессе пострегистрационного применения лекарственного препарата выявляется новая информация по безопасности, на основании оценки которой держатель регистрационного удостоверения постоянно осуществляет анализ влияния новых данных на соотношение польза-риск, переоценку данного показателя, а также определяет необходимость оптимизации соотношения польза-риск путем введения эффективных мер по управлению рисками и их минимизации. </w:t>
      </w:r>
    </w:p>
    <w:bookmarkEnd w:id="7504"/>
    <w:bookmarkStart w:name="z7677" w:id="7505"/>
    <w:p>
      <w:pPr>
        <w:spacing w:after="0"/>
        <w:ind w:left="0"/>
        <w:jc w:val="left"/>
      </w:pPr>
      <w:r>
        <w:rPr>
          <w:rFonts w:ascii="Times New Roman"/>
          <w:b/>
          <w:i w:val="false"/>
          <w:color w:val="000000"/>
        </w:rPr>
        <w:t xml:space="preserve"> Параграф 2. Принципы оценки соотношения польза-риск в ПОБ</w:t>
      </w:r>
    </w:p>
    <w:bookmarkEnd w:id="7505"/>
    <w:bookmarkStart w:name="z7678" w:id="7506"/>
    <w:p>
      <w:pPr>
        <w:spacing w:after="0"/>
        <w:ind w:left="0"/>
        <w:jc w:val="both"/>
      </w:pPr>
      <w:r>
        <w:rPr>
          <w:rFonts w:ascii="Times New Roman"/>
          <w:b w:val="false"/>
          <w:i w:val="false"/>
          <w:color w:val="000000"/>
          <w:sz w:val="28"/>
        </w:rPr>
        <w:t>
      286. Оценка соотношения польза-риск носит непрерывный характер на протяжении всего жизненного цикла лекарственного препарата в целях обеспечения защиты здоровья населения и повышения безопасности пациентов путем реализации эффективных мер минимизации риска. Основой для анализа является информация по безопасности и эффективности, собираемая на протяжении соответствующих промежутков времени, составляющих отчетные периоды. Оценка включает следующие этапы:</w:t>
      </w:r>
    </w:p>
    <w:bookmarkEnd w:id="7506"/>
    <w:bookmarkStart w:name="z7679" w:id="7507"/>
    <w:p>
      <w:pPr>
        <w:spacing w:after="0"/>
        <w:ind w:left="0"/>
        <w:jc w:val="both"/>
      </w:pPr>
      <w:r>
        <w:rPr>
          <w:rFonts w:ascii="Times New Roman"/>
          <w:b w:val="false"/>
          <w:i w:val="false"/>
          <w:color w:val="000000"/>
          <w:sz w:val="28"/>
        </w:rPr>
        <w:t>
      1) критический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имеющихся знаний по ранее идентифицированным рискам;</w:t>
      </w:r>
    </w:p>
    <w:bookmarkEnd w:id="7507"/>
    <w:bookmarkStart w:name="z7680" w:id="7508"/>
    <w:p>
      <w:pPr>
        <w:spacing w:after="0"/>
        <w:ind w:left="0"/>
        <w:jc w:val="both"/>
      </w:pPr>
      <w:r>
        <w:rPr>
          <w:rFonts w:ascii="Times New Roman"/>
          <w:b w:val="false"/>
          <w:i w:val="false"/>
          <w:color w:val="000000"/>
          <w:sz w:val="28"/>
        </w:rPr>
        <w:t>
      2) критическое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или испытаний, так и при применении в медицинской практике) с оценкой влияния этих данных на соотношение польза-риск лекарственного препарата;</w:t>
      </w:r>
    </w:p>
    <w:bookmarkEnd w:id="7508"/>
    <w:bookmarkStart w:name="z7681" w:id="7509"/>
    <w:p>
      <w:pPr>
        <w:spacing w:after="0"/>
        <w:ind w:left="0"/>
        <w:jc w:val="both"/>
      </w:pPr>
      <w:r>
        <w:rPr>
          <w:rFonts w:ascii="Times New Roman"/>
          <w:b w:val="false"/>
          <w:i w:val="false"/>
          <w:color w:val="000000"/>
          <w:sz w:val="28"/>
        </w:rPr>
        <w:t>
      3) выполнение интегрального анализа соотношения польза-риск на основании всех кумулятивных данных, имеющихся за период от даты первой регистрации в какой-либо из стран, даты первой регистрации для проведения интервенционного клинического исследования в какой-либо из стран;</w:t>
      </w:r>
    </w:p>
    <w:bookmarkEnd w:id="7509"/>
    <w:bookmarkStart w:name="z7682" w:id="7510"/>
    <w:p>
      <w:pPr>
        <w:spacing w:after="0"/>
        <w:ind w:left="0"/>
        <w:jc w:val="both"/>
      </w:pPr>
      <w:r>
        <w:rPr>
          <w:rFonts w:ascii="Times New Roman"/>
          <w:b w:val="false"/>
          <w:i w:val="false"/>
          <w:color w:val="000000"/>
          <w:sz w:val="28"/>
        </w:rPr>
        <w:t>
      4) обобщение информации по мерам минимизации риска, которые могли выполняться или планируются;</w:t>
      </w:r>
    </w:p>
    <w:bookmarkEnd w:id="7510"/>
    <w:bookmarkStart w:name="z7683" w:id="7511"/>
    <w:p>
      <w:pPr>
        <w:spacing w:after="0"/>
        <w:ind w:left="0"/>
        <w:jc w:val="both"/>
      </w:pPr>
      <w:r>
        <w:rPr>
          <w:rFonts w:ascii="Times New Roman"/>
          <w:b w:val="false"/>
          <w:i w:val="false"/>
          <w:color w:val="000000"/>
          <w:sz w:val="28"/>
        </w:rPr>
        <w:t>
      5) определение плана оценки сигналов и рисков и (или) предложений по дополнительной деятельности по фармаконадзору.</w:t>
      </w:r>
    </w:p>
    <w:bookmarkEnd w:id="7511"/>
    <w:bookmarkStart w:name="z7684" w:id="7512"/>
    <w:p>
      <w:pPr>
        <w:spacing w:after="0"/>
        <w:ind w:left="0"/>
        <w:jc w:val="left"/>
      </w:pPr>
      <w:r>
        <w:rPr>
          <w:rFonts w:ascii="Times New Roman"/>
          <w:b/>
          <w:i w:val="false"/>
          <w:color w:val="000000"/>
        </w:rPr>
        <w:t xml:space="preserve"> Параграф 3. Принципы подготовки ПОБ</w:t>
      </w:r>
    </w:p>
    <w:bookmarkEnd w:id="7512"/>
    <w:bookmarkStart w:name="z7685" w:id="7513"/>
    <w:p>
      <w:pPr>
        <w:spacing w:after="0"/>
        <w:ind w:left="0"/>
        <w:jc w:val="both"/>
      </w:pPr>
      <w:r>
        <w:rPr>
          <w:rFonts w:ascii="Times New Roman"/>
          <w:b w:val="false"/>
          <w:i w:val="false"/>
          <w:color w:val="000000"/>
          <w:sz w:val="28"/>
        </w:rPr>
        <w:t xml:space="preserve">
      287. Держатель регистрационного удостоверения готовит один ПОБ для всех своих лекарственных препаратов, содержащих одно и то же действующее вещество или одну и ту же комбинацию действующих веществ по всем одобренным показаниям, способам введения, формам выпуска и режимам дозирования. В определенных случаях требуется представление данных по отдельным показаниям, формам выпуска, способам введения или режимам дозирования в отдельном разделе ПОБ с соответствующим отражением аспектов профиля безопасности, без подготовки отдельного ПОБ. В случае отличной формы выпуска с полностью отличными показаниями к медицинскому применению подготавливается отдельный ПОБ. </w:t>
      </w:r>
    </w:p>
    <w:bookmarkEnd w:id="7513"/>
    <w:bookmarkStart w:name="z7686" w:id="7514"/>
    <w:p>
      <w:pPr>
        <w:spacing w:after="0"/>
        <w:ind w:left="0"/>
        <w:jc w:val="left"/>
      </w:pPr>
      <w:r>
        <w:rPr>
          <w:rFonts w:ascii="Times New Roman"/>
          <w:b/>
          <w:i w:val="false"/>
          <w:color w:val="000000"/>
        </w:rPr>
        <w:t xml:space="preserve"> Параграф 4. Содержание ПОБ</w:t>
      </w:r>
    </w:p>
    <w:bookmarkEnd w:id="7514"/>
    <w:bookmarkStart w:name="z7687" w:id="7515"/>
    <w:p>
      <w:pPr>
        <w:spacing w:after="0"/>
        <w:ind w:left="0"/>
        <w:jc w:val="both"/>
      </w:pPr>
      <w:r>
        <w:rPr>
          <w:rFonts w:ascii="Times New Roman"/>
          <w:b w:val="false"/>
          <w:i w:val="false"/>
          <w:color w:val="000000"/>
          <w:sz w:val="28"/>
        </w:rPr>
        <w:t>
      288. ПОБ включает кумулятивные данные, полученные от даты регистрации, с направленностью на новую информацию, полученную за отчетный период. Кумулятивная информация рассматривается при выполнении общей оценки безопасности и интегрированной оценки соотношения польза-риск.</w:t>
      </w:r>
    </w:p>
    <w:bookmarkEnd w:id="7515"/>
    <w:bookmarkStart w:name="z7688" w:id="7516"/>
    <w:p>
      <w:pPr>
        <w:spacing w:after="0"/>
        <w:ind w:left="0"/>
        <w:jc w:val="both"/>
      </w:pPr>
      <w:r>
        <w:rPr>
          <w:rFonts w:ascii="Times New Roman"/>
          <w:b w:val="false"/>
          <w:i w:val="false"/>
          <w:color w:val="000000"/>
          <w:sz w:val="28"/>
        </w:rPr>
        <w:t>
      ПОБ включает обобщающую информацию по всем источникам получения значимых данных по эффективности и безопасности, которые учитываются при выполнении очередной оценки соотношения польза-риск и которые имеются в распоряжении держателя регистрационного удостоверения. Указанная информация включает:</w:t>
      </w:r>
    </w:p>
    <w:bookmarkEnd w:id="7516"/>
    <w:bookmarkStart w:name="z7689" w:id="7517"/>
    <w:p>
      <w:pPr>
        <w:spacing w:after="0"/>
        <w:ind w:left="0"/>
        <w:jc w:val="both"/>
      </w:pPr>
      <w:r>
        <w:rPr>
          <w:rFonts w:ascii="Times New Roman"/>
          <w:b w:val="false"/>
          <w:i w:val="false"/>
          <w:color w:val="000000"/>
          <w:sz w:val="28"/>
        </w:rPr>
        <w:t>
      1. Обобщающая информация по результатам медицинского применения:</w:t>
      </w:r>
    </w:p>
    <w:bookmarkEnd w:id="7517"/>
    <w:bookmarkStart w:name="z7690" w:id="7518"/>
    <w:p>
      <w:pPr>
        <w:spacing w:after="0"/>
        <w:ind w:left="0"/>
        <w:jc w:val="both"/>
      </w:pPr>
      <w:r>
        <w:rPr>
          <w:rFonts w:ascii="Times New Roman"/>
          <w:b w:val="false"/>
          <w:i w:val="false"/>
          <w:color w:val="000000"/>
          <w:sz w:val="28"/>
        </w:rPr>
        <w:t>
      1) данные спонтанного репортирования;</w:t>
      </w:r>
    </w:p>
    <w:bookmarkEnd w:id="7518"/>
    <w:bookmarkStart w:name="z7691" w:id="7519"/>
    <w:p>
      <w:pPr>
        <w:spacing w:after="0"/>
        <w:ind w:left="0"/>
        <w:jc w:val="both"/>
      </w:pPr>
      <w:r>
        <w:rPr>
          <w:rFonts w:ascii="Times New Roman"/>
          <w:b w:val="false"/>
          <w:i w:val="false"/>
          <w:color w:val="000000"/>
          <w:sz w:val="28"/>
        </w:rPr>
        <w:t>
      2) данные медицинской литературы;</w:t>
      </w:r>
    </w:p>
    <w:bookmarkEnd w:id="7519"/>
    <w:bookmarkStart w:name="z7692" w:id="7520"/>
    <w:p>
      <w:pPr>
        <w:spacing w:after="0"/>
        <w:ind w:left="0"/>
        <w:jc w:val="both"/>
      </w:pPr>
      <w:r>
        <w:rPr>
          <w:rFonts w:ascii="Times New Roman"/>
          <w:b w:val="false"/>
          <w:i w:val="false"/>
          <w:color w:val="000000"/>
          <w:sz w:val="28"/>
        </w:rPr>
        <w:t>
      3) данные, полученные в ходе активных методов мониторинга (в частности, анализ внутренних или внешних бах данных);</w:t>
      </w:r>
    </w:p>
    <w:bookmarkEnd w:id="7520"/>
    <w:bookmarkStart w:name="z7693" w:id="7521"/>
    <w:p>
      <w:pPr>
        <w:spacing w:after="0"/>
        <w:ind w:left="0"/>
        <w:jc w:val="both"/>
      </w:pPr>
      <w:r>
        <w:rPr>
          <w:rFonts w:ascii="Times New Roman"/>
          <w:b w:val="false"/>
          <w:i w:val="false"/>
          <w:color w:val="000000"/>
          <w:sz w:val="28"/>
        </w:rPr>
        <w:t>
      4) сигналы по безопасности, находящиеся на рассмотрении у держателя регистрационного удостоверения;</w:t>
      </w:r>
    </w:p>
    <w:bookmarkEnd w:id="7521"/>
    <w:bookmarkStart w:name="z7694" w:id="7522"/>
    <w:p>
      <w:pPr>
        <w:spacing w:after="0"/>
        <w:ind w:left="0"/>
        <w:jc w:val="both"/>
      </w:pPr>
      <w:r>
        <w:rPr>
          <w:rFonts w:ascii="Times New Roman"/>
          <w:b w:val="false"/>
          <w:i w:val="false"/>
          <w:color w:val="000000"/>
          <w:sz w:val="28"/>
        </w:rPr>
        <w:t>
      5) информация от партнеров по маркетингу или дистрибьюции.</w:t>
      </w:r>
    </w:p>
    <w:bookmarkEnd w:id="7522"/>
    <w:bookmarkStart w:name="z7695" w:id="7523"/>
    <w:p>
      <w:pPr>
        <w:spacing w:after="0"/>
        <w:ind w:left="0"/>
        <w:jc w:val="both"/>
      </w:pPr>
      <w:r>
        <w:rPr>
          <w:rFonts w:ascii="Times New Roman"/>
          <w:b w:val="false"/>
          <w:i w:val="false"/>
          <w:color w:val="000000"/>
          <w:sz w:val="28"/>
        </w:rPr>
        <w:t>
      2. Обобщающая информация по клиническим исследованиям или испытаниям:</w:t>
      </w:r>
    </w:p>
    <w:bookmarkEnd w:id="7523"/>
    <w:bookmarkStart w:name="z7696" w:id="7524"/>
    <w:p>
      <w:pPr>
        <w:spacing w:after="0"/>
        <w:ind w:left="0"/>
        <w:jc w:val="both"/>
      </w:pPr>
      <w:r>
        <w:rPr>
          <w:rFonts w:ascii="Times New Roman"/>
          <w:b w:val="false"/>
          <w:i w:val="false"/>
          <w:color w:val="000000"/>
          <w:sz w:val="28"/>
        </w:rPr>
        <w:t>
      1) продолжающиеся клинические исследования (испытания) или иные исследования (испытания), которые выполняются держателем регистрационного удостоверения или его представителем, либо которые были завершены в отчетный период;</w:t>
      </w:r>
    </w:p>
    <w:bookmarkEnd w:id="7524"/>
    <w:bookmarkStart w:name="z7697" w:id="7525"/>
    <w:p>
      <w:pPr>
        <w:spacing w:after="0"/>
        <w:ind w:left="0"/>
        <w:jc w:val="both"/>
      </w:pPr>
      <w:r>
        <w:rPr>
          <w:rFonts w:ascii="Times New Roman"/>
          <w:b w:val="false"/>
          <w:i w:val="false"/>
          <w:color w:val="000000"/>
          <w:sz w:val="28"/>
        </w:rPr>
        <w:t>
      2) терапевтическое применение исследуемого лекарственного препарата;</w:t>
      </w:r>
    </w:p>
    <w:bookmarkEnd w:id="7525"/>
    <w:bookmarkStart w:name="z7698" w:id="7526"/>
    <w:p>
      <w:pPr>
        <w:spacing w:after="0"/>
        <w:ind w:left="0"/>
        <w:jc w:val="both"/>
      </w:pPr>
      <w:r>
        <w:rPr>
          <w:rFonts w:ascii="Times New Roman"/>
          <w:b w:val="false"/>
          <w:i w:val="false"/>
          <w:color w:val="000000"/>
          <w:sz w:val="28"/>
        </w:rPr>
        <w:t>
      3) обсервационные или эпидемиологические исследования;</w:t>
      </w:r>
    </w:p>
    <w:bookmarkEnd w:id="7526"/>
    <w:bookmarkStart w:name="z7699" w:id="7527"/>
    <w:p>
      <w:pPr>
        <w:spacing w:after="0"/>
        <w:ind w:left="0"/>
        <w:jc w:val="both"/>
      </w:pPr>
      <w:r>
        <w:rPr>
          <w:rFonts w:ascii="Times New Roman"/>
          <w:b w:val="false"/>
          <w:i w:val="false"/>
          <w:color w:val="000000"/>
          <w:sz w:val="28"/>
        </w:rPr>
        <w:t>
      4) исследования по оценке использования лекарственного препарата;</w:t>
      </w:r>
    </w:p>
    <w:bookmarkEnd w:id="7527"/>
    <w:bookmarkStart w:name="z7700" w:id="7528"/>
    <w:p>
      <w:pPr>
        <w:spacing w:after="0"/>
        <w:ind w:left="0"/>
        <w:jc w:val="both"/>
      </w:pPr>
      <w:r>
        <w:rPr>
          <w:rFonts w:ascii="Times New Roman"/>
          <w:b w:val="false"/>
          <w:i w:val="false"/>
          <w:color w:val="000000"/>
          <w:sz w:val="28"/>
        </w:rPr>
        <w:t>
      5) доклинические исследования (токсикологические и исследования in vitro);</w:t>
      </w:r>
    </w:p>
    <w:bookmarkEnd w:id="7528"/>
    <w:bookmarkStart w:name="z7701" w:id="7529"/>
    <w:p>
      <w:pPr>
        <w:spacing w:after="0"/>
        <w:ind w:left="0"/>
        <w:jc w:val="both"/>
      </w:pPr>
      <w:r>
        <w:rPr>
          <w:rFonts w:ascii="Times New Roman"/>
          <w:b w:val="false"/>
          <w:i w:val="false"/>
          <w:color w:val="000000"/>
          <w:sz w:val="28"/>
        </w:rPr>
        <w:t>
      6) клинические исследования, выполняемые партнерами держателя регистрационного удостоверения по разработке или размещению на рынке лекарственного препарата;</w:t>
      </w:r>
    </w:p>
    <w:bookmarkEnd w:id="7529"/>
    <w:bookmarkStart w:name="z7702" w:id="7530"/>
    <w:p>
      <w:pPr>
        <w:spacing w:after="0"/>
        <w:ind w:left="0"/>
        <w:jc w:val="both"/>
      </w:pPr>
      <w:r>
        <w:rPr>
          <w:rFonts w:ascii="Times New Roman"/>
          <w:b w:val="false"/>
          <w:i w:val="false"/>
          <w:color w:val="000000"/>
          <w:sz w:val="28"/>
        </w:rPr>
        <w:t>
      7) клинические исследования, в которых была выявлена недостаточная терапевтическая эффективность, что оказывает на оценку соотношения польза-риск лекарственного препарата.</w:t>
      </w:r>
    </w:p>
    <w:bookmarkEnd w:id="7530"/>
    <w:bookmarkStart w:name="z7703" w:id="7531"/>
    <w:p>
      <w:pPr>
        <w:spacing w:after="0"/>
        <w:ind w:left="0"/>
        <w:jc w:val="both"/>
      </w:pPr>
      <w:r>
        <w:rPr>
          <w:rFonts w:ascii="Times New Roman"/>
          <w:b w:val="false"/>
          <w:i w:val="false"/>
          <w:color w:val="000000"/>
          <w:sz w:val="28"/>
        </w:rPr>
        <w:t>
      3. Обобщающая информация из других источников:</w:t>
      </w:r>
    </w:p>
    <w:bookmarkEnd w:id="7531"/>
    <w:bookmarkStart w:name="z7704" w:id="7532"/>
    <w:p>
      <w:pPr>
        <w:spacing w:after="0"/>
        <w:ind w:left="0"/>
        <w:jc w:val="both"/>
      </w:pPr>
      <w:r>
        <w:rPr>
          <w:rFonts w:ascii="Times New Roman"/>
          <w:b w:val="false"/>
          <w:i w:val="false"/>
          <w:color w:val="000000"/>
          <w:sz w:val="28"/>
        </w:rPr>
        <w:t>
      1) данные из иных источников, имеющих отношение к оценке эффективности или безопасности лекарственных препаратов аналогической фармакотерапевтической группы;</w:t>
      </w:r>
    </w:p>
    <w:bookmarkEnd w:id="7532"/>
    <w:bookmarkStart w:name="z7705" w:id="7533"/>
    <w:p>
      <w:pPr>
        <w:spacing w:after="0"/>
        <w:ind w:left="0"/>
        <w:jc w:val="both"/>
      </w:pPr>
      <w:r>
        <w:rPr>
          <w:rFonts w:ascii="Times New Roman"/>
          <w:b w:val="false"/>
          <w:i w:val="false"/>
          <w:color w:val="000000"/>
          <w:sz w:val="28"/>
        </w:rPr>
        <w:t>
      2) иные ПОБ или отчеты по безопасности разрабатываемых лекарственных препаратов (в частности, контрактных партнеров или инициаторов исследований);</w:t>
      </w:r>
    </w:p>
    <w:bookmarkEnd w:id="7533"/>
    <w:bookmarkStart w:name="z7706" w:id="7534"/>
    <w:p>
      <w:pPr>
        <w:spacing w:after="0"/>
        <w:ind w:left="0"/>
        <w:jc w:val="both"/>
      </w:pPr>
      <w:r>
        <w:rPr>
          <w:rFonts w:ascii="Times New Roman"/>
          <w:b w:val="false"/>
          <w:i w:val="false"/>
          <w:color w:val="000000"/>
          <w:sz w:val="28"/>
        </w:rPr>
        <w:t>
      3) важная информация, полученная после завершения подготовки ПОБ.</w:t>
      </w:r>
    </w:p>
    <w:bookmarkEnd w:id="7534"/>
    <w:bookmarkStart w:name="z7707" w:id="7535"/>
    <w:p>
      <w:pPr>
        <w:spacing w:after="0"/>
        <w:ind w:left="0"/>
        <w:jc w:val="both"/>
      </w:pPr>
      <w:r>
        <w:rPr>
          <w:rFonts w:ascii="Times New Roman"/>
          <w:b w:val="false"/>
          <w:i w:val="false"/>
          <w:color w:val="000000"/>
          <w:sz w:val="28"/>
        </w:rPr>
        <w:t>
      289. ПОБ включает следующие разделы:</w:t>
      </w:r>
    </w:p>
    <w:bookmarkEnd w:id="7535"/>
    <w:bookmarkStart w:name="z7708" w:id="7536"/>
    <w:p>
      <w:pPr>
        <w:spacing w:after="0"/>
        <w:ind w:left="0"/>
        <w:jc w:val="both"/>
      </w:pPr>
      <w:r>
        <w:rPr>
          <w:rFonts w:ascii="Times New Roman"/>
          <w:b w:val="false"/>
          <w:i w:val="false"/>
          <w:color w:val="000000"/>
          <w:sz w:val="28"/>
        </w:rPr>
        <w:t>
      1. Титульный лист, включая удостоверяющую подпись;</w:t>
      </w:r>
    </w:p>
    <w:bookmarkEnd w:id="7536"/>
    <w:bookmarkStart w:name="z7709" w:id="7537"/>
    <w:p>
      <w:pPr>
        <w:spacing w:after="0"/>
        <w:ind w:left="0"/>
        <w:jc w:val="both"/>
      </w:pPr>
      <w:r>
        <w:rPr>
          <w:rFonts w:ascii="Times New Roman"/>
          <w:b w:val="false"/>
          <w:i w:val="false"/>
          <w:color w:val="000000"/>
          <w:sz w:val="28"/>
        </w:rPr>
        <w:t>
      2. Краткое изложение основного содержания;</w:t>
      </w:r>
    </w:p>
    <w:bookmarkEnd w:id="7537"/>
    <w:bookmarkStart w:name="z7710" w:id="7538"/>
    <w:p>
      <w:pPr>
        <w:spacing w:after="0"/>
        <w:ind w:left="0"/>
        <w:jc w:val="both"/>
      </w:pPr>
      <w:r>
        <w:rPr>
          <w:rFonts w:ascii="Times New Roman"/>
          <w:b w:val="false"/>
          <w:i w:val="false"/>
          <w:color w:val="000000"/>
          <w:sz w:val="28"/>
        </w:rPr>
        <w:t>
      3. Таблица содержания отчета:</w:t>
      </w:r>
    </w:p>
    <w:bookmarkEnd w:id="7538"/>
    <w:bookmarkStart w:name="z7711" w:id="7539"/>
    <w:p>
      <w:pPr>
        <w:spacing w:after="0"/>
        <w:ind w:left="0"/>
        <w:jc w:val="both"/>
      </w:pPr>
      <w:r>
        <w:rPr>
          <w:rFonts w:ascii="Times New Roman"/>
          <w:b w:val="false"/>
          <w:i w:val="false"/>
          <w:color w:val="000000"/>
          <w:sz w:val="28"/>
        </w:rPr>
        <w:t>
      1) введение;</w:t>
      </w:r>
    </w:p>
    <w:bookmarkEnd w:id="7539"/>
    <w:bookmarkStart w:name="z7712" w:id="7540"/>
    <w:p>
      <w:pPr>
        <w:spacing w:after="0"/>
        <w:ind w:left="0"/>
        <w:jc w:val="both"/>
      </w:pPr>
      <w:r>
        <w:rPr>
          <w:rFonts w:ascii="Times New Roman"/>
          <w:b w:val="false"/>
          <w:i w:val="false"/>
          <w:color w:val="000000"/>
          <w:sz w:val="28"/>
        </w:rPr>
        <w:t>
      2) регистрационный статус в мире;</w:t>
      </w:r>
    </w:p>
    <w:bookmarkEnd w:id="7540"/>
    <w:bookmarkStart w:name="z7713" w:id="7541"/>
    <w:p>
      <w:pPr>
        <w:spacing w:after="0"/>
        <w:ind w:left="0"/>
        <w:jc w:val="both"/>
      </w:pPr>
      <w:r>
        <w:rPr>
          <w:rFonts w:ascii="Times New Roman"/>
          <w:b w:val="false"/>
          <w:i w:val="false"/>
          <w:color w:val="000000"/>
          <w:sz w:val="28"/>
        </w:rPr>
        <w:t>
      3) меры, принятые за отчетный период, в связи с данными по безопасности;</w:t>
      </w:r>
    </w:p>
    <w:bookmarkEnd w:id="7541"/>
    <w:bookmarkStart w:name="z7714" w:id="7542"/>
    <w:p>
      <w:pPr>
        <w:spacing w:after="0"/>
        <w:ind w:left="0"/>
        <w:jc w:val="both"/>
      </w:pPr>
      <w:r>
        <w:rPr>
          <w:rFonts w:ascii="Times New Roman"/>
          <w:b w:val="false"/>
          <w:i w:val="false"/>
          <w:color w:val="000000"/>
          <w:sz w:val="28"/>
        </w:rPr>
        <w:t>
      4) изменения, внесенные в справочную информацию по безопасности лекарственного препарата;</w:t>
      </w:r>
    </w:p>
    <w:bookmarkEnd w:id="7542"/>
    <w:bookmarkStart w:name="z7715" w:id="7543"/>
    <w:p>
      <w:pPr>
        <w:spacing w:after="0"/>
        <w:ind w:left="0"/>
        <w:jc w:val="both"/>
      </w:pPr>
      <w:r>
        <w:rPr>
          <w:rFonts w:ascii="Times New Roman"/>
          <w:b w:val="false"/>
          <w:i w:val="false"/>
          <w:color w:val="000000"/>
          <w:sz w:val="28"/>
        </w:rPr>
        <w:t>
      5) оценка количества пациентов, подвергшихся воздействию лекарственного препарата:</w:t>
      </w:r>
    </w:p>
    <w:bookmarkEnd w:id="7543"/>
    <w:bookmarkStart w:name="z7716" w:id="7544"/>
    <w:p>
      <w:pPr>
        <w:spacing w:after="0"/>
        <w:ind w:left="0"/>
        <w:jc w:val="both"/>
      </w:pPr>
      <w:r>
        <w:rPr>
          <w:rFonts w:ascii="Times New Roman"/>
          <w:b w:val="false"/>
          <w:i w:val="false"/>
          <w:color w:val="000000"/>
          <w:sz w:val="28"/>
        </w:rPr>
        <w:t>
      общее количество пациентов, подвергшихся воздействию в клинических исследованиях;</w:t>
      </w:r>
    </w:p>
    <w:bookmarkEnd w:id="7544"/>
    <w:bookmarkStart w:name="z7717" w:id="7545"/>
    <w:p>
      <w:pPr>
        <w:spacing w:after="0"/>
        <w:ind w:left="0"/>
        <w:jc w:val="both"/>
      </w:pPr>
      <w:r>
        <w:rPr>
          <w:rFonts w:ascii="Times New Roman"/>
          <w:b w:val="false"/>
          <w:i w:val="false"/>
          <w:color w:val="000000"/>
          <w:sz w:val="28"/>
        </w:rPr>
        <w:t>
      общее количество пациентов, подвергшихся воздействию по данным применения на рынке.</w:t>
      </w:r>
    </w:p>
    <w:bookmarkEnd w:id="7545"/>
    <w:bookmarkStart w:name="z7718" w:id="7546"/>
    <w:p>
      <w:pPr>
        <w:spacing w:after="0"/>
        <w:ind w:left="0"/>
        <w:jc w:val="both"/>
      </w:pPr>
      <w:r>
        <w:rPr>
          <w:rFonts w:ascii="Times New Roman"/>
          <w:b w:val="false"/>
          <w:i w:val="false"/>
          <w:color w:val="000000"/>
          <w:sz w:val="28"/>
        </w:rPr>
        <w:t>
      6) обобщенные табличные данные:</w:t>
      </w:r>
    </w:p>
    <w:bookmarkEnd w:id="7546"/>
    <w:bookmarkStart w:name="z7719" w:id="7547"/>
    <w:p>
      <w:pPr>
        <w:spacing w:after="0"/>
        <w:ind w:left="0"/>
        <w:jc w:val="both"/>
      </w:pPr>
      <w:r>
        <w:rPr>
          <w:rFonts w:ascii="Times New Roman"/>
          <w:b w:val="false"/>
          <w:i w:val="false"/>
          <w:color w:val="000000"/>
          <w:sz w:val="28"/>
        </w:rPr>
        <w:t>
      справочная информация;</w:t>
      </w:r>
    </w:p>
    <w:bookmarkEnd w:id="7547"/>
    <w:bookmarkStart w:name="z7720" w:id="7548"/>
    <w:p>
      <w:pPr>
        <w:spacing w:after="0"/>
        <w:ind w:left="0"/>
        <w:jc w:val="both"/>
      </w:pPr>
      <w:r>
        <w:rPr>
          <w:rFonts w:ascii="Times New Roman"/>
          <w:b w:val="false"/>
          <w:i w:val="false"/>
          <w:color w:val="000000"/>
          <w:sz w:val="28"/>
        </w:rPr>
        <w:t>
      обобщенная информация по серьезным нежелательным реакциям, выявленным в ходе клинических исследований;</w:t>
      </w:r>
    </w:p>
    <w:bookmarkEnd w:id="7548"/>
    <w:bookmarkStart w:name="z7721" w:id="7549"/>
    <w:p>
      <w:pPr>
        <w:spacing w:after="0"/>
        <w:ind w:left="0"/>
        <w:jc w:val="both"/>
      </w:pPr>
      <w:r>
        <w:rPr>
          <w:rFonts w:ascii="Times New Roman"/>
          <w:b w:val="false"/>
          <w:i w:val="false"/>
          <w:color w:val="000000"/>
          <w:sz w:val="28"/>
        </w:rPr>
        <w:t>
      обобщенная информация по данным пострегистрационного применения.</w:t>
      </w:r>
    </w:p>
    <w:bookmarkEnd w:id="7549"/>
    <w:bookmarkStart w:name="z7722" w:id="7550"/>
    <w:p>
      <w:pPr>
        <w:spacing w:after="0"/>
        <w:ind w:left="0"/>
        <w:jc w:val="both"/>
      </w:pPr>
      <w:r>
        <w:rPr>
          <w:rFonts w:ascii="Times New Roman"/>
          <w:b w:val="false"/>
          <w:i w:val="false"/>
          <w:color w:val="000000"/>
          <w:sz w:val="28"/>
        </w:rPr>
        <w:t>
      7) резюме важных данных, полученных в ходе клинических исследований за отчетный период:</w:t>
      </w:r>
    </w:p>
    <w:bookmarkEnd w:id="7550"/>
    <w:bookmarkStart w:name="z7723" w:id="7551"/>
    <w:p>
      <w:pPr>
        <w:spacing w:after="0"/>
        <w:ind w:left="0"/>
        <w:jc w:val="both"/>
      </w:pPr>
      <w:r>
        <w:rPr>
          <w:rFonts w:ascii="Times New Roman"/>
          <w:b w:val="false"/>
          <w:i w:val="false"/>
          <w:color w:val="000000"/>
          <w:sz w:val="28"/>
        </w:rPr>
        <w:t>
      завершенные клинические исследования;</w:t>
      </w:r>
    </w:p>
    <w:bookmarkEnd w:id="7551"/>
    <w:bookmarkStart w:name="z7724" w:id="7552"/>
    <w:p>
      <w:pPr>
        <w:spacing w:after="0"/>
        <w:ind w:left="0"/>
        <w:jc w:val="both"/>
      </w:pPr>
      <w:r>
        <w:rPr>
          <w:rFonts w:ascii="Times New Roman"/>
          <w:b w:val="false"/>
          <w:i w:val="false"/>
          <w:color w:val="000000"/>
          <w:sz w:val="28"/>
        </w:rPr>
        <w:t>
      продолжающиеся клинические исследования;</w:t>
      </w:r>
    </w:p>
    <w:bookmarkEnd w:id="7552"/>
    <w:bookmarkStart w:name="z7725" w:id="7553"/>
    <w:p>
      <w:pPr>
        <w:spacing w:after="0"/>
        <w:ind w:left="0"/>
        <w:jc w:val="both"/>
      </w:pPr>
      <w:r>
        <w:rPr>
          <w:rFonts w:ascii="Times New Roman"/>
          <w:b w:val="false"/>
          <w:i w:val="false"/>
          <w:color w:val="000000"/>
          <w:sz w:val="28"/>
        </w:rPr>
        <w:t>
      длительный последующий мониторинг;</w:t>
      </w:r>
    </w:p>
    <w:bookmarkEnd w:id="7553"/>
    <w:bookmarkStart w:name="z7726" w:id="7554"/>
    <w:p>
      <w:pPr>
        <w:spacing w:after="0"/>
        <w:ind w:left="0"/>
        <w:jc w:val="both"/>
      </w:pPr>
      <w:r>
        <w:rPr>
          <w:rFonts w:ascii="Times New Roman"/>
          <w:b w:val="false"/>
          <w:i w:val="false"/>
          <w:color w:val="000000"/>
          <w:sz w:val="28"/>
        </w:rPr>
        <w:t>
      иное терапевтическое применение лекарственного препарата;</w:t>
      </w:r>
    </w:p>
    <w:bookmarkEnd w:id="7554"/>
    <w:bookmarkStart w:name="z7727" w:id="7555"/>
    <w:p>
      <w:pPr>
        <w:spacing w:after="0"/>
        <w:ind w:left="0"/>
        <w:jc w:val="both"/>
      </w:pPr>
      <w:r>
        <w:rPr>
          <w:rFonts w:ascii="Times New Roman"/>
          <w:b w:val="false"/>
          <w:i w:val="false"/>
          <w:color w:val="000000"/>
          <w:sz w:val="28"/>
        </w:rPr>
        <w:t>
      новые данные по безопасности в отношении назначения фиксированных комбинаций.</w:t>
      </w:r>
    </w:p>
    <w:bookmarkEnd w:id="7555"/>
    <w:bookmarkStart w:name="z7728" w:id="7556"/>
    <w:p>
      <w:pPr>
        <w:spacing w:after="0"/>
        <w:ind w:left="0"/>
        <w:jc w:val="both"/>
      </w:pPr>
      <w:r>
        <w:rPr>
          <w:rFonts w:ascii="Times New Roman"/>
          <w:b w:val="false"/>
          <w:i w:val="false"/>
          <w:color w:val="000000"/>
          <w:sz w:val="28"/>
        </w:rPr>
        <w:t>
      8) данные неинтервенционных исследований;</w:t>
      </w:r>
    </w:p>
    <w:bookmarkEnd w:id="7556"/>
    <w:bookmarkStart w:name="z7729" w:id="7557"/>
    <w:p>
      <w:pPr>
        <w:spacing w:after="0"/>
        <w:ind w:left="0"/>
        <w:jc w:val="both"/>
      </w:pPr>
      <w:r>
        <w:rPr>
          <w:rFonts w:ascii="Times New Roman"/>
          <w:b w:val="false"/>
          <w:i w:val="false"/>
          <w:color w:val="000000"/>
          <w:sz w:val="28"/>
        </w:rPr>
        <w:t>
      9) данные других клинических исследований и из других источников;</w:t>
      </w:r>
    </w:p>
    <w:bookmarkEnd w:id="7557"/>
    <w:bookmarkStart w:name="z7730" w:id="7558"/>
    <w:p>
      <w:pPr>
        <w:spacing w:after="0"/>
        <w:ind w:left="0"/>
        <w:jc w:val="both"/>
      </w:pPr>
      <w:r>
        <w:rPr>
          <w:rFonts w:ascii="Times New Roman"/>
          <w:b w:val="false"/>
          <w:i w:val="false"/>
          <w:color w:val="000000"/>
          <w:sz w:val="28"/>
        </w:rPr>
        <w:t>
      10) данные доклинических исследований;</w:t>
      </w:r>
    </w:p>
    <w:bookmarkEnd w:id="7558"/>
    <w:bookmarkStart w:name="z7731" w:id="7559"/>
    <w:p>
      <w:pPr>
        <w:spacing w:after="0"/>
        <w:ind w:left="0"/>
        <w:jc w:val="both"/>
      </w:pPr>
      <w:r>
        <w:rPr>
          <w:rFonts w:ascii="Times New Roman"/>
          <w:b w:val="false"/>
          <w:i w:val="false"/>
          <w:color w:val="000000"/>
          <w:sz w:val="28"/>
        </w:rPr>
        <w:t>
      11) литература;</w:t>
      </w:r>
    </w:p>
    <w:bookmarkEnd w:id="7559"/>
    <w:bookmarkStart w:name="z7732" w:id="7560"/>
    <w:p>
      <w:pPr>
        <w:spacing w:after="0"/>
        <w:ind w:left="0"/>
        <w:jc w:val="both"/>
      </w:pPr>
      <w:r>
        <w:rPr>
          <w:rFonts w:ascii="Times New Roman"/>
          <w:b w:val="false"/>
          <w:i w:val="false"/>
          <w:color w:val="000000"/>
          <w:sz w:val="28"/>
        </w:rPr>
        <w:t>
      12) другие периодические отчеты;</w:t>
      </w:r>
    </w:p>
    <w:bookmarkEnd w:id="7560"/>
    <w:bookmarkStart w:name="z7733" w:id="7561"/>
    <w:p>
      <w:pPr>
        <w:spacing w:after="0"/>
        <w:ind w:left="0"/>
        <w:jc w:val="both"/>
      </w:pPr>
      <w:r>
        <w:rPr>
          <w:rFonts w:ascii="Times New Roman"/>
          <w:b w:val="false"/>
          <w:i w:val="false"/>
          <w:color w:val="000000"/>
          <w:sz w:val="28"/>
        </w:rPr>
        <w:t>
      13) недостаточная терапевтическая эффективность в контролируемых клинических исследованиях;</w:t>
      </w:r>
    </w:p>
    <w:bookmarkEnd w:id="7561"/>
    <w:bookmarkStart w:name="z7734" w:id="7562"/>
    <w:p>
      <w:pPr>
        <w:spacing w:after="0"/>
        <w:ind w:left="0"/>
        <w:jc w:val="both"/>
      </w:pPr>
      <w:r>
        <w:rPr>
          <w:rFonts w:ascii="Times New Roman"/>
          <w:b w:val="false"/>
          <w:i w:val="false"/>
          <w:color w:val="000000"/>
          <w:sz w:val="28"/>
        </w:rPr>
        <w:t>
      14) важная информация, полученная после завершения подготовки ПОБ;</w:t>
      </w:r>
    </w:p>
    <w:bookmarkEnd w:id="7562"/>
    <w:bookmarkStart w:name="z7735" w:id="7563"/>
    <w:p>
      <w:pPr>
        <w:spacing w:after="0"/>
        <w:ind w:left="0"/>
        <w:jc w:val="both"/>
      </w:pPr>
      <w:r>
        <w:rPr>
          <w:rFonts w:ascii="Times New Roman"/>
          <w:b w:val="false"/>
          <w:i w:val="false"/>
          <w:color w:val="000000"/>
          <w:sz w:val="28"/>
        </w:rPr>
        <w:t xml:space="preserve">
      15) обзор сигналов: новые, рассматриваемые и завершенные; </w:t>
      </w:r>
    </w:p>
    <w:bookmarkEnd w:id="7563"/>
    <w:bookmarkStart w:name="z7736" w:id="7564"/>
    <w:p>
      <w:pPr>
        <w:spacing w:after="0"/>
        <w:ind w:left="0"/>
        <w:jc w:val="both"/>
      </w:pPr>
      <w:r>
        <w:rPr>
          <w:rFonts w:ascii="Times New Roman"/>
          <w:b w:val="false"/>
          <w:i w:val="false"/>
          <w:color w:val="000000"/>
          <w:sz w:val="28"/>
        </w:rPr>
        <w:t>
      16) сигналы и оценка риска:</w:t>
      </w:r>
    </w:p>
    <w:bookmarkEnd w:id="7564"/>
    <w:bookmarkStart w:name="z7737" w:id="7565"/>
    <w:p>
      <w:pPr>
        <w:spacing w:after="0"/>
        <w:ind w:left="0"/>
        <w:jc w:val="both"/>
      </w:pPr>
      <w:r>
        <w:rPr>
          <w:rFonts w:ascii="Times New Roman"/>
          <w:b w:val="false"/>
          <w:i w:val="false"/>
          <w:color w:val="000000"/>
          <w:sz w:val="28"/>
        </w:rPr>
        <w:t>
      обобщающая информация по проблемам безопасности;</w:t>
      </w:r>
    </w:p>
    <w:bookmarkEnd w:id="7565"/>
    <w:bookmarkStart w:name="z7738" w:id="7566"/>
    <w:p>
      <w:pPr>
        <w:spacing w:after="0"/>
        <w:ind w:left="0"/>
        <w:jc w:val="both"/>
      </w:pPr>
      <w:r>
        <w:rPr>
          <w:rFonts w:ascii="Times New Roman"/>
          <w:b w:val="false"/>
          <w:i w:val="false"/>
          <w:color w:val="000000"/>
          <w:sz w:val="28"/>
        </w:rPr>
        <w:t>
      оценка сигнала;</w:t>
      </w:r>
    </w:p>
    <w:bookmarkEnd w:id="7566"/>
    <w:bookmarkStart w:name="z7739" w:id="7567"/>
    <w:p>
      <w:pPr>
        <w:spacing w:after="0"/>
        <w:ind w:left="0"/>
        <w:jc w:val="both"/>
      </w:pPr>
      <w:r>
        <w:rPr>
          <w:rFonts w:ascii="Times New Roman"/>
          <w:b w:val="false"/>
          <w:i w:val="false"/>
          <w:color w:val="000000"/>
          <w:sz w:val="28"/>
        </w:rPr>
        <w:t>
      оценка рисков и новой информации;</w:t>
      </w:r>
    </w:p>
    <w:bookmarkEnd w:id="7567"/>
    <w:bookmarkStart w:name="z7740" w:id="7568"/>
    <w:p>
      <w:pPr>
        <w:spacing w:after="0"/>
        <w:ind w:left="0"/>
        <w:jc w:val="both"/>
      </w:pPr>
      <w:r>
        <w:rPr>
          <w:rFonts w:ascii="Times New Roman"/>
          <w:b w:val="false"/>
          <w:i w:val="false"/>
          <w:color w:val="000000"/>
          <w:sz w:val="28"/>
        </w:rPr>
        <w:t>
      характеристика рисков;</w:t>
      </w:r>
    </w:p>
    <w:bookmarkEnd w:id="7568"/>
    <w:bookmarkStart w:name="z7741" w:id="7569"/>
    <w:p>
      <w:pPr>
        <w:spacing w:after="0"/>
        <w:ind w:left="0"/>
        <w:jc w:val="both"/>
      </w:pPr>
      <w:r>
        <w:rPr>
          <w:rFonts w:ascii="Times New Roman"/>
          <w:b w:val="false"/>
          <w:i w:val="false"/>
          <w:color w:val="000000"/>
          <w:sz w:val="28"/>
        </w:rPr>
        <w:t>
      эффективность мер минимизации риска (если применимо).</w:t>
      </w:r>
    </w:p>
    <w:bookmarkEnd w:id="7569"/>
    <w:bookmarkStart w:name="z7742" w:id="7570"/>
    <w:p>
      <w:pPr>
        <w:spacing w:after="0"/>
        <w:ind w:left="0"/>
        <w:jc w:val="both"/>
      </w:pPr>
      <w:r>
        <w:rPr>
          <w:rFonts w:ascii="Times New Roman"/>
          <w:b w:val="false"/>
          <w:i w:val="false"/>
          <w:color w:val="000000"/>
          <w:sz w:val="28"/>
        </w:rPr>
        <w:t>
      17) оценка пользы:</w:t>
      </w:r>
    </w:p>
    <w:bookmarkEnd w:id="7570"/>
    <w:bookmarkStart w:name="z7743" w:id="7571"/>
    <w:p>
      <w:pPr>
        <w:spacing w:after="0"/>
        <w:ind w:left="0"/>
        <w:jc w:val="both"/>
      </w:pPr>
      <w:r>
        <w:rPr>
          <w:rFonts w:ascii="Times New Roman"/>
          <w:b w:val="false"/>
          <w:i w:val="false"/>
          <w:color w:val="000000"/>
          <w:sz w:val="28"/>
        </w:rPr>
        <w:t>
      важная базисная информация по эффективности в ходе клинических испытаний и применения в медицинской практике;</w:t>
      </w:r>
    </w:p>
    <w:bookmarkEnd w:id="7571"/>
    <w:bookmarkStart w:name="z7744" w:id="7572"/>
    <w:p>
      <w:pPr>
        <w:spacing w:after="0"/>
        <w:ind w:left="0"/>
        <w:jc w:val="both"/>
      </w:pPr>
      <w:r>
        <w:rPr>
          <w:rFonts w:ascii="Times New Roman"/>
          <w:b w:val="false"/>
          <w:i w:val="false"/>
          <w:color w:val="000000"/>
          <w:sz w:val="28"/>
        </w:rPr>
        <w:t>
      новая выявленная информация по эффективности в ходе клинических испытаний и применения в медицинской практике;</w:t>
      </w:r>
    </w:p>
    <w:bookmarkEnd w:id="7572"/>
    <w:bookmarkStart w:name="z7745" w:id="7573"/>
    <w:p>
      <w:pPr>
        <w:spacing w:after="0"/>
        <w:ind w:left="0"/>
        <w:jc w:val="both"/>
      </w:pPr>
      <w:r>
        <w:rPr>
          <w:rFonts w:ascii="Times New Roman"/>
          <w:b w:val="false"/>
          <w:i w:val="false"/>
          <w:color w:val="000000"/>
          <w:sz w:val="28"/>
        </w:rPr>
        <w:t>
      характеристика пользы.</w:t>
      </w:r>
    </w:p>
    <w:bookmarkEnd w:id="7573"/>
    <w:bookmarkStart w:name="z7746" w:id="7574"/>
    <w:p>
      <w:pPr>
        <w:spacing w:after="0"/>
        <w:ind w:left="0"/>
        <w:jc w:val="both"/>
      </w:pPr>
      <w:r>
        <w:rPr>
          <w:rFonts w:ascii="Times New Roman"/>
          <w:b w:val="false"/>
          <w:i w:val="false"/>
          <w:color w:val="000000"/>
          <w:sz w:val="28"/>
        </w:rPr>
        <w:t>
      18) интегрированный анализ соотношения польза-риск по одобренным показаниям:</w:t>
      </w:r>
    </w:p>
    <w:bookmarkEnd w:id="7574"/>
    <w:bookmarkStart w:name="z7747" w:id="7575"/>
    <w:p>
      <w:pPr>
        <w:spacing w:after="0"/>
        <w:ind w:left="0"/>
        <w:jc w:val="both"/>
      </w:pPr>
      <w:r>
        <w:rPr>
          <w:rFonts w:ascii="Times New Roman"/>
          <w:b w:val="false"/>
          <w:i w:val="false"/>
          <w:color w:val="000000"/>
          <w:sz w:val="28"/>
        </w:rPr>
        <w:t>
      контекст соотношения польза-риск - медицинская потребность и важные альтернативы;</w:t>
      </w:r>
    </w:p>
    <w:bookmarkEnd w:id="7575"/>
    <w:bookmarkStart w:name="z7748" w:id="7576"/>
    <w:p>
      <w:pPr>
        <w:spacing w:after="0"/>
        <w:ind w:left="0"/>
        <w:jc w:val="both"/>
      </w:pPr>
      <w:r>
        <w:rPr>
          <w:rFonts w:ascii="Times New Roman"/>
          <w:b w:val="false"/>
          <w:i w:val="false"/>
          <w:color w:val="000000"/>
          <w:sz w:val="28"/>
        </w:rPr>
        <w:t>
      оценка процедуры анализа соотношения польза-риск.</w:t>
      </w:r>
    </w:p>
    <w:bookmarkEnd w:id="7576"/>
    <w:bookmarkStart w:name="z7749" w:id="7577"/>
    <w:p>
      <w:pPr>
        <w:spacing w:after="0"/>
        <w:ind w:left="0"/>
        <w:jc w:val="both"/>
      </w:pPr>
      <w:r>
        <w:rPr>
          <w:rFonts w:ascii="Times New Roman"/>
          <w:b w:val="false"/>
          <w:i w:val="false"/>
          <w:color w:val="000000"/>
          <w:sz w:val="28"/>
        </w:rPr>
        <w:t>
      19) заключение и действия;</w:t>
      </w:r>
    </w:p>
    <w:bookmarkEnd w:id="7577"/>
    <w:bookmarkStart w:name="z7750" w:id="7578"/>
    <w:p>
      <w:pPr>
        <w:spacing w:after="0"/>
        <w:ind w:left="0"/>
        <w:jc w:val="both"/>
      </w:pPr>
      <w:r>
        <w:rPr>
          <w:rFonts w:ascii="Times New Roman"/>
          <w:b w:val="false"/>
          <w:i w:val="false"/>
          <w:color w:val="000000"/>
          <w:sz w:val="28"/>
        </w:rPr>
        <w:t>
      20) приложения к ПОБ.</w:t>
      </w:r>
    </w:p>
    <w:bookmarkEnd w:id="7578"/>
    <w:bookmarkStart w:name="z7751" w:id="7579"/>
    <w:p>
      <w:pPr>
        <w:spacing w:after="0"/>
        <w:ind w:left="0"/>
        <w:jc w:val="both"/>
      </w:pPr>
      <w:r>
        <w:rPr>
          <w:rFonts w:ascii="Times New Roman"/>
          <w:b w:val="false"/>
          <w:i w:val="false"/>
          <w:color w:val="000000"/>
          <w:sz w:val="28"/>
        </w:rPr>
        <w:t>
      290. На титульном листе указываются номера отчета (отчеты имеют последовательную нумерацию), наименование лекарственного препарата, международную дату регистрации, отчетный период (либо указание на внеочередной порядок подачи по запросу уполномоченной организации), дату составления отчета, данные держателя регистрационного удостоверения и указание о конфиденциальности информации, включенной в ПОБ. Титульный лист заверяется подписью.</w:t>
      </w:r>
    </w:p>
    <w:bookmarkEnd w:id="7579"/>
    <w:bookmarkStart w:name="z7752" w:id="7580"/>
    <w:p>
      <w:pPr>
        <w:spacing w:after="0"/>
        <w:ind w:left="0"/>
        <w:jc w:val="both"/>
      </w:pPr>
      <w:r>
        <w:rPr>
          <w:rFonts w:ascii="Times New Roman"/>
          <w:b w:val="false"/>
          <w:i w:val="false"/>
          <w:color w:val="000000"/>
          <w:sz w:val="28"/>
        </w:rPr>
        <w:t>
      291. Краткое изложение основного содержания. Целью краткого изложения содержания является краткое представление в обобщенном виде содержания и наиболее важной информации, составляющей ПОБ. Данный раздел включает следующую информацию:</w:t>
      </w:r>
    </w:p>
    <w:bookmarkEnd w:id="7580"/>
    <w:bookmarkStart w:name="z7753" w:id="7581"/>
    <w:p>
      <w:pPr>
        <w:spacing w:after="0"/>
        <w:ind w:left="0"/>
        <w:jc w:val="both"/>
      </w:pPr>
      <w:r>
        <w:rPr>
          <w:rFonts w:ascii="Times New Roman"/>
          <w:b w:val="false"/>
          <w:i w:val="false"/>
          <w:color w:val="000000"/>
          <w:sz w:val="28"/>
        </w:rPr>
        <w:t>
      1) введение, указание номера отчета и отчетного периода;</w:t>
      </w:r>
    </w:p>
    <w:bookmarkEnd w:id="7581"/>
    <w:bookmarkStart w:name="z7754" w:id="7582"/>
    <w:p>
      <w:pPr>
        <w:spacing w:after="0"/>
        <w:ind w:left="0"/>
        <w:jc w:val="both"/>
      </w:pPr>
      <w:r>
        <w:rPr>
          <w:rFonts w:ascii="Times New Roman"/>
          <w:b w:val="false"/>
          <w:i w:val="false"/>
          <w:color w:val="000000"/>
          <w:sz w:val="28"/>
        </w:rPr>
        <w:t>
      2) наименование лекарственного препарата, фармакотерапевтический класс, механизм действия, показания к применению, форма выпуска, доза, способ введения;</w:t>
      </w:r>
    </w:p>
    <w:bookmarkEnd w:id="7582"/>
    <w:bookmarkStart w:name="z7755" w:id="7583"/>
    <w:p>
      <w:pPr>
        <w:spacing w:after="0"/>
        <w:ind w:left="0"/>
        <w:jc w:val="both"/>
      </w:pPr>
      <w:r>
        <w:rPr>
          <w:rFonts w:ascii="Times New Roman"/>
          <w:b w:val="false"/>
          <w:i w:val="false"/>
          <w:color w:val="000000"/>
          <w:sz w:val="28"/>
        </w:rPr>
        <w:t>
      3) оценка кумулятивного воздействия в ходе клинических исследований;</w:t>
      </w:r>
    </w:p>
    <w:bookmarkEnd w:id="7583"/>
    <w:bookmarkStart w:name="z7756" w:id="7584"/>
    <w:p>
      <w:pPr>
        <w:spacing w:after="0"/>
        <w:ind w:left="0"/>
        <w:jc w:val="both"/>
      </w:pPr>
      <w:r>
        <w:rPr>
          <w:rFonts w:ascii="Times New Roman"/>
          <w:b w:val="false"/>
          <w:i w:val="false"/>
          <w:color w:val="000000"/>
          <w:sz w:val="28"/>
        </w:rPr>
        <w:t>
      4) оценка интервала пострегистрационного применения и кумулятивного воздействия за этот период;</w:t>
      </w:r>
    </w:p>
    <w:bookmarkEnd w:id="7584"/>
    <w:bookmarkStart w:name="z7757" w:id="7585"/>
    <w:p>
      <w:pPr>
        <w:spacing w:after="0"/>
        <w:ind w:left="0"/>
        <w:jc w:val="both"/>
      </w:pPr>
      <w:r>
        <w:rPr>
          <w:rFonts w:ascii="Times New Roman"/>
          <w:b w:val="false"/>
          <w:i w:val="false"/>
          <w:color w:val="000000"/>
          <w:sz w:val="28"/>
        </w:rPr>
        <w:t>
      5) число стран, на территории которых разрешено применение лекарственного препарата;</w:t>
      </w:r>
    </w:p>
    <w:bookmarkEnd w:id="7585"/>
    <w:bookmarkStart w:name="z7758" w:id="7586"/>
    <w:p>
      <w:pPr>
        <w:spacing w:after="0"/>
        <w:ind w:left="0"/>
        <w:jc w:val="both"/>
      </w:pPr>
      <w:r>
        <w:rPr>
          <w:rFonts w:ascii="Times New Roman"/>
          <w:b w:val="false"/>
          <w:i w:val="false"/>
          <w:color w:val="000000"/>
          <w:sz w:val="28"/>
        </w:rPr>
        <w:t>
      6) обобщенная информация по оценке соотношения польза-риск;</w:t>
      </w:r>
    </w:p>
    <w:bookmarkEnd w:id="7586"/>
    <w:bookmarkStart w:name="z7759" w:id="7587"/>
    <w:p>
      <w:pPr>
        <w:spacing w:after="0"/>
        <w:ind w:left="0"/>
        <w:jc w:val="both"/>
      </w:pPr>
      <w:r>
        <w:rPr>
          <w:rFonts w:ascii="Times New Roman"/>
          <w:b w:val="false"/>
          <w:i w:val="false"/>
          <w:color w:val="000000"/>
          <w:sz w:val="28"/>
        </w:rPr>
        <w:t>
      7) принятые и предлагаемые действия, связанные с аспектами профиля безопасности, включая существенные изменения в брошюру исследователя на этапе клинических исследований и в инструкцию по медицинскому применению на пострегистрационном этапе, либо иные меры минимизации риска;</w:t>
      </w:r>
    </w:p>
    <w:bookmarkEnd w:id="7587"/>
    <w:bookmarkStart w:name="z7760" w:id="7588"/>
    <w:p>
      <w:pPr>
        <w:spacing w:after="0"/>
        <w:ind w:left="0"/>
        <w:jc w:val="both"/>
      </w:pPr>
      <w:r>
        <w:rPr>
          <w:rFonts w:ascii="Times New Roman"/>
          <w:b w:val="false"/>
          <w:i w:val="false"/>
          <w:color w:val="000000"/>
          <w:sz w:val="28"/>
        </w:rPr>
        <w:t>
      8) заключения.</w:t>
      </w:r>
    </w:p>
    <w:bookmarkEnd w:id="7588"/>
    <w:bookmarkStart w:name="z7761" w:id="7589"/>
    <w:p>
      <w:pPr>
        <w:spacing w:after="0"/>
        <w:ind w:left="0"/>
        <w:jc w:val="both"/>
      </w:pPr>
      <w:r>
        <w:rPr>
          <w:rFonts w:ascii="Times New Roman"/>
          <w:b w:val="false"/>
          <w:i w:val="false"/>
          <w:color w:val="000000"/>
          <w:sz w:val="28"/>
        </w:rPr>
        <w:t>
      292. Раздел краткого изложения содержания отчета сопровождается таблицей содержания ПОБ.</w:t>
      </w:r>
    </w:p>
    <w:bookmarkEnd w:id="7589"/>
    <w:bookmarkStart w:name="z7762" w:id="7590"/>
    <w:p>
      <w:pPr>
        <w:spacing w:after="0"/>
        <w:ind w:left="0"/>
        <w:jc w:val="left"/>
      </w:pPr>
      <w:r>
        <w:rPr>
          <w:rFonts w:ascii="Times New Roman"/>
          <w:b/>
          <w:i w:val="false"/>
          <w:color w:val="000000"/>
        </w:rPr>
        <w:t xml:space="preserve"> Параграф 5. Требования к содержанию каждой части ПОБ</w:t>
      </w:r>
    </w:p>
    <w:bookmarkEnd w:id="7590"/>
    <w:bookmarkStart w:name="z7763" w:id="7591"/>
    <w:p>
      <w:pPr>
        <w:spacing w:after="0"/>
        <w:ind w:left="0"/>
        <w:jc w:val="both"/>
      </w:pPr>
      <w:r>
        <w:rPr>
          <w:rFonts w:ascii="Times New Roman"/>
          <w:b w:val="false"/>
          <w:i w:val="false"/>
          <w:color w:val="000000"/>
          <w:sz w:val="28"/>
        </w:rPr>
        <w:t>
      293. Раздел ПОБ "Введение" содержит следующую информацию:</w:t>
      </w:r>
    </w:p>
    <w:bookmarkEnd w:id="7591"/>
    <w:bookmarkStart w:name="z7764" w:id="7592"/>
    <w:p>
      <w:pPr>
        <w:spacing w:after="0"/>
        <w:ind w:left="0"/>
        <w:jc w:val="both"/>
      </w:pPr>
      <w:r>
        <w:rPr>
          <w:rFonts w:ascii="Times New Roman"/>
          <w:b w:val="false"/>
          <w:i w:val="false"/>
          <w:color w:val="000000"/>
          <w:sz w:val="28"/>
        </w:rPr>
        <w:t>
      1) международная дата регистрации, отчетный период и порядковый номер отчета;</w:t>
      </w:r>
    </w:p>
    <w:bookmarkEnd w:id="7592"/>
    <w:bookmarkStart w:name="z7765" w:id="7593"/>
    <w:p>
      <w:pPr>
        <w:spacing w:after="0"/>
        <w:ind w:left="0"/>
        <w:jc w:val="both"/>
      </w:pPr>
      <w:r>
        <w:rPr>
          <w:rFonts w:ascii="Times New Roman"/>
          <w:b w:val="false"/>
          <w:i w:val="false"/>
          <w:color w:val="000000"/>
          <w:sz w:val="28"/>
        </w:rPr>
        <w:t>
      2) наименование лекарственного препарата, фармакотерапевтический класс, механизм действия, показания к применению, форма выпуска, доза, способ введения;</w:t>
      </w:r>
    </w:p>
    <w:bookmarkEnd w:id="7593"/>
    <w:bookmarkStart w:name="z7766" w:id="7594"/>
    <w:p>
      <w:pPr>
        <w:spacing w:after="0"/>
        <w:ind w:left="0"/>
        <w:jc w:val="both"/>
      </w:pPr>
      <w:r>
        <w:rPr>
          <w:rFonts w:ascii="Times New Roman"/>
          <w:b w:val="false"/>
          <w:i w:val="false"/>
          <w:color w:val="000000"/>
          <w:sz w:val="28"/>
        </w:rPr>
        <w:t>
      3) краткое описание популяций, которые получают лечение с назначением лекарственного препарата или были включены в клинические исследования;</w:t>
      </w:r>
    </w:p>
    <w:bookmarkEnd w:id="7594"/>
    <w:bookmarkStart w:name="z7767" w:id="7595"/>
    <w:p>
      <w:pPr>
        <w:spacing w:after="0"/>
        <w:ind w:left="0"/>
        <w:jc w:val="both"/>
      </w:pPr>
      <w:r>
        <w:rPr>
          <w:rFonts w:ascii="Times New Roman"/>
          <w:b w:val="false"/>
          <w:i w:val="false"/>
          <w:color w:val="000000"/>
          <w:sz w:val="28"/>
        </w:rPr>
        <w:t>
      4) краткое описание и разъяснение любой имеющей отношение к требуемой информации в ПОБ, которая не была включена в подаваемый ПОБ.</w:t>
      </w:r>
    </w:p>
    <w:bookmarkEnd w:id="7595"/>
    <w:bookmarkStart w:name="z7768" w:id="7596"/>
    <w:p>
      <w:pPr>
        <w:spacing w:after="0"/>
        <w:ind w:left="0"/>
        <w:jc w:val="both"/>
      </w:pPr>
      <w:r>
        <w:rPr>
          <w:rFonts w:ascii="Times New Roman"/>
          <w:b w:val="false"/>
          <w:i w:val="false"/>
          <w:color w:val="000000"/>
          <w:sz w:val="28"/>
        </w:rPr>
        <w:t>
      294. Раздел ПОБ "Регистрационный статус в мире". В данном разделе ПОБ представляется краткая обзорная информация, включающая даты первичных регистраций в странах мира, одобренные показания к применению, зарегистрированные формы выпуска и дозировки с указанием действующих на дату подготовки ПОБ регистраций.</w:t>
      </w:r>
    </w:p>
    <w:bookmarkEnd w:id="7596"/>
    <w:bookmarkStart w:name="z7769" w:id="7597"/>
    <w:p>
      <w:pPr>
        <w:spacing w:after="0"/>
        <w:ind w:left="0"/>
        <w:jc w:val="both"/>
      </w:pPr>
      <w:r>
        <w:rPr>
          <w:rFonts w:ascii="Times New Roman"/>
          <w:b w:val="false"/>
          <w:i w:val="false"/>
          <w:color w:val="000000"/>
          <w:sz w:val="28"/>
        </w:rPr>
        <w:t>
      295. В разделе ПОБ "Меры, принятые за отчетный период, в связи с данными по безопасности" представляется описание существенных мер, принятых за отчетный период, как в отношении продолжающихся клинических исследований или испытаний, так и пострегистрационного применения, со стороны уполномоченного органа, держателя регистрационного удостоверения, спонсора или заявителя клинических исследований, комитета по мониторингу или оценке данных, комитета по этике на основании данных по безопасности, которые:</w:t>
      </w:r>
    </w:p>
    <w:bookmarkEnd w:id="7597"/>
    <w:bookmarkStart w:name="z7770" w:id="7598"/>
    <w:p>
      <w:pPr>
        <w:spacing w:after="0"/>
        <w:ind w:left="0"/>
        <w:jc w:val="both"/>
      </w:pPr>
      <w:r>
        <w:rPr>
          <w:rFonts w:ascii="Times New Roman"/>
          <w:b w:val="false"/>
          <w:i w:val="false"/>
          <w:color w:val="000000"/>
          <w:sz w:val="28"/>
        </w:rPr>
        <w:t>
      1) оказали существенное влияние на соотношение польза-риск зарегистрированного лекарственного препарата; и (или)</w:t>
      </w:r>
    </w:p>
    <w:bookmarkEnd w:id="7598"/>
    <w:bookmarkStart w:name="z7771" w:id="7599"/>
    <w:p>
      <w:pPr>
        <w:spacing w:after="0"/>
        <w:ind w:left="0"/>
        <w:jc w:val="both"/>
      </w:pPr>
      <w:r>
        <w:rPr>
          <w:rFonts w:ascii="Times New Roman"/>
          <w:b w:val="false"/>
          <w:i w:val="false"/>
          <w:color w:val="000000"/>
          <w:sz w:val="28"/>
        </w:rPr>
        <w:t xml:space="preserve">
      2) оказали влияние на проведение конкретного клинического исследования или в целом на программу клинической разработки лекарственного препарата. </w:t>
      </w:r>
    </w:p>
    <w:bookmarkEnd w:id="7599"/>
    <w:bookmarkStart w:name="z7772" w:id="7600"/>
    <w:p>
      <w:pPr>
        <w:spacing w:after="0"/>
        <w:ind w:left="0"/>
        <w:jc w:val="both"/>
      </w:pPr>
      <w:r>
        <w:rPr>
          <w:rFonts w:ascii="Times New Roman"/>
          <w:b w:val="false"/>
          <w:i w:val="false"/>
          <w:color w:val="000000"/>
          <w:sz w:val="28"/>
        </w:rPr>
        <w:t>
      В разделе указываются основания для принятия данных мер и при необходимости дополнительная информация, если таковые доступны.</w:t>
      </w:r>
    </w:p>
    <w:bookmarkEnd w:id="7600"/>
    <w:bookmarkStart w:name="z7773" w:id="7601"/>
    <w:p>
      <w:pPr>
        <w:spacing w:after="0"/>
        <w:ind w:left="0"/>
        <w:jc w:val="both"/>
      </w:pPr>
      <w:r>
        <w:rPr>
          <w:rFonts w:ascii="Times New Roman"/>
          <w:b w:val="false"/>
          <w:i w:val="false"/>
          <w:color w:val="000000"/>
          <w:sz w:val="28"/>
        </w:rPr>
        <w:t>
      1. меры, принятые в отношении исследуемого лекарственного препарата, включают:</w:t>
      </w:r>
    </w:p>
    <w:bookmarkEnd w:id="7601"/>
    <w:bookmarkStart w:name="z7774" w:id="7602"/>
    <w:p>
      <w:pPr>
        <w:spacing w:after="0"/>
        <w:ind w:left="0"/>
        <w:jc w:val="both"/>
      </w:pPr>
      <w:r>
        <w:rPr>
          <w:rFonts w:ascii="Times New Roman"/>
          <w:b w:val="false"/>
          <w:i w:val="false"/>
          <w:color w:val="000000"/>
          <w:sz w:val="28"/>
        </w:rPr>
        <w:t>
      1) отказ в выдаче разрешения на проведение клинического исследования (испытания) по аспектам безопасности или этическим вопросам;</w:t>
      </w:r>
    </w:p>
    <w:bookmarkEnd w:id="7602"/>
    <w:bookmarkStart w:name="z7775" w:id="7603"/>
    <w:p>
      <w:pPr>
        <w:spacing w:after="0"/>
        <w:ind w:left="0"/>
        <w:jc w:val="both"/>
      </w:pPr>
      <w:r>
        <w:rPr>
          <w:rFonts w:ascii="Times New Roman"/>
          <w:b w:val="false"/>
          <w:i w:val="false"/>
          <w:color w:val="000000"/>
          <w:sz w:val="28"/>
        </w:rPr>
        <w:t>
      2) частичная или полная приостановка клинического исследования (испытания) либо полная остановка клинического исследования (испытания) ранее планируемого срока по причине выявленных данных безопасности или недостаточной терапевтической эффективности;</w:t>
      </w:r>
    </w:p>
    <w:bookmarkEnd w:id="7603"/>
    <w:bookmarkStart w:name="z7776" w:id="7604"/>
    <w:p>
      <w:pPr>
        <w:spacing w:after="0"/>
        <w:ind w:left="0"/>
        <w:jc w:val="both"/>
      </w:pPr>
      <w:r>
        <w:rPr>
          <w:rFonts w:ascii="Times New Roman"/>
          <w:b w:val="false"/>
          <w:i w:val="false"/>
          <w:color w:val="000000"/>
          <w:sz w:val="28"/>
        </w:rPr>
        <w:t>
      3) отзыв исследуемого лекарственного препарата или препарата сравнения;</w:t>
      </w:r>
    </w:p>
    <w:bookmarkEnd w:id="7604"/>
    <w:bookmarkStart w:name="z7777" w:id="7605"/>
    <w:p>
      <w:pPr>
        <w:spacing w:after="0"/>
        <w:ind w:left="0"/>
        <w:jc w:val="both"/>
      </w:pPr>
      <w:r>
        <w:rPr>
          <w:rFonts w:ascii="Times New Roman"/>
          <w:b w:val="false"/>
          <w:i w:val="false"/>
          <w:color w:val="000000"/>
          <w:sz w:val="28"/>
        </w:rPr>
        <w:t>
      4) отказ в получении разрешения на применение по показанию, исследуемому в ходе клинического исследования, включая добровольный отзыв подачи заявления на регистрацию;</w:t>
      </w:r>
    </w:p>
    <w:bookmarkEnd w:id="7605"/>
    <w:bookmarkStart w:name="z7778" w:id="7606"/>
    <w:p>
      <w:pPr>
        <w:spacing w:after="0"/>
        <w:ind w:left="0"/>
        <w:jc w:val="both"/>
      </w:pPr>
      <w:r>
        <w:rPr>
          <w:rFonts w:ascii="Times New Roman"/>
          <w:b w:val="false"/>
          <w:i w:val="false"/>
          <w:color w:val="000000"/>
          <w:sz w:val="28"/>
        </w:rPr>
        <w:t>
      5) введение мер минимизации риска, включая:</w:t>
      </w:r>
    </w:p>
    <w:bookmarkEnd w:id="7606"/>
    <w:bookmarkStart w:name="z7779" w:id="7607"/>
    <w:p>
      <w:pPr>
        <w:spacing w:after="0"/>
        <w:ind w:left="0"/>
        <w:jc w:val="both"/>
      </w:pPr>
      <w:r>
        <w:rPr>
          <w:rFonts w:ascii="Times New Roman"/>
          <w:b w:val="false"/>
          <w:i w:val="false"/>
          <w:color w:val="000000"/>
          <w:sz w:val="28"/>
        </w:rPr>
        <w:t>
      изменения в протокол исследования (испытания), обусловленные данными безопасности или эффективности (такие как, изменение режима дозирования, изменения критериев включения или невключения, введение дополнительных мер по мониторингу субъектов исследования, ограничение продолжительности исследования (испытания);</w:t>
      </w:r>
    </w:p>
    <w:bookmarkEnd w:id="7607"/>
    <w:bookmarkStart w:name="z7780" w:id="7608"/>
    <w:p>
      <w:pPr>
        <w:spacing w:after="0"/>
        <w:ind w:left="0"/>
        <w:jc w:val="both"/>
      </w:pPr>
      <w:r>
        <w:rPr>
          <w:rFonts w:ascii="Times New Roman"/>
          <w:b w:val="false"/>
          <w:i w:val="false"/>
          <w:color w:val="000000"/>
          <w:sz w:val="28"/>
        </w:rPr>
        <w:t>
      ограничения исследуемой популяции или показаний к применению:</w:t>
      </w:r>
    </w:p>
    <w:bookmarkEnd w:id="7608"/>
    <w:bookmarkStart w:name="z7781" w:id="7609"/>
    <w:p>
      <w:pPr>
        <w:spacing w:after="0"/>
        <w:ind w:left="0"/>
        <w:jc w:val="both"/>
      </w:pPr>
      <w:r>
        <w:rPr>
          <w:rFonts w:ascii="Times New Roman"/>
          <w:b w:val="false"/>
          <w:i w:val="false"/>
          <w:color w:val="000000"/>
          <w:sz w:val="28"/>
        </w:rPr>
        <w:t>
      изменения информированного согласия, связанные с аспектами профиля безопасности;</w:t>
      </w:r>
    </w:p>
    <w:bookmarkEnd w:id="7609"/>
    <w:bookmarkStart w:name="z7782" w:id="7610"/>
    <w:p>
      <w:pPr>
        <w:spacing w:after="0"/>
        <w:ind w:left="0"/>
        <w:jc w:val="both"/>
      </w:pPr>
      <w:r>
        <w:rPr>
          <w:rFonts w:ascii="Times New Roman"/>
          <w:b w:val="false"/>
          <w:i w:val="false"/>
          <w:color w:val="000000"/>
          <w:sz w:val="28"/>
        </w:rPr>
        <w:t>
      изменения состава;</w:t>
      </w:r>
    </w:p>
    <w:bookmarkEnd w:id="7610"/>
    <w:bookmarkStart w:name="z7783" w:id="7611"/>
    <w:p>
      <w:pPr>
        <w:spacing w:after="0"/>
        <w:ind w:left="0"/>
        <w:jc w:val="both"/>
      </w:pPr>
      <w:r>
        <w:rPr>
          <w:rFonts w:ascii="Times New Roman"/>
          <w:b w:val="false"/>
          <w:i w:val="false"/>
          <w:color w:val="000000"/>
          <w:sz w:val="28"/>
        </w:rPr>
        <w:t>
      дополнительное требование уполномоченного органа по особому порядку представления информации по безопасности лекарственного препарата;</w:t>
      </w:r>
    </w:p>
    <w:bookmarkEnd w:id="7611"/>
    <w:bookmarkStart w:name="z7784" w:id="7612"/>
    <w:p>
      <w:pPr>
        <w:spacing w:after="0"/>
        <w:ind w:left="0"/>
        <w:jc w:val="both"/>
      </w:pPr>
      <w:r>
        <w:rPr>
          <w:rFonts w:ascii="Times New Roman"/>
          <w:b w:val="false"/>
          <w:i w:val="false"/>
          <w:color w:val="000000"/>
          <w:sz w:val="28"/>
        </w:rPr>
        <w:t xml:space="preserve">
      специальное информирование врачей-исследователей или медицинских работников; </w:t>
      </w:r>
    </w:p>
    <w:bookmarkEnd w:id="7612"/>
    <w:bookmarkStart w:name="z7785" w:id="7613"/>
    <w:p>
      <w:pPr>
        <w:spacing w:after="0"/>
        <w:ind w:left="0"/>
        <w:jc w:val="both"/>
      </w:pPr>
      <w:r>
        <w:rPr>
          <w:rFonts w:ascii="Times New Roman"/>
          <w:b w:val="false"/>
          <w:i w:val="false"/>
          <w:color w:val="000000"/>
          <w:sz w:val="28"/>
        </w:rPr>
        <w:t>
      планирование проведения новых исследований, по оценке аспектов профиля безопасности.</w:t>
      </w:r>
    </w:p>
    <w:bookmarkEnd w:id="7613"/>
    <w:bookmarkStart w:name="z7786" w:id="7614"/>
    <w:p>
      <w:pPr>
        <w:spacing w:after="0"/>
        <w:ind w:left="0"/>
        <w:jc w:val="both"/>
      </w:pPr>
      <w:r>
        <w:rPr>
          <w:rFonts w:ascii="Times New Roman"/>
          <w:b w:val="false"/>
          <w:i w:val="false"/>
          <w:color w:val="000000"/>
          <w:sz w:val="28"/>
        </w:rPr>
        <w:t>
      2. Меры, принятые в отношении зарегистрированного лекарственного препарата, включают:</w:t>
      </w:r>
    </w:p>
    <w:bookmarkEnd w:id="7614"/>
    <w:bookmarkStart w:name="z7787" w:id="7615"/>
    <w:p>
      <w:pPr>
        <w:spacing w:after="0"/>
        <w:ind w:left="0"/>
        <w:jc w:val="both"/>
      </w:pPr>
      <w:r>
        <w:rPr>
          <w:rFonts w:ascii="Times New Roman"/>
          <w:b w:val="false"/>
          <w:i w:val="false"/>
          <w:color w:val="000000"/>
          <w:sz w:val="28"/>
        </w:rPr>
        <w:t>
      1) отказ в продлении действия регистрационного удостоверения;</w:t>
      </w:r>
    </w:p>
    <w:bookmarkEnd w:id="7615"/>
    <w:bookmarkStart w:name="z7788" w:id="7616"/>
    <w:p>
      <w:pPr>
        <w:spacing w:after="0"/>
        <w:ind w:left="0"/>
        <w:jc w:val="both"/>
      </w:pPr>
      <w:r>
        <w:rPr>
          <w:rFonts w:ascii="Times New Roman"/>
          <w:b w:val="false"/>
          <w:i w:val="false"/>
          <w:color w:val="000000"/>
          <w:sz w:val="28"/>
        </w:rPr>
        <w:t>
      2) приостановка или отзыв регистрационного удостоверения;</w:t>
      </w:r>
    </w:p>
    <w:bookmarkEnd w:id="7616"/>
    <w:bookmarkStart w:name="z7789" w:id="7617"/>
    <w:p>
      <w:pPr>
        <w:spacing w:after="0"/>
        <w:ind w:left="0"/>
        <w:jc w:val="both"/>
      </w:pPr>
      <w:r>
        <w:rPr>
          <w:rFonts w:ascii="Times New Roman"/>
          <w:b w:val="false"/>
          <w:i w:val="false"/>
          <w:color w:val="000000"/>
          <w:sz w:val="28"/>
        </w:rPr>
        <w:t>
      3. Введение плана минимизации риска, включая:</w:t>
      </w:r>
    </w:p>
    <w:bookmarkEnd w:id="7617"/>
    <w:bookmarkStart w:name="z7790" w:id="7618"/>
    <w:p>
      <w:pPr>
        <w:spacing w:after="0"/>
        <w:ind w:left="0"/>
        <w:jc w:val="both"/>
      </w:pPr>
      <w:r>
        <w:rPr>
          <w:rFonts w:ascii="Times New Roman"/>
          <w:b w:val="false"/>
          <w:i w:val="false"/>
          <w:color w:val="000000"/>
          <w:sz w:val="28"/>
        </w:rPr>
        <w:t>
      1) существенные ограничения в распространении или введение иных мер минимизации риска;</w:t>
      </w:r>
    </w:p>
    <w:bookmarkEnd w:id="7618"/>
    <w:bookmarkStart w:name="z7791" w:id="7619"/>
    <w:p>
      <w:pPr>
        <w:spacing w:after="0"/>
        <w:ind w:left="0"/>
        <w:jc w:val="both"/>
      </w:pPr>
      <w:r>
        <w:rPr>
          <w:rFonts w:ascii="Times New Roman"/>
          <w:b w:val="false"/>
          <w:i w:val="false"/>
          <w:color w:val="000000"/>
          <w:sz w:val="28"/>
        </w:rPr>
        <w:t>
      2) существенные изменения инструкции по медицинскому применению, которые влияют на программу разработки, включая ограничения показаний к назначению или групп пациентов, которым назначается лекарственный препарат;</w:t>
      </w:r>
    </w:p>
    <w:bookmarkEnd w:id="7619"/>
    <w:bookmarkStart w:name="z7792" w:id="7620"/>
    <w:p>
      <w:pPr>
        <w:spacing w:after="0"/>
        <w:ind w:left="0"/>
        <w:jc w:val="both"/>
      </w:pPr>
      <w:r>
        <w:rPr>
          <w:rFonts w:ascii="Times New Roman"/>
          <w:b w:val="false"/>
          <w:i w:val="false"/>
          <w:color w:val="000000"/>
          <w:sz w:val="28"/>
        </w:rPr>
        <w:t>
      3) специальное информирование медицинских работников; и</w:t>
      </w:r>
    </w:p>
    <w:bookmarkEnd w:id="7620"/>
    <w:bookmarkStart w:name="z7793" w:id="7621"/>
    <w:p>
      <w:pPr>
        <w:spacing w:after="0"/>
        <w:ind w:left="0"/>
        <w:jc w:val="both"/>
      </w:pPr>
      <w:r>
        <w:rPr>
          <w:rFonts w:ascii="Times New Roman"/>
          <w:b w:val="false"/>
          <w:i w:val="false"/>
          <w:color w:val="000000"/>
          <w:sz w:val="28"/>
        </w:rPr>
        <w:t>
      4) требование по проведению пострегистрационного исследования со стороны уполномоченного органа.</w:t>
      </w:r>
    </w:p>
    <w:bookmarkEnd w:id="7621"/>
    <w:bookmarkStart w:name="z7794" w:id="7622"/>
    <w:p>
      <w:pPr>
        <w:spacing w:after="0"/>
        <w:ind w:left="0"/>
        <w:jc w:val="both"/>
      </w:pPr>
      <w:r>
        <w:rPr>
          <w:rFonts w:ascii="Times New Roman"/>
          <w:b w:val="false"/>
          <w:i w:val="false"/>
          <w:color w:val="000000"/>
          <w:sz w:val="28"/>
        </w:rPr>
        <w:t>
      296. В Разделе ПОБ "Изменения, внесенные в справочную информацию по безопасности лекарственного препарата" перечисляется информация обо всех существенных изменениях, внесенных в справочную информацию по безопасности лекарственного препарата за отчетный период. Данные существенные изменения включают в разделы противопоказаний, предостережений, особых указаний, дополнение информацией о серьезных нежелательных реакциях, нежелательных реакциях, представляющих особый интерес, реакциях взаимодействия; важные данные продолжающихся и завершенных клинических исследований или испытаний; важные данные доклинических исследований (в частности, изучение канцерогенности). Информация по данным изменениям представляется в соответствующих разделах ПОБ. В приложении к ПОБ прилагается версия справочной информации о безопасности лекарственного препарата с соответствующими изменениями.</w:t>
      </w:r>
    </w:p>
    <w:bookmarkEnd w:id="7622"/>
    <w:bookmarkStart w:name="z7795" w:id="7623"/>
    <w:p>
      <w:pPr>
        <w:spacing w:after="0"/>
        <w:ind w:left="0"/>
        <w:jc w:val="both"/>
      </w:pPr>
      <w:r>
        <w:rPr>
          <w:rFonts w:ascii="Times New Roman"/>
          <w:b w:val="false"/>
          <w:i w:val="false"/>
          <w:color w:val="000000"/>
          <w:sz w:val="28"/>
        </w:rPr>
        <w:t>
      Держатель регистрационного удостоверения также представляет о внесенных и находящихся на этапе внесения изменений в инструкцию по медицинскому применению информации на основании обновленной версии основной информации по безопасности держателя регистрационного удостоверения в приложении.</w:t>
      </w:r>
    </w:p>
    <w:bookmarkEnd w:id="7623"/>
    <w:bookmarkStart w:name="z7796" w:id="7624"/>
    <w:p>
      <w:pPr>
        <w:spacing w:after="0"/>
        <w:ind w:left="0"/>
        <w:jc w:val="both"/>
      </w:pPr>
      <w:r>
        <w:rPr>
          <w:rFonts w:ascii="Times New Roman"/>
          <w:b w:val="false"/>
          <w:i w:val="false"/>
          <w:color w:val="000000"/>
          <w:sz w:val="28"/>
        </w:rPr>
        <w:t>
      297. Раздел ПОБ "Оценка количества пациентов, подвергшихся воздействию" содержит точную оценку количества пациентов, подвергшихся воздействию лекарственного препарата, включая все данные в отношении объема продаж и количества назначений. Данная оценка сопровождается качественным и количественным анализом применения в реальной медицинской практике с указанием того, каким образом она отличаться от одобренного применения, основываясь на всех данных доступных держателю регистрационного удостоверения и результатах наблюдательных исследований, по оценке использования лекарственного препарата.</w:t>
      </w:r>
    </w:p>
    <w:bookmarkEnd w:id="7624"/>
    <w:bookmarkStart w:name="z7797" w:id="7625"/>
    <w:p>
      <w:pPr>
        <w:spacing w:after="0"/>
        <w:ind w:left="0"/>
        <w:jc w:val="both"/>
      </w:pPr>
      <w:r>
        <w:rPr>
          <w:rFonts w:ascii="Times New Roman"/>
          <w:b w:val="false"/>
          <w:i w:val="false"/>
          <w:color w:val="000000"/>
          <w:sz w:val="28"/>
        </w:rPr>
        <w:t>
      В данном разделе представляется оценка объема и характеристики популяции, подвергшейся воздействию лекарственного препарата, включая краткое описание оценки метода и указания недостатков используемого метода.</w:t>
      </w:r>
    </w:p>
    <w:bookmarkEnd w:id="7625"/>
    <w:bookmarkStart w:name="z7798" w:id="7626"/>
    <w:p>
      <w:pPr>
        <w:spacing w:after="0"/>
        <w:ind w:left="0"/>
        <w:jc w:val="both"/>
      </w:pPr>
      <w:r>
        <w:rPr>
          <w:rFonts w:ascii="Times New Roman"/>
          <w:b w:val="false"/>
          <w:i w:val="false"/>
          <w:color w:val="000000"/>
          <w:sz w:val="28"/>
        </w:rPr>
        <w:t>
      Согласующиеся методы по оценке воздействия на субъекта или пациента используются во всех разделах ПОБ для одного лекарственного препарата. Если уместным является замена используемого метода оценки, оба метода и расчеты представляются в ПОБ с обоснованием замены.</w:t>
      </w:r>
    </w:p>
    <w:bookmarkEnd w:id="7626"/>
    <w:bookmarkStart w:name="z7799" w:id="7627"/>
    <w:p>
      <w:pPr>
        <w:spacing w:after="0"/>
        <w:ind w:left="0"/>
        <w:jc w:val="both"/>
      </w:pPr>
      <w:r>
        <w:rPr>
          <w:rFonts w:ascii="Times New Roman"/>
          <w:b w:val="false"/>
          <w:i w:val="false"/>
          <w:color w:val="000000"/>
          <w:sz w:val="28"/>
        </w:rPr>
        <w:t>
      298. Подраздел ПОБ "Общее количество пациентов, подвергшихся воздействию в клинических исследованиях" содержит следующую информацию по пациентам, включенным в клинические исследования (испытания) (рекомендуется табличный формат):</w:t>
      </w:r>
    </w:p>
    <w:bookmarkEnd w:id="7627"/>
    <w:bookmarkStart w:name="z7800" w:id="7628"/>
    <w:p>
      <w:pPr>
        <w:spacing w:after="0"/>
        <w:ind w:left="0"/>
        <w:jc w:val="both"/>
      </w:pPr>
      <w:r>
        <w:rPr>
          <w:rFonts w:ascii="Times New Roman"/>
          <w:b w:val="false"/>
          <w:i w:val="false"/>
          <w:color w:val="000000"/>
          <w:sz w:val="28"/>
        </w:rPr>
        <w:t>
      1) кумулятивное число субъектов исследования, включенных в продолжающиеся и завершенные клинические исследования (испытания) и подвергшихся воздействию исследуемого лекарственного препарата, плацебо, и (или) активного препарата сравнения от международной даты одобрения разрабатываемого лекарственного препарата. Для лекарственных препаратов, находящихся в обращении длительное время, детальная информация окажется не доступной;</w:t>
      </w:r>
    </w:p>
    <w:bookmarkEnd w:id="7628"/>
    <w:bookmarkStart w:name="z7801" w:id="7629"/>
    <w:p>
      <w:pPr>
        <w:spacing w:after="0"/>
        <w:ind w:left="0"/>
        <w:jc w:val="both"/>
      </w:pPr>
      <w:r>
        <w:rPr>
          <w:rFonts w:ascii="Times New Roman"/>
          <w:b w:val="false"/>
          <w:i w:val="false"/>
          <w:color w:val="000000"/>
          <w:sz w:val="28"/>
        </w:rPr>
        <w:t>
      2) более детальная кумулятивная информация по субъектам исследования, подвергшимся воздействию, при наличии (в частности, сгруппированные по возрасту, полу, расовой принадлежности по всей программе разработки);</w:t>
      </w:r>
    </w:p>
    <w:bookmarkEnd w:id="7629"/>
    <w:bookmarkStart w:name="z7802" w:id="7630"/>
    <w:p>
      <w:pPr>
        <w:spacing w:after="0"/>
        <w:ind w:left="0"/>
        <w:jc w:val="both"/>
      </w:pPr>
      <w:r>
        <w:rPr>
          <w:rFonts w:ascii="Times New Roman"/>
          <w:b w:val="false"/>
          <w:i w:val="false"/>
          <w:color w:val="000000"/>
          <w:sz w:val="28"/>
        </w:rPr>
        <w:t>
      3) важные различия между исследованиями или испытаниями в отношении назначаемых доз, путей введения, подгрупп пациентов;</w:t>
      </w:r>
    </w:p>
    <w:bookmarkEnd w:id="7630"/>
    <w:bookmarkStart w:name="z7803" w:id="7631"/>
    <w:p>
      <w:pPr>
        <w:spacing w:after="0"/>
        <w:ind w:left="0"/>
        <w:jc w:val="both"/>
      </w:pPr>
      <w:r>
        <w:rPr>
          <w:rFonts w:ascii="Times New Roman"/>
          <w:b w:val="false"/>
          <w:i w:val="false"/>
          <w:color w:val="000000"/>
          <w:sz w:val="28"/>
        </w:rPr>
        <w:t>
      4) в случае, если клинические исследования (испытания) проводились на особых группах пациентов (в частности, беременные женщины, пациенты с нарушениями функции почек, печени, сердечно-сосудистой системы; пациенты с клинически значимым генетическим полиморфизмом), представляются данные по воздействию;</w:t>
      </w:r>
    </w:p>
    <w:bookmarkEnd w:id="7631"/>
    <w:bookmarkStart w:name="z7804" w:id="7632"/>
    <w:p>
      <w:pPr>
        <w:spacing w:after="0"/>
        <w:ind w:left="0"/>
        <w:jc w:val="both"/>
      </w:pPr>
      <w:r>
        <w:rPr>
          <w:rFonts w:ascii="Times New Roman"/>
          <w:b w:val="false"/>
          <w:i w:val="false"/>
          <w:color w:val="000000"/>
          <w:sz w:val="28"/>
        </w:rPr>
        <w:t>
      5) при наличии существенных различий по времени воздействия между субъектами, рандомизированными на получение исследуемого лекарственного препарата или препарата сравнения, или несоответствий по продолжительности воздействия между клиническими исследованиями или испытаниями, проводится оценка воздействия в выражении субъект-время (пациенто-дни-месяцы или годы);</w:t>
      </w:r>
    </w:p>
    <w:bookmarkEnd w:id="7632"/>
    <w:bookmarkStart w:name="z7805" w:id="7633"/>
    <w:p>
      <w:pPr>
        <w:spacing w:after="0"/>
        <w:ind w:left="0"/>
        <w:jc w:val="both"/>
      </w:pPr>
      <w:r>
        <w:rPr>
          <w:rFonts w:ascii="Times New Roman"/>
          <w:b w:val="false"/>
          <w:i w:val="false"/>
          <w:color w:val="000000"/>
          <w:sz w:val="28"/>
        </w:rPr>
        <w:t>
      6) данные по воздействию исследуемого препарата на здоровых добровольцев имеет меньшую значимость для оценки профиля безопасности лекарственного средства в целом, в зависимости от типа наблюдаемых нежелательных реакций, в особенности, когда пациенты подвергаются воздействию единичной дозы. Подобные данные представляются отдельно с пояснениями в случае необходимости;</w:t>
      </w:r>
    </w:p>
    <w:bookmarkEnd w:id="7633"/>
    <w:bookmarkStart w:name="z7806" w:id="7634"/>
    <w:p>
      <w:pPr>
        <w:spacing w:after="0"/>
        <w:ind w:left="0"/>
        <w:jc w:val="both"/>
      </w:pPr>
      <w:r>
        <w:rPr>
          <w:rFonts w:ascii="Times New Roman"/>
          <w:b w:val="false"/>
          <w:i w:val="false"/>
          <w:color w:val="000000"/>
          <w:sz w:val="28"/>
        </w:rPr>
        <w:t>
      7) в случае, если в обобщенной информации по нежелательным реакциям, выявленным в ходе клинических исследований или испытаний, указаны серьезные нежелательные реакции, делается соответствующее указание по оценке воздействия на пациента, когда это возможно;</w:t>
      </w:r>
    </w:p>
    <w:bookmarkEnd w:id="7634"/>
    <w:bookmarkStart w:name="z7807" w:id="7635"/>
    <w:p>
      <w:pPr>
        <w:spacing w:after="0"/>
        <w:ind w:left="0"/>
        <w:jc w:val="both"/>
      </w:pPr>
      <w:r>
        <w:rPr>
          <w:rFonts w:ascii="Times New Roman"/>
          <w:b w:val="false"/>
          <w:i w:val="false"/>
          <w:color w:val="000000"/>
          <w:sz w:val="28"/>
        </w:rPr>
        <w:t>
      8) для определенных особо важных клинических исследований или испытаний, демографическая характеристика пациентов представляется отдельно.</w:t>
      </w:r>
    </w:p>
    <w:bookmarkEnd w:id="7635"/>
    <w:bookmarkStart w:name="z7808" w:id="7636"/>
    <w:p>
      <w:pPr>
        <w:spacing w:after="0"/>
        <w:ind w:left="0"/>
        <w:jc w:val="both"/>
      </w:pPr>
      <w:r>
        <w:rPr>
          <w:rFonts w:ascii="Times New Roman"/>
          <w:b w:val="false"/>
          <w:i w:val="false"/>
          <w:color w:val="000000"/>
          <w:sz w:val="28"/>
        </w:rPr>
        <w:t>
      299. Подраздел ПОБ "Общее количество пациентов, подвергшихся воздействию, по данным применения на рынке".</w:t>
      </w:r>
    </w:p>
    <w:bookmarkEnd w:id="7636"/>
    <w:bookmarkStart w:name="z7809" w:id="7637"/>
    <w:p>
      <w:pPr>
        <w:spacing w:after="0"/>
        <w:ind w:left="0"/>
        <w:jc w:val="both"/>
      </w:pPr>
      <w:r>
        <w:rPr>
          <w:rFonts w:ascii="Times New Roman"/>
          <w:b w:val="false"/>
          <w:i w:val="false"/>
          <w:color w:val="000000"/>
          <w:sz w:val="28"/>
        </w:rPr>
        <w:t>
      В случаях, когда это возможно, представляется отдельная оценка по кумулятивному воздействию (начиная от международной даты регистрации) и воздействию за определенный интервал (от даты окончания сбора данных по предшествующему ПОБ). В разделе представляется оценка по количеству пациентов, подвергшихся воздействию и методу, по которым выполнялись определение и оценка. Представляется обоснование, в случае невозможности осуществления расчета числа пациентов, подвергшихся воздействию. Если невозможно выполнить оценку числа пациентов, представляются альтернативные варианты оценки с указанием метода их выполнения.</w:t>
      </w:r>
    </w:p>
    <w:bookmarkEnd w:id="7637"/>
    <w:bookmarkStart w:name="z7810" w:id="7638"/>
    <w:p>
      <w:pPr>
        <w:spacing w:after="0"/>
        <w:ind w:left="0"/>
        <w:jc w:val="both"/>
      </w:pPr>
      <w:r>
        <w:rPr>
          <w:rFonts w:ascii="Times New Roman"/>
          <w:b w:val="false"/>
          <w:i w:val="false"/>
          <w:color w:val="000000"/>
          <w:sz w:val="28"/>
        </w:rPr>
        <w:t>
      Примером альтернативного варианта оценки воздействия является показатель пациент-дней и число назначений (выписываний). В тех случаях, когда вышеуказанные показатели недоступны, используется оценка объема продаж, выраженная в весовых единицах или дозах. Применяется концепция установленной суточной дозы (DDD)для получения данных по воздействию на пациентов.</w:t>
      </w:r>
    </w:p>
    <w:bookmarkEnd w:id="7638"/>
    <w:bookmarkStart w:name="z7811" w:id="7639"/>
    <w:p>
      <w:pPr>
        <w:spacing w:after="0"/>
        <w:ind w:left="0"/>
        <w:jc w:val="both"/>
      </w:pPr>
      <w:r>
        <w:rPr>
          <w:rFonts w:ascii="Times New Roman"/>
          <w:b w:val="false"/>
          <w:i w:val="false"/>
          <w:color w:val="000000"/>
          <w:sz w:val="28"/>
        </w:rPr>
        <w:t>
      Данные по воздействию приводятся по следующим категориям использования лекарственного препарата:</w:t>
      </w:r>
    </w:p>
    <w:bookmarkEnd w:id="7639"/>
    <w:bookmarkStart w:name="z7812" w:id="7640"/>
    <w:p>
      <w:pPr>
        <w:spacing w:after="0"/>
        <w:ind w:left="0"/>
        <w:jc w:val="both"/>
      </w:pPr>
      <w:r>
        <w:rPr>
          <w:rFonts w:ascii="Times New Roman"/>
          <w:b w:val="false"/>
          <w:i w:val="false"/>
          <w:color w:val="000000"/>
          <w:sz w:val="28"/>
        </w:rPr>
        <w:t>
      1. пострегистрационное применение (за исключением клинических исследований или испытаний):</w:t>
      </w:r>
    </w:p>
    <w:bookmarkEnd w:id="7640"/>
    <w:bookmarkStart w:name="z7813" w:id="7641"/>
    <w:p>
      <w:pPr>
        <w:spacing w:after="0"/>
        <w:ind w:left="0"/>
        <w:jc w:val="both"/>
      </w:pPr>
      <w:r>
        <w:rPr>
          <w:rFonts w:ascii="Times New Roman"/>
          <w:b w:val="false"/>
          <w:i w:val="false"/>
          <w:color w:val="000000"/>
          <w:sz w:val="28"/>
        </w:rPr>
        <w:t>
      Проводится и представляется общая оценка. Дополнительно данные представляются с разбивкой по полу, возрасту, показаниям, дозам, формам выпуска и регионам, где это применимо. В зависимости от лекарственного препарата, иные переменные приводятся, как значимые, в частности число выполненных вакцинаций, способ введения и продолжительность лечения.</w:t>
      </w:r>
    </w:p>
    <w:bookmarkEnd w:id="7641"/>
    <w:bookmarkStart w:name="z7814" w:id="7642"/>
    <w:p>
      <w:pPr>
        <w:spacing w:after="0"/>
        <w:ind w:left="0"/>
        <w:jc w:val="both"/>
      </w:pPr>
      <w:r>
        <w:rPr>
          <w:rFonts w:ascii="Times New Roman"/>
          <w:b w:val="false"/>
          <w:i w:val="false"/>
          <w:color w:val="000000"/>
          <w:sz w:val="28"/>
        </w:rPr>
        <w:t>
      В случае, выявлении серий сообщений о нежелательных реакциях, предполагающих о наличии сигнала, представляются данные по воздействию внутри соответствующей подгруппы, если это возможно.</w:t>
      </w:r>
    </w:p>
    <w:bookmarkEnd w:id="7642"/>
    <w:bookmarkStart w:name="z7815" w:id="7643"/>
    <w:p>
      <w:pPr>
        <w:spacing w:after="0"/>
        <w:ind w:left="0"/>
        <w:jc w:val="both"/>
      </w:pPr>
      <w:r>
        <w:rPr>
          <w:rFonts w:ascii="Times New Roman"/>
          <w:b w:val="false"/>
          <w:i w:val="false"/>
          <w:color w:val="000000"/>
          <w:sz w:val="28"/>
        </w:rPr>
        <w:t>
      2. пострегистрационное применение у особых популяционных групп:</w:t>
      </w:r>
    </w:p>
    <w:bookmarkEnd w:id="7643"/>
    <w:bookmarkStart w:name="z7816" w:id="7644"/>
    <w:p>
      <w:pPr>
        <w:spacing w:after="0"/>
        <w:ind w:left="0"/>
        <w:jc w:val="both"/>
      </w:pPr>
      <w:r>
        <w:rPr>
          <w:rFonts w:ascii="Times New Roman"/>
          <w:b w:val="false"/>
          <w:i w:val="false"/>
          <w:color w:val="000000"/>
          <w:sz w:val="28"/>
        </w:rPr>
        <w:t>
      В случае, если на пострегистрационном этапе лекарственный препарат используется у особых популяционных групп, представляется доступная информация в отношении кумулятивного числа пациентов, подвергшихся воздействию, и используемый метод расчета.</w:t>
      </w:r>
    </w:p>
    <w:bookmarkEnd w:id="7644"/>
    <w:bookmarkStart w:name="z7817" w:id="7645"/>
    <w:p>
      <w:pPr>
        <w:spacing w:after="0"/>
        <w:ind w:left="0"/>
        <w:jc w:val="both"/>
      </w:pPr>
      <w:r>
        <w:rPr>
          <w:rFonts w:ascii="Times New Roman"/>
          <w:b w:val="false"/>
          <w:i w:val="false"/>
          <w:color w:val="000000"/>
          <w:sz w:val="28"/>
        </w:rPr>
        <w:t>
      Источники этих данных включают неинтервенционные исследования, разработанные непосредственно для получения данных по особым популяционным подгруппам, включая регистры. Популяции, входящие в оценку по данному разделу, включают, но не ограничиваются следующими:</w:t>
      </w:r>
    </w:p>
    <w:bookmarkEnd w:id="7645"/>
    <w:bookmarkStart w:name="z7818" w:id="7646"/>
    <w:p>
      <w:pPr>
        <w:spacing w:after="0"/>
        <w:ind w:left="0"/>
        <w:jc w:val="both"/>
      </w:pPr>
      <w:r>
        <w:rPr>
          <w:rFonts w:ascii="Times New Roman"/>
          <w:b w:val="false"/>
          <w:i w:val="false"/>
          <w:color w:val="000000"/>
          <w:sz w:val="28"/>
        </w:rPr>
        <w:t>
      1) педиатрическая популяция;</w:t>
      </w:r>
    </w:p>
    <w:bookmarkEnd w:id="7646"/>
    <w:bookmarkStart w:name="z7819" w:id="7647"/>
    <w:p>
      <w:pPr>
        <w:spacing w:after="0"/>
        <w:ind w:left="0"/>
        <w:jc w:val="both"/>
      </w:pPr>
      <w:r>
        <w:rPr>
          <w:rFonts w:ascii="Times New Roman"/>
          <w:b w:val="false"/>
          <w:i w:val="false"/>
          <w:color w:val="000000"/>
          <w:sz w:val="28"/>
        </w:rPr>
        <w:t>
      2) популяция пожилого возраста;</w:t>
      </w:r>
    </w:p>
    <w:bookmarkEnd w:id="7647"/>
    <w:bookmarkStart w:name="z7820" w:id="7648"/>
    <w:p>
      <w:pPr>
        <w:spacing w:after="0"/>
        <w:ind w:left="0"/>
        <w:jc w:val="both"/>
      </w:pPr>
      <w:r>
        <w:rPr>
          <w:rFonts w:ascii="Times New Roman"/>
          <w:b w:val="false"/>
          <w:i w:val="false"/>
          <w:color w:val="000000"/>
          <w:sz w:val="28"/>
        </w:rPr>
        <w:t>
      3) женщины в период беременности и кормления;</w:t>
      </w:r>
    </w:p>
    <w:bookmarkEnd w:id="7648"/>
    <w:bookmarkStart w:name="z7821" w:id="7649"/>
    <w:p>
      <w:pPr>
        <w:spacing w:after="0"/>
        <w:ind w:left="0"/>
        <w:jc w:val="both"/>
      </w:pPr>
      <w:r>
        <w:rPr>
          <w:rFonts w:ascii="Times New Roman"/>
          <w:b w:val="false"/>
          <w:i w:val="false"/>
          <w:color w:val="000000"/>
          <w:sz w:val="28"/>
        </w:rPr>
        <w:t>
      4) пациенты с нарушениями функции печени и (или) почек;</w:t>
      </w:r>
    </w:p>
    <w:bookmarkEnd w:id="7649"/>
    <w:bookmarkStart w:name="z7822" w:id="7650"/>
    <w:p>
      <w:pPr>
        <w:spacing w:after="0"/>
        <w:ind w:left="0"/>
        <w:jc w:val="both"/>
      </w:pPr>
      <w:r>
        <w:rPr>
          <w:rFonts w:ascii="Times New Roman"/>
          <w:b w:val="false"/>
          <w:i w:val="false"/>
          <w:color w:val="000000"/>
          <w:sz w:val="28"/>
        </w:rPr>
        <w:t>
      5) пациенты с иной важной сопутствующей патологией;</w:t>
      </w:r>
    </w:p>
    <w:bookmarkEnd w:id="7650"/>
    <w:bookmarkStart w:name="z7823" w:id="7651"/>
    <w:p>
      <w:pPr>
        <w:spacing w:after="0"/>
        <w:ind w:left="0"/>
        <w:jc w:val="both"/>
      </w:pPr>
      <w:r>
        <w:rPr>
          <w:rFonts w:ascii="Times New Roman"/>
          <w:b w:val="false"/>
          <w:i w:val="false"/>
          <w:color w:val="000000"/>
          <w:sz w:val="28"/>
        </w:rPr>
        <w:t>
      6) пациенты, степень тяжести заболевания которых отлична от исследуемой в ходе клинических исследований;</w:t>
      </w:r>
    </w:p>
    <w:bookmarkEnd w:id="7651"/>
    <w:bookmarkStart w:name="z7824" w:id="7652"/>
    <w:p>
      <w:pPr>
        <w:spacing w:after="0"/>
        <w:ind w:left="0"/>
        <w:jc w:val="both"/>
      </w:pPr>
      <w:r>
        <w:rPr>
          <w:rFonts w:ascii="Times New Roman"/>
          <w:b w:val="false"/>
          <w:i w:val="false"/>
          <w:color w:val="000000"/>
          <w:sz w:val="28"/>
        </w:rPr>
        <w:t>
      7) подпопуляции с носительством генетического полиморфизма;</w:t>
      </w:r>
    </w:p>
    <w:bookmarkEnd w:id="7652"/>
    <w:bookmarkStart w:name="z7825" w:id="7653"/>
    <w:p>
      <w:pPr>
        <w:spacing w:after="0"/>
        <w:ind w:left="0"/>
        <w:jc w:val="both"/>
      </w:pPr>
      <w:r>
        <w:rPr>
          <w:rFonts w:ascii="Times New Roman"/>
          <w:b w:val="false"/>
          <w:i w:val="false"/>
          <w:color w:val="000000"/>
          <w:sz w:val="28"/>
        </w:rPr>
        <w:t>
      8) пациенты с иной расовой или этнической принадлежностью.</w:t>
      </w:r>
    </w:p>
    <w:bookmarkEnd w:id="7653"/>
    <w:bookmarkStart w:name="z7826" w:id="7654"/>
    <w:p>
      <w:pPr>
        <w:spacing w:after="0"/>
        <w:ind w:left="0"/>
        <w:jc w:val="both"/>
      </w:pPr>
      <w:r>
        <w:rPr>
          <w:rFonts w:ascii="Times New Roman"/>
          <w:b w:val="false"/>
          <w:i w:val="false"/>
          <w:color w:val="000000"/>
          <w:sz w:val="28"/>
        </w:rPr>
        <w:t>
      3. особенности применения лекарственного препарата.</w:t>
      </w:r>
    </w:p>
    <w:bookmarkEnd w:id="7654"/>
    <w:bookmarkStart w:name="z7827" w:id="7655"/>
    <w:p>
      <w:pPr>
        <w:spacing w:after="0"/>
        <w:ind w:left="0"/>
        <w:jc w:val="both"/>
      </w:pPr>
      <w:r>
        <w:rPr>
          <w:rFonts w:ascii="Times New Roman"/>
          <w:b w:val="false"/>
          <w:i w:val="false"/>
          <w:color w:val="000000"/>
          <w:sz w:val="28"/>
        </w:rPr>
        <w:t>
      В случае, если держателю регистрационного удостоверения известна информация об определенных особенностях применения лекарственного препарата, приводится описание особенностей и проводится соответствующая оценка и интерпретация данных по безопасности.</w:t>
      </w:r>
    </w:p>
    <w:bookmarkEnd w:id="7655"/>
    <w:bookmarkStart w:name="z7828" w:id="7656"/>
    <w:p>
      <w:pPr>
        <w:spacing w:after="0"/>
        <w:ind w:left="0"/>
        <w:jc w:val="both"/>
      </w:pPr>
      <w:r>
        <w:rPr>
          <w:rFonts w:ascii="Times New Roman"/>
          <w:b w:val="false"/>
          <w:i w:val="false"/>
          <w:color w:val="000000"/>
          <w:sz w:val="28"/>
        </w:rPr>
        <w:t>
      К числу таких особенностей относится, в частности, применение в медицинской практике по показаниям, не включенным в число одобренных показаний. Если имеются соответствующие данные, держатель регистрационного удостоверения комментирует насколько данное применение поддерживается клиническими протоколами, доказательной базой клинических исследований, либо обусловлено отсутствием в целом зарегистрированных альтернатив. Представляется количественная оценка по объему данного применения, если подобные данные имеются.</w:t>
      </w:r>
    </w:p>
    <w:bookmarkEnd w:id="7656"/>
    <w:bookmarkStart w:name="z7829" w:id="7657"/>
    <w:p>
      <w:pPr>
        <w:spacing w:after="0"/>
        <w:ind w:left="0"/>
        <w:jc w:val="both"/>
      </w:pPr>
      <w:r>
        <w:rPr>
          <w:rFonts w:ascii="Times New Roman"/>
          <w:b w:val="false"/>
          <w:i w:val="false"/>
          <w:color w:val="000000"/>
          <w:sz w:val="28"/>
        </w:rPr>
        <w:t>
      300. Раздел ПОБ "Обобщенные табличные данные". Целью данного раздела ПОБ является представление данных по нежелательным реакциям или явлениям, выявленным в ходе клинических исследований в форме обобщенных табличных данных. На усмотрение держателя регистрационного удостоверения приводится графическое отображение определенных аспектов данных с целью облегчения восприятия и понимания.</w:t>
      </w:r>
    </w:p>
    <w:bookmarkEnd w:id="7657"/>
    <w:bookmarkStart w:name="z7830" w:id="7658"/>
    <w:p>
      <w:pPr>
        <w:spacing w:after="0"/>
        <w:ind w:left="0"/>
        <w:jc w:val="both"/>
      </w:pPr>
      <w:r>
        <w:rPr>
          <w:rFonts w:ascii="Times New Roman"/>
          <w:b w:val="false"/>
          <w:i w:val="false"/>
          <w:color w:val="000000"/>
          <w:sz w:val="28"/>
        </w:rPr>
        <w:t>
      Отнесение к числу серьезных нежелательных реакций в обобщенных табличных данных соответствует отнесению, сделанному по результатам оценки индивидуальных сообщений о нежелательных реакциях с использованием критериев серьезности, установленных законодательством. Оценка серьезности не меняется при подготовке данных для включения в ПОБ.</w:t>
      </w:r>
    </w:p>
    <w:bookmarkEnd w:id="7658"/>
    <w:bookmarkStart w:name="z7831" w:id="7659"/>
    <w:p>
      <w:pPr>
        <w:spacing w:after="0"/>
        <w:ind w:left="0"/>
        <w:jc w:val="both"/>
      </w:pPr>
      <w:r>
        <w:rPr>
          <w:rFonts w:ascii="Times New Roman"/>
          <w:b w:val="false"/>
          <w:i w:val="false"/>
          <w:color w:val="000000"/>
          <w:sz w:val="28"/>
        </w:rPr>
        <w:t>
      301. В подразделе ПОБ "Справочная информация" указывается версия терминологического классификатора, используемого для анализа нежелательных явлений или реакций.</w:t>
      </w:r>
    </w:p>
    <w:bookmarkEnd w:id="7659"/>
    <w:bookmarkStart w:name="z7832" w:id="7660"/>
    <w:p>
      <w:pPr>
        <w:spacing w:after="0"/>
        <w:ind w:left="0"/>
        <w:jc w:val="both"/>
      </w:pPr>
      <w:r>
        <w:rPr>
          <w:rFonts w:ascii="Times New Roman"/>
          <w:b w:val="false"/>
          <w:i w:val="false"/>
          <w:color w:val="000000"/>
          <w:sz w:val="28"/>
        </w:rPr>
        <w:t>
      302. В подразделе ПОБ "Обобщенные табличные данные по серьезным явлениям, выявленным в ходе клинических исследований или испытаний" приводится обоснование по приложению, которое включает кумулятивные обобщенные табличные данные по серьезным нежелательным явлениям, выявленным в ходе клинических исследований или испытаний, организованных держателем регистрационного удостоверения, начиная от международной даты одобрения разрабатываемого лекарственного препарата до даты окончания сбора данных по текущему ПОБ. Держатель регистрационного удостоверения обосновывает все исключаемые данные (данные по результатам клинического исследования (испытания) могут быть недоступны на протяжении нескольких лет). Данные в табличной форме группируется в соответствии с классификационным отнесением нежелательных реакций по органо-системным классам для исследуемого лекарственного препарата, а также для препаратов сравнения (активных и плацебо). Когда это является целесообразным, данные представляются в группированном виде по клиническим исследованиям (испытаниям), показаниям, путям введения и иным переменным.</w:t>
      </w:r>
    </w:p>
    <w:bookmarkEnd w:id="7660"/>
    <w:bookmarkStart w:name="z7833" w:id="7661"/>
    <w:p>
      <w:pPr>
        <w:spacing w:after="0"/>
        <w:ind w:left="0"/>
        <w:jc w:val="both"/>
      </w:pPr>
      <w:r>
        <w:rPr>
          <w:rFonts w:ascii="Times New Roman"/>
          <w:b w:val="false"/>
          <w:i w:val="false"/>
          <w:color w:val="000000"/>
          <w:sz w:val="28"/>
        </w:rPr>
        <w:t>
      Рассматриваются следующие аспекты:</w:t>
      </w:r>
    </w:p>
    <w:bookmarkEnd w:id="7661"/>
    <w:bookmarkStart w:name="z7834" w:id="7662"/>
    <w:p>
      <w:pPr>
        <w:spacing w:after="0"/>
        <w:ind w:left="0"/>
        <w:jc w:val="both"/>
      </w:pPr>
      <w:r>
        <w:rPr>
          <w:rFonts w:ascii="Times New Roman"/>
          <w:b w:val="false"/>
          <w:i w:val="false"/>
          <w:color w:val="000000"/>
          <w:sz w:val="28"/>
        </w:rPr>
        <w:t>
      1) рекомендуется представление оценки причинно-следственной связи по редким нежелательным реакциям. Представляются данные по всем серьезным нежелательным явлением и для исследуемого лекарственного препарата, и для препаратов сравнения и плацебо для проведения группового сравнения, в том числе, в отношении частоты. Представляются данные с отражением взаимосвязи назначаемой дозы и частоты;</w:t>
      </w:r>
    </w:p>
    <w:bookmarkEnd w:id="7662"/>
    <w:bookmarkStart w:name="z7835" w:id="7663"/>
    <w:p>
      <w:pPr>
        <w:spacing w:after="0"/>
        <w:ind w:left="0"/>
        <w:jc w:val="both"/>
      </w:pPr>
      <w:r>
        <w:rPr>
          <w:rFonts w:ascii="Times New Roman"/>
          <w:b w:val="false"/>
          <w:i w:val="false"/>
          <w:color w:val="000000"/>
          <w:sz w:val="28"/>
        </w:rPr>
        <w:t>
      2) обобщенные табличные данные включают как ослепленные, так и разослепленные данные по серьезным нежелательным явлениям в клинических исследованиях. Разослепленные данные представляются по результатам завершенных клинических исследований и отдельным индивидуальным случаям, которые были разослеплены по определенным причинам (по аспектам безопасности или выполнения требований незамедлительного репортирования).</w:t>
      </w:r>
    </w:p>
    <w:bookmarkEnd w:id="7663"/>
    <w:bookmarkStart w:name="z7836" w:id="7664"/>
    <w:p>
      <w:pPr>
        <w:spacing w:after="0"/>
        <w:ind w:left="0"/>
        <w:jc w:val="both"/>
      </w:pPr>
      <w:r>
        <w:rPr>
          <w:rFonts w:ascii="Times New Roman"/>
          <w:b w:val="false"/>
          <w:i w:val="false"/>
          <w:color w:val="000000"/>
          <w:sz w:val="28"/>
        </w:rPr>
        <w:t>
      Спонсоры (заявители) клинического исследования (испытания) и держатели регистрационных удостоверений не выполняют разослепление непосредственно в связи с подготовкой ПОБ;</w:t>
      </w:r>
    </w:p>
    <w:bookmarkEnd w:id="7664"/>
    <w:bookmarkStart w:name="z7837" w:id="7665"/>
    <w:p>
      <w:pPr>
        <w:spacing w:after="0"/>
        <w:ind w:left="0"/>
        <w:jc w:val="both"/>
      </w:pPr>
      <w:r>
        <w:rPr>
          <w:rFonts w:ascii="Times New Roman"/>
          <w:b w:val="false"/>
          <w:i w:val="false"/>
          <w:color w:val="000000"/>
          <w:sz w:val="28"/>
        </w:rPr>
        <w:t>
      3) определенные нежелательные реакции исключаются из обобщающей информации, но все подобные исключения обосновываются в отчете (нежелательные реакции, определенные в протоколе как исключающиеся из процедуры незамедлительного репортирования и только включаемые в общую базу данных по причине того, что они являются присущими целевой популяции, или совпадают с конечными точками).</w:t>
      </w:r>
    </w:p>
    <w:bookmarkEnd w:id="7665"/>
    <w:bookmarkStart w:name="z7838" w:id="7666"/>
    <w:p>
      <w:pPr>
        <w:spacing w:after="0"/>
        <w:ind w:left="0"/>
        <w:jc w:val="both"/>
      </w:pPr>
      <w:r>
        <w:rPr>
          <w:rFonts w:ascii="Times New Roman"/>
          <w:b w:val="false"/>
          <w:i w:val="false"/>
          <w:color w:val="000000"/>
          <w:sz w:val="28"/>
        </w:rPr>
        <w:t>
      303. В подразделе ПОБ "Обобщенные табличные данные по данным пострегистрационного применения" представляется обоснование по приложению, включающему в табличной форме обобщающие данные по нежелательным реакциям кумулятивно за весь период и за отчетный период, от даты международной регистрации лекарственного препарата до даты окончания сбора данных. Включаются сведения о нежелательных реакциях, полученных в ходе неинтервенционных исследований и спонтанного репортирования и данные от медицинских и фармацевтических работников, потребителей, пациентов, уполномоченного органа и данных, опубликованных в медицинской литературе. Серьезные и несерьезные нежелательные реакции представляются в отдельных таблицах. В таблице данные распределяются согласно классификации по органо-функциональным классам. По особо важным аспектам профиля безопасности представляются отдельные таблицы нежелательных реакций с группированием данных по показаниям, способу введения и иным параметрам.</w:t>
      </w:r>
    </w:p>
    <w:bookmarkEnd w:id="7666"/>
    <w:bookmarkStart w:name="z7839" w:id="7667"/>
    <w:p>
      <w:pPr>
        <w:spacing w:after="0"/>
        <w:ind w:left="0"/>
        <w:jc w:val="both"/>
      </w:pPr>
      <w:r>
        <w:rPr>
          <w:rFonts w:ascii="Times New Roman"/>
          <w:b w:val="false"/>
          <w:i w:val="false"/>
          <w:color w:val="000000"/>
          <w:sz w:val="28"/>
        </w:rPr>
        <w:t>
      304. Раздел ПОБ "Резюме важных данных, полученных в ходе клинических исследований (испытаний) за отчетный период".</w:t>
      </w:r>
    </w:p>
    <w:bookmarkEnd w:id="7667"/>
    <w:bookmarkStart w:name="z7840" w:id="7668"/>
    <w:p>
      <w:pPr>
        <w:spacing w:after="0"/>
        <w:ind w:left="0"/>
        <w:jc w:val="both"/>
      </w:pPr>
      <w:r>
        <w:rPr>
          <w:rFonts w:ascii="Times New Roman"/>
          <w:b w:val="false"/>
          <w:i w:val="false"/>
          <w:color w:val="000000"/>
          <w:sz w:val="28"/>
        </w:rPr>
        <w:t xml:space="preserve">
      Держатель регистрационного удостоверения предоставляет в приложении перечисление организованных им интервенционных клинических исследований с целью возможности идентификации, характеристики и количественной оценки уровня рисков, подтверждения профиля безопасности лекарственного препарата или оценки эффективности мер минимизации риска, которые завершены или продолжают выполняться в отчетный период. </w:t>
      </w:r>
    </w:p>
    <w:bookmarkEnd w:id="7668"/>
    <w:bookmarkStart w:name="z7841" w:id="7669"/>
    <w:p>
      <w:pPr>
        <w:spacing w:after="0"/>
        <w:ind w:left="0"/>
        <w:jc w:val="both"/>
      </w:pPr>
      <w:r>
        <w:rPr>
          <w:rFonts w:ascii="Times New Roman"/>
          <w:b w:val="false"/>
          <w:i w:val="false"/>
          <w:color w:val="000000"/>
          <w:sz w:val="28"/>
        </w:rPr>
        <w:t>
      Данные разбиваются на категории по половому и возрастному признаку (в особенности взрослые по сравнению с детской популяцией), показаниям, режимам дозирования и регионам, если применимо.</w:t>
      </w:r>
    </w:p>
    <w:bookmarkEnd w:id="7669"/>
    <w:bookmarkStart w:name="z7842" w:id="7670"/>
    <w:p>
      <w:pPr>
        <w:spacing w:after="0"/>
        <w:ind w:left="0"/>
        <w:jc w:val="both"/>
      </w:pPr>
      <w:r>
        <w:rPr>
          <w:rFonts w:ascii="Times New Roman"/>
          <w:b w:val="false"/>
          <w:i w:val="false"/>
          <w:color w:val="000000"/>
          <w:sz w:val="28"/>
        </w:rPr>
        <w:t>
      Сигналы, выявленные в ходе клинических исследований, представляются в табличной форме в разделе 15 ПОБ ("Обзор по сигналам: новые, находящиеся в работе или завершенные"). Для сигналов проводится оценка, по отнесению их к потенциальным или идентифицированным рискам. Риск оценивается и характеризуется в разделе 16) ПОБ ("Оценка рисков и новой информации", "Характеристика рисков") соответственно.</w:t>
      </w:r>
    </w:p>
    <w:bookmarkEnd w:id="7670"/>
    <w:bookmarkStart w:name="z7843" w:id="7671"/>
    <w:p>
      <w:pPr>
        <w:spacing w:after="0"/>
        <w:ind w:left="0"/>
        <w:jc w:val="both"/>
      </w:pPr>
      <w:r>
        <w:rPr>
          <w:rFonts w:ascii="Times New Roman"/>
          <w:b w:val="false"/>
          <w:i w:val="false"/>
          <w:color w:val="000000"/>
          <w:sz w:val="28"/>
        </w:rPr>
        <w:t>
      В данном разделе ПОБ представляется обобщающая информация по клинически важным данным эффективности и безопасности, полученными из следующих источников за отчетный период:</w:t>
      </w:r>
    </w:p>
    <w:bookmarkEnd w:id="7671"/>
    <w:bookmarkStart w:name="z7844" w:id="7672"/>
    <w:p>
      <w:pPr>
        <w:spacing w:after="0"/>
        <w:ind w:left="0"/>
        <w:jc w:val="both"/>
      </w:pPr>
      <w:r>
        <w:rPr>
          <w:rFonts w:ascii="Times New Roman"/>
          <w:b w:val="false"/>
          <w:i w:val="false"/>
          <w:color w:val="000000"/>
          <w:sz w:val="28"/>
        </w:rPr>
        <w:t>
      305. Подраздел "Завершенные клинические исследования" представляет краткую информацию по клинически важным данным эффективности и безопасности, полученными в результате завершенных за отчетный период клинических исследований (испытаний). Данная информация представляется в сжатом виде или в форме синопсиса и включает информацию, подтверждающую или опровергающую ранее идентифицированные сигналы по безопасности, а также доказательства по новым сигналам безопасности.</w:t>
      </w:r>
    </w:p>
    <w:bookmarkEnd w:id="7672"/>
    <w:bookmarkStart w:name="z7845" w:id="7673"/>
    <w:p>
      <w:pPr>
        <w:spacing w:after="0"/>
        <w:ind w:left="0"/>
        <w:jc w:val="both"/>
      </w:pPr>
      <w:r>
        <w:rPr>
          <w:rFonts w:ascii="Times New Roman"/>
          <w:b w:val="false"/>
          <w:i w:val="false"/>
          <w:color w:val="000000"/>
          <w:sz w:val="28"/>
        </w:rPr>
        <w:t>
      306. Подраздел ПОБ "Продолжающиеся клинические исследования (испытания)".</w:t>
      </w:r>
    </w:p>
    <w:bookmarkEnd w:id="7673"/>
    <w:bookmarkStart w:name="z7846" w:id="7674"/>
    <w:p>
      <w:pPr>
        <w:spacing w:after="0"/>
        <w:ind w:left="0"/>
        <w:jc w:val="both"/>
      </w:pPr>
      <w:r>
        <w:rPr>
          <w:rFonts w:ascii="Times New Roman"/>
          <w:b w:val="false"/>
          <w:i w:val="false"/>
          <w:color w:val="000000"/>
          <w:sz w:val="28"/>
        </w:rPr>
        <w:t>
      В случае, если держателю регистрационного удостоверения известна какая-либо клинически важная информация, полученная в ходе продолжающихся клинических исследований (испытаний) (выявленная в ходе промежуточного анализа безопасности либо в результате разослепления выявленных серьезных нежелательных явлений), в данном разделе излагается информация по выявленной новой информации безопасности. Этот раздел также включает информацию, подтверждающая или опровергающая ранее идентифицированные сигналы по безопасности, а также доказательства по новым сигналам безопасности.</w:t>
      </w:r>
    </w:p>
    <w:bookmarkEnd w:id="7674"/>
    <w:bookmarkStart w:name="z7847" w:id="7675"/>
    <w:p>
      <w:pPr>
        <w:spacing w:after="0"/>
        <w:ind w:left="0"/>
        <w:jc w:val="both"/>
      </w:pPr>
      <w:r>
        <w:rPr>
          <w:rFonts w:ascii="Times New Roman"/>
          <w:b w:val="false"/>
          <w:i w:val="false"/>
          <w:color w:val="000000"/>
          <w:sz w:val="28"/>
        </w:rPr>
        <w:t>
      307. Подраздел ПОБ "Длительное последующее наблюдение".</w:t>
      </w:r>
    </w:p>
    <w:bookmarkEnd w:id="7675"/>
    <w:bookmarkStart w:name="z7848" w:id="7676"/>
    <w:p>
      <w:pPr>
        <w:spacing w:after="0"/>
        <w:ind w:left="0"/>
        <w:jc w:val="both"/>
      </w:pPr>
      <w:r>
        <w:rPr>
          <w:rFonts w:ascii="Times New Roman"/>
          <w:b w:val="false"/>
          <w:i w:val="false"/>
          <w:color w:val="000000"/>
          <w:sz w:val="28"/>
        </w:rPr>
        <w:t>
      В тех случаях, когда имеются данные по длительному последующему наблюдению пациентов, включенных в клинические исследования (испытания), в разделе приводится информация по этим наблюдениям, значимым с точки зрения профиля безопасности.</w:t>
      </w:r>
    </w:p>
    <w:bookmarkEnd w:id="7676"/>
    <w:bookmarkStart w:name="z7849" w:id="7677"/>
    <w:p>
      <w:pPr>
        <w:spacing w:after="0"/>
        <w:ind w:left="0"/>
        <w:jc w:val="both"/>
      </w:pPr>
      <w:r>
        <w:rPr>
          <w:rFonts w:ascii="Times New Roman"/>
          <w:b w:val="false"/>
          <w:i w:val="false"/>
          <w:color w:val="000000"/>
          <w:sz w:val="28"/>
        </w:rPr>
        <w:t>
      308. Подраздел ПОБ "Иное терапевтическое применение лекарственных препаратов".</w:t>
      </w:r>
    </w:p>
    <w:bookmarkEnd w:id="7677"/>
    <w:bookmarkStart w:name="z7850" w:id="7678"/>
    <w:p>
      <w:pPr>
        <w:spacing w:after="0"/>
        <w:ind w:left="0"/>
        <w:jc w:val="both"/>
      </w:pPr>
      <w:r>
        <w:rPr>
          <w:rFonts w:ascii="Times New Roman"/>
          <w:b w:val="false"/>
          <w:i w:val="false"/>
          <w:color w:val="000000"/>
          <w:sz w:val="28"/>
        </w:rPr>
        <w:t>
      Данный подраздел ПОБ включает клинически важную информацию по безопасности, полученную в результате других программ, проведенных держателем регистрационного удостоверения, по специальным протоколам (программы расширенного доступа, программы использования в связи с исключительными обстоятельствами из соображений сострадания, индивидуального доступа и иных).</w:t>
      </w:r>
    </w:p>
    <w:bookmarkEnd w:id="7678"/>
    <w:bookmarkStart w:name="z7851" w:id="7679"/>
    <w:p>
      <w:pPr>
        <w:spacing w:after="0"/>
        <w:ind w:left="0"/>
        <w:jc w:val="both"/>
      </w:pPr>
      <w:r>
        <w:rPr>
          <w:rFonts w:ascii="Times New Roman"/>
          <w:b w:val="false"/>
          <w:i w:val="false"/>
          <w:color w:val="000000"/>
          <w:sz w:val="28"/>
        </w:rPr>
        <w:t xml:space="preserve">
      309. Подраздел ПОБ "Новые данные по безопасности в отношении назначения фиксированных комбинаций" </w:t>
      </w:r>
    </w:p>
    <w:bookmarkEnd w:id="7679"/>
    <w:bookmarkStart w:name="z7852" w:id="7680"/>
    <w:p>
      <w:pPr>
        <w:spacing w:after="0"/>
        <w:ind w:left="0"/>
        <w:jc w:val="both"/>
      </w:pPr>
      <w:r>
        <w:rPr>
          <w:rFonts w:ascii="Times New Roman"/>
          <w:b w:val="false"/>
          <w:i w:val="false"/>
          <w:color w:val="000000"/>
          <w:sz w:val="28"/>
        </w:rPr>
        <w:t>
      Следующие данные представляются в отношении комбинированной терапии:</w:t>
      </w:r>
    </w:p>
    <w:bookmarkEnd w:id="7680"/>
    <w:bookmarkStart w:name="z7853" w:id="7681"/>
    <w:p>
      <w:pPr>
        <w:spacing w:after="0"/>
        <w:ind w:left="0"/>
        <w:jc w:val="both"/>
      </w:pPr>
      <w:r>
        <w:rPr>
          <w:rFonts w:ascii="Times New Roman"/>
          <w:b w:val="false"/>
          <w:i w:val="false"/>
          <w:color w:val="000000"/>
          <w:sz w:val="28"/>
        </w:rPr>
        <w:t>
      1) в случае, если лекарственный препарат одобрен для назначения в качестве компонента фиксированной лекарственной терапии или многокомпонентного режима лекарственной терапии, в разделе обобщаются важные данные по безопасности применения комбинированной терапии;</w:t>
      </w:r>
    </w:p>
    <w:bookmarkEnd w:id="7681"/>
    <w:bookmarkStart w:name="z7854" w:id="7682"/>
    <w:p>
      <w:pPr>
        <w:spacing w:after="0"/>
        <w:ind w:left="0"/>
        <w:jc w:val="both"/>
      </w:pPr>
      <w:r>
        <w:rPr>
          <w:rFonts w:ascii="Times New Roman"/>
          <w:b w:val="false"/>
          <w:i w:val="false"/>
          <w:color w:val="000000"/>
          <w:sz w:val="28"/>
        </w:rPr>
        <w:t>
      2) в случае, если лекарственный препарат является комбинированным лекарственным препаратом, данный раздел обобщает важную информацию по безопасности по каждому из индивидуальных компонентов.</w:t>
      </w:r>
    </w:p>
    <w:bookmarkEnd w:id="7682"/>
    <w:bookmarkStart w:name="z7855" w:id="7683"/>
    <w:p>
      <w:pPr>
        <w:spacing w:after="0"/>
        <w:ind w:left="0"/>
        <w:jc w:val="both"/>
      </w:pPr>
      <w:r>
        <w:rPr>
          <w:rFonts w:ascii="Times New Roman"/>
          <w:b w:val="false"/>
          <w:i w:val="false"/>
          <w:color w:val="000000"/>
          <w:sz w:val="28"/>
        </w:rPr>
        <w:t>
      310. Раздел ПОБ "Данные неинтервенционных исследований".</w:t>
      </w:r>
    </w:p>
    <w:bookmarkEnd w:id="7683"/>
    <w:bookmarkStart w:name="z7856" w:id="7684"/>
    <w:p>
      <w:pPr>
        <w:spacing w:after="0"/>
        <w:ind w:left="0"/>
        <w:jc w:val="both"/>
      </w:pPr>
      <w:r>
        <w:rPr>
          <w:rFonts w:ascii="Times New Roman"/>
          <w:b w:val="false"/>
          <w:i w:val="false"/>
          <w:color w:val="000000"/>
          <w:sz w:val="28"/>
        </w:rPr>
        <w:t>
      В данном разделе обобщается соответствующая информация по безопасности или данные об их влиянии на оценку соотношения польза-риск, полученная по результатам неинтервенционных клинических исследований (испытаний) таких как, обсервационных исследований, эпидемиологических исследований, регистров, программ активного мониторинга, организованных держателем регистрационного удостоверения, доступных в отчетный период. Раздел включает данные, имеющие отношение к аспектам профиля безопасности, полученные по результатам исследований оценки использования лекарственного препарата.</w:t>
      </w:r>
    </w:p>
    <w:bookmarkEnd w:id="7684"/>
    <w:bookmarkStart w:name="z7857" w:id="7685"/>
    <w:p>
      <w:pPr>
        <w:spacing w:after="0"/>
        <w:ind w:left="0"/>
        <w:jc w:val="both"/>
      </w:pPr>
      <w:r>
        <w:rPr>
          <w:rFonts w:ascii="Times New Roman"/>
          <w:b w:val="false"/>
          <w:i w:val="false"/>
          <w:color w:val="000000"/>
          <w:sz w:val="28"/>
        </w:rPr>
        <w:t>
      Держатель регистрационного удостоверения включает в приложение к отчету перечень всех неинтервенционных исследований (испытаний), организованных держателем регистрационного удостоверения, выполненных с целью выявления, характеристики и количественной оценки вызывающих опасения аспектов профиля безопасности, подтверждения профиля безопасности лекарственного препарата или оценки эффективности мер минимизации риска, которые были выполнены или выполняются на протяжении отчетного периода (ПРИБ).</w:t>
      </w:r>
    </w:p>
    <w:bookmarkEnd w:id="7685"/>
    <w:bookmarkStart w:name="z7858" w:id="7686"/>
    <w:p>
      <w:pPr>
        <w:spacing w:after="0"/>
        <w:ind w:left="0"/>
        <w:jc w:val="both"/>
      </w:pPr>
      <w:r>
        <w:rPr>
          <w:rFonts w:ascii="Times New Roman"/>
          <w:b w:val="false"/>
          <w:i w:val="false"/>
          <w:color w:val="000000"/>
          <w:sz w:val="28"/>
        </w:rPr>
        <w:t>
      Отчеты о стадии выполнения или итоговые отчеты, подготовленные на протяжении отчетного периода, включаются в приложение к ПОБ.</w:t>
      </w:r>
    </w:p>
    <w:bookmarkEnd w:id="7686"/>
    <w:bookmarkStart w:name="z7859" w:id="7687"/>
    <w:p>
      <w:pPr>
        <w:spacing w:after="0"/>
        <w:ind w:left="0"/>
        <w:jc w:val="both"/>
      </w:pPr>
      <w:r>
        <w:rPr>
          <w:rFonts w:ascii="Times New Roman"/>
          <w:b w:val="false"/>
          <w:i w:val="false"/>
          <w:color w:val="000000"/>
          <w:sz w:val="28"/>
        </w:rPr>
        <w:t>
      311. В разделе ПОБ "Данные других клинических исследований и из других источников" обобщается информация, имеющая отношение к оценке соотношения польза-риск лекарственного препарата и полученная по результатам иных клинических исследований либо полученная из иных источников, к которым имелся доступ у держателя регистрационного удостоверения, за отчетный период (результаты мета-анализов рандомизированных клинических исследований, данные по безопасности партнеров по разработке лекарственного препарата и иные).</w:t>
      </w:r>
    </w:p>
    <w:bookmarkEnd w:id="7687"/>
    <w:bookmarkStart w:name="z7860" w:id="7688"/>
    <w:p>
      <w:pPr>
        <w:spacing w:after="0"/>
        <w:ind w:left="0"/>
        <w:jc w:val="both"/>
      </w:pPr>
      <w:r>
        <w:rPr>
          <w:rFonts w:ascii="Times New Roman"/>
          <w:b w:val="false"/>
          <w:i w:val="false"/>
          <w:color w:val="000000"/>
          <w:sz w:val="28"/>
        </w:rPr>
        <w:t>
      312. В Разделе ПОБ "Данные доклинических исследований" представляется обобщенная информация по значимым в отношении профиля безопасности данным, полученным в результате доклинических исследований in vivo и in vitro (исследования канцерогенности, репродуктивной токсичности или иммунотоксичности), выполняемых или завершенных в отчетный период. Оценка влияние полученных данных на профиль безопасности представляется в разделе 16 ("Сигнал и оценка риска") и разделе 18 ("Интегрированный анализ соотношения польза-риск по одобренным показаниям") ПОБ.</w:t>
      </w:r>
    </w:p>
    <w:bookmarkEnd w:id="7688"/>
    <w:bookmarkStart w:name="z7861" w:id="7689"/>
    <w:p>
      <w:pPr>
        <w:spacing w:after="0"/>
        <w:ind w:left="0"/>
        <w:jc w:val="both"/>
      </w:pPr>
      <w:r>
        <w:rPr>
          <w:rFonts w:ascii="Times New Roman"/>
          <w:b w:val="false"/>
          <w:i w:val="false"/>
          <w:color w:val="000000"/>
          <w:sz w:val="28"/>
        </w:rPr>
        <w:t>
      313. Раздел ПОБ "Литература" включает обобщение полученных новых и значимых данных по безопасности, которые были опубликованы научной литературе, прошедшей экспертную оценку, либо были получены из неопубликованных монографий, имеющие отношение к лекарственному препарату и стали доступны держателю регистрационного удостоверения в отчетный период.</w:t>
      </w:r>
    </w:p>
    <w:bookmarkEnd w:id="7689"/>
    <w:bookmarkStart w:name="z7862" w:id="7690"/>
    <w:p>
      <w:pPr>
        <w:spacing w:after="0"/>
        <w:ind w:left="0"/>
        <w:jc w:val="both"/>
      </w:pPr>
      <w:r>
        <w:rPr>
          <w:rFonts w:ascii="Times New Roman"/>
          <w:b w:val="false"/>
          <w:i w:val="false"/>
          <w:color w:val="000000"/>
          <w:sz w:val="28"/>
        </w:rPr>
        <w:t>
      Литературный поиск для подготовки ПОБ шире, чем осуществляемый с целью поиска индивидуальных сообщений о нежелательных реакциях, поскольку включает также исследования, в ходе которых были оценены исходы с точки зрения безопасности в группах субъектов исследования.</w:t>
      </w:r>
    </w:p>
    <w:bookmarkEnd w:id="7690"/>
    <w:bookmarkStart w:name="z7863" w:id="7691"/>
    <w:p>
      <w:pPr>
        <w:spacing w:after="0"/>
        <w:ind w:left="0"/>
        <w:jc w:val="both"/>
      </w:pPr>
      <w:r>
        <w:rPr>
          <w:rFonts w:ascii="Times New Roman"/>
          <w:b w:val="false"/>
          <w:i w:val="false"/>
          <w:color w:val="000000"/>
          <w:sz w:val="28"/>
        </w:rPr>
        <w:t>
      Особые аспекты профиля безопасности, подлежащие поиску, но которые не выявлены при осуществлении поиска с целью получения данных по индивидуальным случаям нежелательных реакций, включают:</w:t>
      </w:r>
    </w:p>
    <w:bookmarkEnd w:id="7691"/>
    <w:bookmarkStart w:name="z7864" w:id="7692"/>
    <w:p>
      <w:pPr>
        <w:spacing w:after="0"/>
        <w:ind w:left="0"/>
        <w:jc w:val="both"/>
      </w:pPr>
      <w:r>
        <w:rPr>
          <w:rFonts w:ascii="Times New Roman"/>
          <w:b w:val="false"/>
          <w:i w:val="false"/>
          <w:color w:val="000000"/>
          <w:sz w:val="28"/>
        </w:rPr>
        <w:t>
      1) исходы беременности (включая прерывание), не сопровождающиеся нежелательными последствиями;</w:t>
      </w:r>
    </w:p>
    <w:bookmarkEnd w:id="7692"/>
    <w:bookmarkStart w:name="z7865" w:id="7693"/>
    <w:p>
      <w:pPr>
        <w:spacing w:after="0"/>
        <w:ind w:left="0"/>
        <w:jc w:val="both"/>
      </w:pPr>
      <w:r>
        <w:rPr>
          <w:rFonts w:ascii="Times New Roman"/>
          <w:b w:val="false"/>
          <w:i w:val="false"/>
          <w:color w:val="000000"/>
          <w:sz w:val="28"/>
        </w:rPr>
        <w:t>
      2) применение в педиатрической популяции;</w:t>
      </w:r>
    </w:p>
    <w:bookmarkEnd w:id="7693"/>
    <w:bookmarkStart w:name="z7866" w:id="7694"/>
    <w:p>
      <w:pPr>
        <w:spacing w:after="0"/>
        <w:ind w:left="0"/>
        <w:jc w:val="both"/>
      </w:pPr>
      <w:r>
        <w:rPr>
          <w:rFonts w:ascii="Times New Roman"/>
          <w:b w:val="false"/>
          <w:i w:val="false"/>
          <w:color w:val="000000"/>
          <w:sz w:val="28"/>
        </w:rPr>
        <w:t>
      3) применение по программам использования в связи с исключительными обстоятельствами из соображений сострадания, персонализированным программам назначения;</w:t>
      </w:r>
    </w:p>
    <w:bookmarkEnd w:id="7694"/>
    <w:bookmarkStart w:name="z7867" w:id="7695"/>
    <w:p>
      <w:pPr>
        <w:spacing w:after="0"/>
        <w:ind w:left="0"/>
        <w:jc w:val="both"/>
      </w:pPr>
      <w:r>
        <w:rPr>
          <w:rFonts w:ascii="Times New Roman"/>
          <w:b w:val="false"/>
          <w:i w:val="false"/>
          <w:color w:val="000000"/>
          <w:sz w:val="28"/>
        </w:rPr>
        <w:t>
      4) отсутствие эффективности;</w:t>
      </w:r>
    </w:p>
    <w:bookmarkEnd w:id="7695"/>
    <w:bookmarkStart w:name="z7868" w:id="7696"/>
    <w:p>
      <w:pPr>
        <w:spacing w:after="0"/>
        <w:ind w:left="0"/>
        <w:jc w:val="both"/>
      </w:pPr>
      <w:r>
        <w:rPr>
          <w:rFonts w:ascii="Times New Roman"/>
          <w:b w:val="false"/>
          <w:i w:val="false"/>
          <w:color w:val="000000"/>
          <w:sz w:val="28"/>
        </w:rPr>
        <w:t>
      5) асимптоматическая передозировка, несоответствующее и неправильное применение;</w:t>
      </w:r>
    </w:p>
    <w:bookmarkEnd w:id="7696"/>
    <w:bookmarkStart w:name="z7869" w:id="7697"/>
    <w:p>
      <w:pPr>
        <w:spacing w:after="0"/>
        <w:ind w:left="0"/>
        <w:jc w:val="both"/>
      </w:pPr>
      <w:r>
        <w:rPr>
          <w:rFonts w:ascii="Times New Roman"/>
          <w:b w:val="false"/>
          <w:i w:val="false"/>
          <w:color w:val="000000"/>
          <w:sz w:val="28"/>
        </w:rPr>
        <w:t>
      6) медицинские ошибки, не сопровождавшиеся развитием нежелательных явлений;</w:t>
      </w:r>
    </w:p>
    <w:bookmarkEnd w:id="7697"/>
    <w:bookmarkStart w:name="z7870" w:id="7698"/>
    <w:p>
      <w:pPr>
        <w:spacing w:after="0"/>
        <w:ind w:left="0"/>
        <w:jc w:val="both"/>
      </w:pPr>
      <w:r>
        <w:rPr>
          <w:rFonts w:ascii="Times New Roman"/>
          <w:b w:val="false"/>
          <w:i w:val="false"/>
          <w:color w:val="000000"/>
          <w:sz w:val="28"/>
        </w:rPr>
        <w:t>
      7) важные результаты доклинических исследований.</w:t>
      </w:r>
    </w:p>
    <w:bookmarkEnd w:id="7698"/>
    <w:bookmarkStart w:name="z7871" w:id="7699"/>
    <w:p>
      <w:pPr>
        <w:spacing w:after="0"/>
        <w:ind w:left="0"/>
        <w:jc w:val="both"/>
      </w:pPr>
      <w:r>
        <w:rPr>
          <w:rFonts w:ascii="Times New Roman"/>
          <w:b w:val="false"/>
          <w:i w:val="false"/>
          <w:color w:val="000000"/>
          <w:sz w:val="28"/>
        </w:rPr>
        <w:t>
      В разделе рассматривается информация по другим активным веществам данной группы, если это применимо.</w:t>
      </w:r>
    </w:p>
    <w:bookmarkEnd w:id="7699"/>
    <w:bookmarkStart w:name="z7872" w:id="7700"/>
    <w:p>
      <w:pPr>
        <w:spacing w:after="0"/>
        <w:ind w:left="0"/>
        <w:jc w:val="both"/>
      </w:pPr>
      <w:r>
        <w:rPr>
          <w:rFonts w:ascii="Times New Roman"/>
          <w:b w:val="false"/>
          <w:i w:val="false"/>
          <w:color w:val="000000"/>
          <w:sz w:val="28"/>
        </w:rPr>
        <w:t>
      314. Раздел ПОБ "Другие периодические отчеты".</w:t>
      </w:r>
    </w:p>
    <w:bookmarkEnd w:id="7700"/>
    <w:bookmarkStart w:name="z7873" w:id="7701"/>
    <w:p>
      <w:pPr>
        <w:spacing w:after="0"/>
        <w:ind w:left="0"/>
        <w:jc w:val="both"/>
      </w:pPr>
      <w:r>
        <w:rPr>
          <w:rFonts w:ascii="Times New Roman"/>
          <w:b w:val="false"/>
          <w:i w:val="false"/>
          <w:color w:val="000000"/>
          <w:sz w:val="28"/>
        </w:rPr>
        <w:t>
      Данный раздел ПОБ применим только в тех определенных случаях, когда по договоренности с уполномоченной организацией держателем регистрационного удостоверения готовится более одного ПОБ на лекарственный препарат: в случае фиксированной комбинации, лекарственного препарата с множественными показаниями и (или) формами выпуска. В целом держатель регистрационного удостоверения готовит один ПОБ на одно действующее вещество (за исключением случаев, если иное не требуется уполномоченным органом); в случае если подготовлено несколько ПОБ для одного лекарственного препарата, в данном разделе обобщаются значимые данные по безопасности из других ПОБ, если она не представлена в иных разделах данного ПОБ.</w:t>
      </w:r>
    </w:p>
    <w:bookmarkEnd w:id="7701"/>
    <w:bookmarkStart w:name="z7874" w:id="7702"/>
    <w:p>
      <w:pPr>
        <w:spacing w:after="0"/>
        <w:ind w:left="0"/>
        <w:jc w:val="both"/>
      </w:pPr>
      <w:r>
        <w:rPr>
          <w:rFonts w:ascii="Times New Roman"/>
          <w:b w:val="false"/>
          <w:i w:val="false"/>
          <w:color w:val="000000"/>
          <w:sz w:val="28"/>
        </w:rPr>
        <w:t>
      В случае наличия доступа, на основании контрактных договоренностей, держатель регистрационного удостоверения предоставляет в обобщенном виде значимые данные по безопасности, полученные в представляемых в ПОБ за отчетный период другими сторонами (спонсорами или иными партнерами).</w:t>
      </w:r>
    </w:p>
    <w:bookmarkEnd w:id="7702"/>
    <w:bookmarkStart w:name="z7875" w:id="7703"/>
    <w:p>
      <w:pPr>
        <w:spacing w:after="0"/>
        <w:ind w:left="0"/>
        <w:jc w:val="both"/>
      </w:pPr>
      <w:r>
        <w:rPr>
          <w:rFonts w:ascii="Times New Roman"/>
          <w:b w:val="false"/>
          <w:i w:val="false"/>
          <w:color w:val="000000"/>
          <w:sz w:val="28"/>
        </w:rPr>
        <w:t>
      315. Раздел ПОБ "Недостаточная терапевтическая эффективность в контролируемых клинических исследованиях"</w:t>
      </w:r>
    </w:p>
    <w:bookmarkEnd w:id="7703"/>
    <w:bookmarkStart w:name="z7876" w:id="7704"/>
    <w:p>
      <w:pPr>
        <w:spacing w:after="0"/>
        <w:ind w:left="0"/>
        <w:jc w:val="both"/>
      </w:pPr>
      <w:r>
        <w:rPr>
          <w:rFonts w:ascii="Times New Roman"/>
          <w:b w:val="false"/>
          <w:i w:val="false"/>
          <w:color w:val="000000"/>
          <w:sz w:val="28"/>
        </w:rPr>
        <w:t>
      Данные, полученные в ходе клинических исследований, свидетельствующие о недостаточной терапевтической эффективности, либо недостаточной терапевтической эффективности в отношении принятой терапии для лекарственных препаратов, используемых для лечения и профилактики серьезных и жизнеугрожающих заболеваний, свидетельствуют о значительном риске для целевой популяции и подлежат анализу и обобщению в данном разделе ПОБ.</w:t>
      </w:r>
    </w:p>
    <w:bookmarkEnd w:id="7704"/>
    <w:bookmarkStart w:name="z7877" w:id="7705"/>
    <w:p>
      <w:pPr>
        <w:spacing w:after="0"/>
        <w:ind w:left="0"/>
        <w:jc w:val="both"/>
      </w:pPr>
      <w:r>
        <w:rPr>
          <w:rFonts w:ascii="Times New Roman"/>
          <w:b w:val="false"/>
          <w:i w:val="false"/>
          <w:color w:val="000000"/>
          <w:sz w:val="28"/>
        </w:rPr>
        <w:t>
      В случае, если это применимо к оценке соотношения польза-риск, данные клинических исследований, демонстрирующие недостаточную терапевтическую эффективность лекарственных препаратов, не предназначенных для лечения жизнеугрожающей патологии, анализируются в данном разделе.</w:t>
      </w:r>
    </w:p>
    <w:bookmarkEnd w:id="7705"/>
    <w:bookmarkStart w:name="z7878" w:id="7706"/>
    <w:p>
      <w:pPr>
        <w:spacing w:after="0"/>
        <w:ind w:left="0"/>
        <w:jc w:val="both"/>
      </w:pPr>
      <w:r>
        <w:rPr>
          <w:rFonts w:ascii="Times New Roman"/>
          <w:b w:val="false"/>
          <w:i w:val="false"/>
          <w:color w:val="000000"/>
          <w:sz w:val="28"/>
        </w:rPr>
        <w:t>
      316. В разделе ПОБ "Важная информация, полученная после завершения подготовки ПОБ" обобщаются потенциально важные данные по безопасности и эффективности, полученные после даты окончания сбора данных, но в период подготовки ПОБ. Примеры включают данные клинически значимых новых публикаций, важные данные последующего наблюдения, клинически важные токсикологические данные, а также все действия держателя регистрационного удостоверения, уполномоченного органа, предпринятые в связи с аспектами профиля безопасности. Новые индивидуальные сообщения о нежелательных реакциях не включаются в раздел, за исключением случаев, когда они представляют важный показательный случай (первый случай развития важного нежелательного явления) или важный сигнал по безопасности. Данные раздела учитываются при оценке риска и новой информации.</w:t>
      </w:r>
    </w:p>
    <w:bookmarkEnd w:id="7706"/>
    <w:bookmarkStart w:name="z7879" w:id="7707"/>
    <w:p>
      <w:pPr>
        <w:spacing w:after="0"/>
        <w:ind w:left="0"/>
        <w:jc w:val="both"/>
      </w:pPr>
      <w:r>
        <w:rPr>
          <w:rFonts w:ascii="Times New Roman"/>
          <w:b w:val="false"/>
          <w:i w:val="false"/>
          <w:color w:val="000000"/>
          <w:sz w:val="28"/>
        </w:rPr>
        <w:t>
      317. Раздел ПОБ "Обзор сигналов: новые, рассматриваемые и завершенные".</w:t>
      </w:r>
    </w:p>
    <w:bookmarkEnd w:id="7707"/>
    <w:bookmarkStart w:name="z7880" w:id="7708"/>
    <w:p>
      <w:pPr>
        <w:spacing w:after="0"/>
        <w:ind w:left="0"/>
        <w:jc w:val="both"/>
      </w:pPr>
      <w:r>
        <w:rPr>
          <w:rFonts w:ascii="Times New Roman"/>
          <w:b w:val="false"/>
          <w:i w:val="false"/>
          <w:color w:val="000000"/>
          <w:sz w:val="28"/>
        </w:rPr>
        <w:t>
      Целью данного раздела является представление исчерпывающего обзора выявленных сигналов, сигналов на этапе оценки и прошедших оценку за отчетный период.</w:t>
      </w:r>
    </w:p>
    <w:bookmarkEnd w:id="7708"/>
    <w:bookmarkStart w:name="z7881" w:id="7709"/>
    <w:p>
      <w:pPr>
        <w:spacing w:after="0"/>
        <w:ind w:left="0"/>
        <w:jc w:val="both"/>
      </w:pPr>
      <w:r>
        <w:rPr>
          <w:rFonts w:ascii="Times New Roman"/>
          <w:b w:val="false"/>
          <w:i w:val="false"/>
          <w:color w:val="000000"/>
          <w:sz w:val="28"/>
        </w:rPr>
        <w:t>
      Держателем регистрационного удостоверения представляется краткое описание метода, который используется для выявления сигналов, а также источники данных для выявления сигналов.</w:t>
      </w:r>
    </w:p>
    <w:bookmarkEnd w:id="7709"/>
    <w:bookmarkStart w:name="z7882" w:id="7710"/>
    <w:p>
      <w:pPr>
        <w:spacing w:after="0"/>
        <w:ind w:left="0"/>
        <w:jc w:val="both"/>
      </w:pPr>
      <w:r>
        <w:rPr>
          <w:rFonts w:ascii="Times New Roman"/>
          <w:b w:val="false"/>
          <w:i w:val="false"/>
          <w:color w:val="000000"/>
          <w:sz w:val="28"/>
        </w:rPr>
        <w:t>
      К новым выявленным сигналам относятся сигналы, выявленные за отчетный период. К рассматриваемым сигналам относят сигналы, которые находились на этапе оценки на дату окончания сбора данных. К завершенным относят сигналы, оценка которых была завершена за отчетный период. Сигналы, которые являются одновременно и новыми, и завершенными за отчетный период относятся в раздел завершенных сигналов.</w:t>
      </w:r>
    </w:p>
    <w:bookmarkEnd w:id="7710"/>
    <w:bookmarkStart w:name="z7883" w:id="7711"/>
    <w:p>
      <w:pPr>
        <w:spacing w:after="0"/>
        <w:ind w:left="0"/>
        <w:jc w:val="both"/>
      </w:pPr>
      <w:r>
        <w:rPr>
          <w:rFonts w:ascii="Times New Roman"/>
          <w:b w:val="false"/>
          <w:i w:val="false"/>
          <w:color w:val="000000"/>
          <w:sz w:val="28"/>
        </w:rPr>
        <w:t>
      В данный раздел включают данные по рассматриваемым и завершенным за отчетный период сигналам, приведенные в табличной форме. Таблица прилагается к отчету в форме приложения.</w:t>
      </w:r>
    </w:p>
    <w:bookmarkEnd w:id="7711"/>
    <w:bookmarkStart w:name="z7884" w:id="7712"/>
    <w:p>
      <w:pPr>
        <w:spacing w:after="0"/>
        <w:ind w:left="0"/>
        <w:jc w:val="both"/>
      </w:pPr>
      <w:r>
        <w:rPr>
          <w:rFonts w:ascii="Times New Roman"/>
          <w:b w:val="false"/>
          <w:i w:val="false"/>
          <w:color w:val="000000"/>
          <w:sz w:val="28"/>
        </w:rPr>
        <w:t>
      На усмотрение держателя регистрационного удостоверения, данная информация включает кумулятивные данные по сигналам и ранее завершенные сигналы, при этом указывается дата, от которой выполнено обобщение по сигналам.</w:t>
      </w:r>
    </w:p>
    <w:bookmarkEnd w:id="7712"/>
    <w:bookmarkStart w:name="z7885" w:id="7713"/>
    <w:p>
      <w:pPr>
        <w:spacing w:after="0"/>
        <w:ind w:left="0"/>
        <w:jc w:val="both"/>
      </w:pPr>
      <w:r>
        <w:rPr>
          <w:rFonts w:ascii="Times New Roman"/>
          <w:b w:val="false"/>
          <w:i w:val="false"/>
          <w:color w:val="000000"/>
          <w:sz w:val="28"/>
        </w:rPr>
        <w:t>
      Детальная оценка сигналов включается в раздел ПОБ 16) ("Оценка сигнала" и "Оценка рисков и новой информации").</w:t>
      </w:r>
    </w:p>
    <w:bookmarkEnd w:id="7713"/>
    <w:bookmarkStart w:name="z7886" w:id="7714"/>
    <w:p>
      <w:pPr>
        <w:spacing w:after="0"/>
        <w:ind w:left="0"/>
        <w:jc w:val="both"/>
      </w:pPr>
      <w:r>
        <w:rPr>
          <w:rFonts w:ascii="Times New Roman"/>
          <w:b w:val="false"/>
          <w:i w:val="false"/>
          <w:color w:val="000000"/>
          <w:sz w:val="28"/>
        </w:rPr>
        <w:t>
      318. Раздел ПОБ "Сигналы и оценка риска".</w:t>
      </w:r>
    </w:p>
    <w:bookmarkEnd w:id="7714"/>
    <w:bookmarkStart w:name="z7887" w:id="7715"/>
    <w:p>
      <w:pPr>
        <w:spacing w:after="0"/>
        <w:ind w:left="0"/>
        <w:jc w:val="both"/>
      </w:pPr>
      <w:r>
        <w:rPr>
          <w:rFonts w:ascii="Times New Roman"/>
          <w:b w:val="false"/>
          <w:i w:val="false"/>
          <w:color w:val="000000"/>
          <w:sz w:val="28"/>
        </w:rPr>
        <w:t>
      319. Подраздел ПОБ "Обобщенная информация по проблемам безопасности".</w:t>
      </w:r>
    </w:p>
    <w:bookmarkEnd w:id="7715"/>
    <w:bookmarkStart w:name="z7888" w:id="7716"/>
    <w:p>
      <w:pPr>
        <w:spacing w:after="0"/>
        <w:ind w:left="0"/>
        <w:jc w:val="both"/>
      </w:pPr>
      <w:r>
        <w:rPr>
          <w:rFonts w:ascii="Times New Roman"/>
          <w:b w:val="false"/>
          <w:i w:val="false"/>
          <w:color w:val="000000"/>
          <w:sz w:val="28"/>
        </w:rPr>
        <w:t>
      Целью подраздела является представление базисной обобщающей информации по важным аспектам профиля безопасности, представляющим проблемы по безопасности, с указанием по каждой проблеме по безопасности какая новая информация и оценка по данным аспектам осуществляется. При определении важности каждого из аспектов риска учитывают следующие факторы:</w:t>
      </w:r>
    </w:p>
    <w:bookmarkEnd w:id="7716"/>
    <w:bookmarkStart w:name="z7889" w:id="7717"/>
    <w:p>
      <w:pPr>
        <w:spacing w:after="0"/>
        <w:ind w:left="0"/>
        <w:jc w:val="both"/>
      </w:pPr>
      <w:r>
        <w:rPr>
          <w:rFonts w:ascii="Times New Roman"/>
          <w:b w:val="false"/>
          <w:i w:val="false"/>
          <w:color w:val="000000"/>
          <w:sz w:val="28"/>
        </w:rPr>
        <w:t>
      1) серьезность риска с медицинской точки зрения, включая влияние на индивидуальное состояние пациентов;</w:t>
      </w:r>
    </w:p>
    <w:bookmarkEnd w:id="7717"/>
    <w:bookmarkStart w:name="z7890" w:id="7718"/>
    <w:p>
      <w:pPr>
        <w:spacing w:after="0"/>
        <w:ind w:left="0"/>
        <w:jc w:val="both"/>
      </w:pPr>
      <w:r>
        <w:rPr>
          <w:rFonts w:ascii="Times New Roman"/>
          <w:b w:val="false"/>
          <w:i w:val="false"/>
          <w:color w:val="000000"/>
          <w:sz w:val="28"/>
        </w:rPr>
        <w:t>
      2) частота, предсказуемость, предотвратимость и обратимость;</w:t>
      </w:r>
    </w:p>
    <w:bookmarkEnd w:id="7718"/>
    <w:bookmarkStart w:name="z7891" w:id="7719"/>
    <w:p>
      <w:pPr>
        <w:spacing w:after="0"/>
        <w:ind w:left="0"/>
        <w:jc w:val="both"/>
      </w:pPr>
      <w:r>
        <w:rPr>
          <w:rFonts w:ascii="Times New Roman"/>
          <w:b w:val="false"/>
          <w:i w:val="false"/>
          <w:color w:val="000000"/>
          <w:sz w:val="28"/>
        </w:rPr>
        <w:t xml:space="preserve">
      3) потенциальное влияние на общественное здоровье (частота в популяции; размер популяции, подвергшийся воздействию); и </w:t>
      </w:r>
    </w:p>
    <w:bookmarkEnd w:id="7719"/>
    <w:bookmarkStart w:name="z7892" w:id="7720"/>
    <w:p>
      <w:pPr>
        <w:spacing w:after="0"/>
        <w:ind w:left="0"/>
        <w:jc w:val="both"/>
      </w:pPr>
      <w:r>
        <w:rPr>
          <w:rFonts w:ascii="Times New Roman"/>
          <w:b w:val="false"/>
          <w:i w:val="false"/>
          <w:color w:val="000000"/>
          <w:sz w:val="28"/>
        </w:rPr>
        <w:t>
      4) общественное принятие риска в случаях влияния на общественное здоровье (отказ от программы вакцинации).</w:t>
      </w:r>
    </w:p>
    <w:bookmarkEnd w:id="7720"/>
    <w:bookmarkStart w:name="z7893" w:id="7721"/>
    <w:p>
      <w:pPr>
        <w:spacing w:after="0"/>
        <w:ind w:left="0"/>
        <w:jc w:val="both"/>
      </w:pPr>
      <w:r>
        <w:rPr>
          <w:rFonts w:ascii="Times New Roman"/>
          <w:b w:val="false"/>
          <w:i w:val="false"/>
          <w:color w:val="000000"/>
          <w:sz w:val="28"/>
        </w:rPr>
        <w:t>
      Обобщающая информация представляет имеющиеся сведения по лекарственному препарату от начала отчетного периода ПОБ и отражает:</w:t>
      </w:r>
    </w:p>
    <w:bookmarkEnd w:id="7721"/>
    <w:bookmarkStart w:name="z7894" w:id="7722"/>
    <w:p>
      <w:pPr>
        <w:spacing w:after="0"/>
        <w:ind w:left="0"/>
        <w:jc w:val="both"/>
      </w:pPr>
      <w:r>
        <w:rPr>
          <w:rFonts w:ascii="Times New Roman"/>
          <w:b w:val="false"/>
          <w:i w:val="false"/>
          <w:color w:val="000000"/>
          <w:sz w:val="28"/>
        </w:rPr>
        <w:t>
      1) важные идентифицированные риски;</w:t>
      </w:r>
    </w:p>
    <w:bookmarkEnd w:id="7722"/>
    <w:bookmarkStart w:name="z7895" w:id="7723"/>
    <w:p>
      <w:pPr>
        <w:spacing w:after="0"/>
        <w:ind w:left="0"/>
        <w:jc w:val="both"/>
      </w:pPr>
      <w:r>
        <w:rPr>
          <w:rFonts w:ascii="Times New Roman"/>
          <w:b w:val="false"/>
          <w:i w:val="false"/>
          <w:color w:val="000000"/>
          <w:sz w:val="28"/>
        </w:rPr>
        <w:t>
      2) важные потенциальные риски;</w:t>
      </w:r>
    </w:p>
    <w:bookmarkEnd w:id="7723"/>
    <w:bookmarkStart w:name="z7896" w:id="7724"/>
    <w:p>
      <w:pPr>
        <w:spacing w:after="0"/>
        <w:ind w:left="0"/>
        <w:jc w:val="both"/>
      </w:pPr>
      <w:r>
        <w:rPr>
          <w:rFonts w:ascii="Times New Roman"/>
          <w:b w:val="false"/>
          <w:i w:val="false"/>
          <w:color w:val="000000"/>
          <w:sz w:val="28"/>
        </w:rPr>
        <w:t>
      3) важную отсутствующую информацию.</w:t>
      </w:r>
    </w:p>
    <w:bookmarkEnd w:id="7724"/>
    <w:bookmarkStart w:name="z7897" w:id="7725"/>
    <w:p>
      <w:pPr>
        <w:spacing w:after="0"/>
        <w:ind w:left="0"/>
        <w:jc w:val="both"/>
      </w:pPr>
      <w:r>
        <w:rPr>
          <w:rFonts w:ascii="Times New Roman"/>
          <w:b w:val="false"/>
          <w:i w:val="false"/>
          <w:color w:val="000000"/>
          <w:sz w:val="28"/>
        </w:rPr>
        <w:t>
      Для лекарственных препаратов, имеющих спецификацию по безопасности, информация, включаемая в данный подраздел, соответствует обобщающей информации, представленной в текущей версии спецификации по безопасности на момент начала отчетного периода ПОБ.</w:t>
      </w:r>
    </w:p>
    <w:bookmarkEnd w:id="7725"/>
    <w:bookmarkStart w:name="z7898" w:id="7726"/>
    <w:p>
      <w:pPr>
        <w:spacing w:after="0"/>
        <w:ind w:left="0"/>
        <w:jc w:val="both"/>
      </w:pPr>
      <w:r>
        <w:rPr>
          <w:rFonts w:ascii="Times New Roman"/>
          <w:b w:val="false"/>
          <w:i w:val="false"/>
          <w:color w:val="000000"/>
          <w:sz w:val="28"/>
        </w:rPr>
        <w:t>
      Для лекарственных препаратов, не имеющих спецификацию по безопасности, данный подраздел представлять информацию по важным идентифицированным, потенциальным рискам и важной отсутствующей информации, связанной с применением лекарственного препарата на основании данных до- и пострегистрационного периода. Примеры включают следующую информацию:</w:t>
      </w:r>
    </w:p>
    <w:bookmarkEnd w:id="7726"/>
    <w:bookmarkStart w:name="z7899" w:id="7727"/>
    <w:p>
      <w:pPr>
        <w:spacing w:after="0"/>
        <w:ind w:left="0"/>
        <w:jc w:val="both"/>
      </w:pPr>
      <w:r>
        <w:rPr>
          <w:rFonts w:ascii="Times New Roman"/>
          <w:b w:val="false"/>
          <w:i w:val="false"/>
          <w:color w:val="000000"/>
          <w:sz w:val="28"/>
        </w:rPr>
        <w:t>
      1) важные нежелательные реакции;</w:t>
      </w:r>
    </w:p>
    <w:bookmarkEnd w:id="7727"/>
    <w:bookmarkStart w:name="z7900" w:id="7728"/>
    <w:p>
      <w:pPr>
        <w:spacing w:after="0"/>
        <w:ind w:left="0"/>
        <w:jc w:val="both"/>
      </w:pPr>
      <w:r>
        <w:rPr>
          <w:rFonts w:ascii="Times New Roman"/>
          <w:b w:val="false"/>
          <w:i w:val="false"/>
          <w:color w:val="000000"/>
          <w:sz w:val="28"/>
        </w:rPr>
        <w:t>
      2) взаимодействия с другими лекарственными препаратами;</w:t>
      </w:r>
    </w:p>
    <w:bookmarkEnd w:id="7728"/>
    <w:bookmarkStart w:name="z7901" w:id="7729"/>
    <w:p>
      <w:pPr>
        <w:spacing w:after="0"/>
        <w:ind w:left="0"/>
        <w:jc w:val="both"/>
      </w:pPr>
      <w:r>
        <w:rPr>
          <w:rFonts w:ascii="Times New Roman"/>
          <w:b w:val="false"/>
          <w:i w:val="false"/>
          <w:color w:val="000000"/>
          <w:sz w:val="28"/>
        </w:rPr>
        <w:t>
      3) выявленные медицинские ошибки, в случаях, не сопровождавшихся развитием нежелательных реакций;</w:t>
      </w:r>
    </w:p>
    <w:bookmarkEnd w:id="7729"/>
    <w:bookmarkStart w:name="z7902" w:id="7730"/>
    <w:p>
      <w:pPr>
        <w:spacing w:after="0"/>
        <w:ind w:left="0"/>
        <w:jc w:val="both"/>
      </w:pPr>
      <w:r>
        <w:rPr>
          <w:rFonts w:ascii="Times New Roman"/>
          <w:b w:val="false"/>
          <w:i w:val="false"/>
          <w:color w:val="000000"/>
          <w:sz w:val="28"/>
        </w:rPr>
        <w:t>
      4) взаимодействия с продуктами питания или иными веществами;</w:t>
      </w:r>
    </w:p>
    <w:bookmarkEnd w:id="7730"/>
    <w:bookmarkStart w:name="z7903" w:id="7731"/>
    <w:p>
      <w:pPr>
        <w:spacing w:after="0"/>
        <w:ind w:left="0"/>
        <w:jc w:val="both"/>
      </w:pPr>
      <w:r>
        <w:rPr>
          <w:rFonts w:ascii="Times New Roman"/>
          <w:b w:val="false"/>
          <w:i w:val="false"/>
          <w:color w:val="000000"/>
          <w:sz w:val="28"/>
        </w:rPr>
        <w:t>
      5) результаты воздействия при выполнении профессиональной деятельности;</w:t>
      </w:r>
    </w:p>
    <w:bookmarkEnd w:id="7731"/>
    <w:bookmarkStart w:name="z7904" w:id="7732"/>
    <w:p>
      <w:pPr>
        <w:spacing w:after="0"/>
        <w:ind w:left="0"/>
        <w:jc w:val="both"/>
      </w:pPr>
      <w:r>
        <w:rPr>
          <w:rFonts w:ascii="Times New Roman"/>
          <w:b w:val="false"/>
          <w:i w:val="false"/>
          <w:color w:val="000000"/>
          <w:sz w:val="28"/>
        </w:rPr>
        <w:t>
      6) классовые фармакологические эффекты.</w:t>
      </w:r>
    </w:p>
    <w:bookmarkEnd w:id="7732"/>
    <w:bookmarkStart w:name="z7905" w:id="7733"/>
    <w:p>
      <w:pPr>
        <w:spacing w:after="0"/>
        <w:ind w:left="0"/>
        <w:jc w:val="both"/>
      </w:pPr>
      <w:r>
        <w:rPr>
          <w:rFonts w:ascii="Times New Roman"/>
          <w:b w:val="false"/>
          <w:i w:val="false"/>
          <w:color w:val="000000"/>
          <w:sz w:val="28"/>
        </w:rPr>
        <w:t>
      Обобщение по важной отсутствующей информации оценивает критичность пробелов в имеющихся знаниях по определенным аспектам профиля безопасности для целевых популяций.</w:t>
      </w:r>
    </w:p>
    <w:bookmarkEnd w:id="7733"/>
    <w:bookmarkStart w:name="z7906" w:id="7734"/>
    <w:p>
      <w:pPr>
        <w:spacing w:after="0"/>
        <w:ind w:left="0"/>
        <w:jc w:val="both"/>
      </w:pPr>
      <w:r>
        <w:rPr>
          <w:rFonts w:ascii="Times New Roman"/>
          <w:b w:val="false"/>
          <w:i w:val="false"/>
          <w:color w:val="000000"/>
          <w:sz w:val="28"/>
        </w:rPr>
        <w:t>
      320. Подраздел ПОБ "Оценка сигнала".</w:t>
      </w:r>
    </w:p>
    <w:bookmarkEnd w:id="7734"/>
    <w:bookmarkStart w:name="z7907" w:id="7735"/>
    <w:p>
      <w:pPr>
        <w:spacing w:after="0"/>
        <w:ind w:left="0"/>
        <w:jc w:val="both"/>
      </w:pPr>
      <w:r>
        <w:rPr>
          <w:rFonts w:ascii="Times New Roman"/>
          <w:b w:val="false"/>
          <w:i w:val="false"/>
          <w:color w:val="000000"/>
          <w:sz w:val="28"/>
        </w:rPr>
        <w:t>
      Информация, представляемая в разделе, обобщает результаты оценки сигналов по безопасности, которая была завершена в отчетный период; существуют две основные категории:</w:t>
      </w:r>
    </w:p>
    <w:bookmarkEnd w:id="7735"/>
    <w:bookmarkStart w:name="z7908" w:id="7736"/>
    <w:p>
      <w:pPr>
        <w:spacing w:after="0"/>
        <w:ind w:left="0"/>
        <w:jc w:val="both"/>
      </w:pPr>
      <w:r>
        <w:rPr>
          <w:rFonts w:ascii="Times New Roman"/>
          <w:b w:val="false"/>
          <w:i w:val="false"/>
          <w:color w:val="000000"/>
          <w:sz w:val="28"/>
        </w:rPr>
        <w:t>
      1. сигналы, которые по результатам оценки, отнесенные к категории потенциальных или идентифицируемых рисков, включая отсутствие терапевтической эффективности. Такие завершенные сигналы описываются в разделе 16) ПОБ ("Оценка рисков и новой информации");</w:t>
      </w:r>
    </w:p>
    <w:bookmarkEnd w:id="7736"/>
    <w:bookmarkStart w:name="z7909" w:id="7737"/>
    <w:p>
      <w:pPr>
        <w:spacing w:after="0"/>
        <w:ind w:left="0"/>
        <w:jc w:val="both"/>
      </w:pPr>
      <w:r>
        <w:rPr>
          <w:rFonts w:ascii="Times New Roman"/>
          <w:b w:val="false"/>
          <w:i w:val="false"/>
          <w:color w:val="000000"/>
          <w:sz w:val="28"/>
        </w:rPr>
        <w:t>
      2. сигналы, которые по результатам оценки отклонены как ложные сигналы на основании научной оценки имеющейся на момент проведения процедуры информации. По данной категории сигналов представляется описание каждого сигнала с целью обоснования его отклонения от категории сигнала. Такое описание включается в основной текст ПОБ или в приложение к отчету.</w:t>
      </w:r>
    </w:p>
    <w:bookmarkEnd w:id="7737"/>
    <w:bookmarkStart w:name="z7910" w:id="7738"/>
    <w:p>
      <w:pPr>
        <w:spacing w:after="0"/>
        <w:ind w:left="0"/>
        <w:jc w:val="both"/>
      </w:pPr>
      <w:r>
        <w:rPr>
          <w:rFonts w:ascii="Times New Roman"/>
          <w:b w:val="false"/>
          <w:i w:val="false"/>
          <w:color w:val="000000"/>
          <w:sz w:val="28"/>
        </w:rPr>
        <w:t>
      Для сигналов, по которым завершена процедура оценки за отчетный период, рекомендуется соблюдение соответствия между объемом и детализацией данных по оценке сигнала и значимостью данного аспекта профиля безопасности для общественного здоровья, а также степенью достаточности доказательной базы. Данная информация включает следующие аспекты:</w:t>
      </w:r>
    </w:p>
    <w:bookmarkEnd w:id="7738"/>
    <w:bookmarkStart w:name="z7911" w:id="7739"/>
    <w:p>
      <w:pPr>
        <w:spacing w:after="0"/>
        <w:ind w:left="0"/>
        <w:jc w:val="both"/>
      </w:pPr>
      <w:r>
        <w:rPr>
          <w:rFonts w:ascii="Times New Roman"/>
          <w:b w:val="false"/>
          <w:i w:val="false"/>
          <w:color w:val="000000"/>
          <w:sz w:val="28"/>
        </w:rPr>
        <w:t>
      1) источник или побудительный момент формирования сигнала;</w:t>
      </w:r>
    </w:p>
    <w:bookmarkEnd w:id="7739"/>
    <w:bookmarkStart w:name="z7912" w:id="7740"/>
    <w:p>
      <w:pPr>
        <w:spacing w:after="0"/>
        <w:ind w:left="0"/>
        <w:jc w:val="both"/>
      </w:pPr>
      <w:r>
        <w:rPr>
          <w:rFonts w:ascii="Times New Roman"/>
          <w:b w:val="false"/>
          <w:i w:val="false"/>
          <w:color w:val="000000"/>
          <w:sz w:val="28"/>
        </w:rPr>
        <w:t>
      2) обоснование, имеющее отношение к оценке;</w:t>
      </w:r>
    </w:p>
    <w:bookmarkEnd w:id="7740"/>
    <w:bookmarkStart w:name="z7913" w:id="7741"/>
    <w:p>
      <w:pPr>
        <w:spacing w:after="0"/>
        <w:ind w:left="0"/>
        <w:jc w:val="both"/>
      </w:pPr>
      <w:r>
        <w:rPr>
          <w:rFonts w:ascii="Times New Roman"/>
          <w:b w:val="false"/>
          <w:i w:val="false"/>
          <w:color w:val="000000"/>
          <w:sz w:val="28"/>
        </w:rPr>
        <w:t>
      3) методы оценки, включая источники данных, критерии поиска или аналитические подходы;</w:t>
      </w:r>
    </w:p>
    <w:bookmarkEnd w:id="7741"/>
    <w:bookmarkStart w:name="z7914" w:id="7742"/>
    <w:p>
      <w:pPr>
        <w:spacing w:after="0"/>
        <w:ind w:left="0"/>
        <w:jc w:val="both"/>
      </w:pPr>
      <w:r>
        <w:rPr>
          <w:rFonts w:ascii="Times New Roman"/>
          <w:b w:val="false"/>
          <w:i w:val="false"/>
          <w:color w:val="000000"/>
          <w:sz w:val="28"/>
        </w:rPr>
        <w:t>
      4) результаты: обобщенная информация по критическому анализу данных, рассматриваемых при оценке сигнала;</w:t>
      </w:r>
    </w:p>
    <w:bookmarkEnd w:id="7742"/>
    <w:bookmarkStart w:name="z7915" w:id="7743"/>
    <w:p>
      <w:pPr>
        <w:spacing w:after="0"/>
        <w:ind w:left="0"/>
        <w:jc w:val="both"/>
      </w:pPr>
      <w:r>
        <w:rPr>
          <w:rFonts w:ascii="Times New Roman"/>
          <w:b w:val="false"/>
          <w:i w:val="false"/>
          <w:color w:val="000000"/>
          <w:sz w:val="28"/>
        </w:rPr>
        <w:t>
      5) обсуждение;</w:t>
      </w:r>
    </w:p>
    <w:bookmarkEnd w:id="7743"/>
    <w:bookmarkStart w:name="z7916" w:id="7744"/>
    <w:p>
      <w:pPr>
        <w:spacing w:after="0"/>
        <w:ind w:left="0"/>
        <w:jc w:val="both"/>
      </w:pPr>
      <w:r>
        <w:rPr>
          <w:rFonts w:ascii="Times New Roman"/>
          <w:b w:val="false"/>
          <w:i w:val="false"/>
          <w:color w:val="000000"/>
          <w:sz w:val="28"/>
        </w:rPr>
        <w:t>
      6) заключение, включая предлагаемые действия.</w:t>
      </w:r>
    </w:p>
    <w:bookmarkEnd w:id="7744"/>
    <w:bookmarkStart w:name="z7917" w:id="7745"/>
    <w:p>
      <w:pPr>
        <w:spacing w:after="0"/>
        <w:ind w:left="0"/>
        <w:jc w:val="both"/>
      </w:pPr>
      <w:r>
        <w:rPr>
          <w:rFonts w:ascii="Times New Roman"/>
          <w:b w:val="false"/>
          <w:i w:val="false"/>
          <w:color w:val="000000"/>
          <w:sz w:val="28"/>
        </w:rPr>
        <w:t>
      321. Подраздел ПОБ "Оценка рисков и новой информации".</w:t>
      </w:r>
    </w:p>
    <w:bookmarkEnd w:id="7745"/>
    <w:bookmarkStart w:name="z7918" w:id="7746"/>
    <w:p>
      <w:pPr>
        <w:spacing w:after="0"/>
        <w:ind w:left="0"/>
        <w:jc w:val="both"/>
      </w:pPr>
      <w:r>
        <w:rPr>
          <w:rFonts w:ascii="Times New Roman"/>
          <w:b w:val="false"/>
          <w:i w:val="false"/>
          <w:color w:val="000000"/>
          <w:sz w:val="28"/>
        </w:rPr>
        <w:t>
      Держатель регистрационного удостоверения представляет критическую оценку новой информации за отчетный период в отношении новых или ранее выявленных рисков (важную или иную).</w:t>
      </w:r>
    </w:p>
    <w:bookmarkEnd w:id="7746"/>
    <w:bookmarkStart w:name="z7919" w:id="7747"/>
    <w:p>
      <w:pPr>
        <w:spacing w:after="0"/>
        <w:ind w:left="0"/>
        <w:jc w:val="both"/>
      </w:pPr>
      <w:r>
        <w:rPr>
          <w:rFonts w:ascii="Times New Roman"/>
          <w:b w:val="false"/>
          <w:i w:val="false"/>
          <w:color w:val="000000"/>
          <w:sz w:val="28"/>
        </w:rPr>
        <w:t>
      Данный подраздел ПОБ содержит описание и оценку всех рисков, выявленных за отчетный период, а также оценку влияния новых данных на ранее выявленные риски. В раздел не содержит обобщающую или повторяющую информацию, включенную в другие разделы ПОБ, но представляется интерпретация и оценка новой информации применительно к характеристике профиля риска.</w:t>
      </w:r>
    </w:p>
    <w:bookmarkEnd w:id="7747"/>
    <w:bookmarkStart w:name="z7920" w:id="7748"/>
    <w:p>
      <w:pPr>
        <w:spacing w:after="0"/>
        <w:ind w:left="0"/>
        <w:jc w:val="both"/>
      </w:pPr>
      <w:r>
        <w:rPr>
          <w:rFonts w:ascii="Times New Roman"/>
          <w:b w:val="false"/>
          <w:i w:val="false"/>
          <w:color w:val="000000"/>
          <w:sz w:val="28"/>
        </w:rPr>
        <w:t>
      Новая информация представляется по следующим видам:</w:t>
      </w:r>
    </w:p>
    <w:bookmarkEnd w:id="7748"/>
    <w:bookmarkStart w:name="z7921" w:id="7749"/>
    <w:p>
      <w:pPr>
        <w:spacing w:after="0"/>
        <w:ind w:left="0"/>
        <w:jc w:val="both"/>
      </w:pPr>
      <w:r>
        <w:rPr>
          <w:rFonts w:ascii="Times New Roman"/>
          <w:b w:val="false"/>
          <w:i w:val="false"/>
          <w:color w:val="000000"/>
          <w:sz w:val="28"/>
        </w:rPr>
        <w:t>
      1) новые потенциальные риски;</w:t>
      </w:r>
    </w:p>
    <w:bookmarkEnd w:id="7749"/>
    <w:bookmarkStart w:name="z7922" w:id="7750"/>
    <w:p>
      <w:pPr>
        <w:spacing w:after="0"/>
        <w:ind w:left="0"/>
        <w:jc w:val="both"/>
      </w:pPr>
      <w:r>
        <w:rPr>
          <w:rFonts w:ascii="Times New Roman"/>
          <w:b w:val="false"/>
          <w:i w:val="false"/>
          <w:color w:val="000000"/>
          <w:sz w:val="28"/>
        </w:rPr>
        <w:t>
      2) новые идентифицированные риски;</w:t>
      </w:r>
    </w:p>
    <w:bookmarkEnd w:id="7750"/>
    <w:bookmarkStart w:name="z7923" w:id="7751"/>
    <w:p>
      <w:pPr>
        <w:spacing w:after="0"/>
        <w:ind w:left="0"/>
        <w:jc w:val="both"/>
      </w:pPr>
      <w:r>
        <w:rPr>
          <w:rFonts w:ascii="Times New Roman"/>
          <w:b w:val="false"/>
          <w:i w:val="false"/>
          <w:color w:val="000000"/>
          <w:sz w:val="28"/>
        </w:rPr>
        <w:t>
      3) новая информация по ранее выявленным рискам (потенциальным и идентифицированным);</w:t>
      </w:r>
    </w:p>
    <w:bookmarkEnd w:id="7751"/>
    <w:bookmarkStart w:name="z7924" w:id="7752"/>
    <w:p>
      <w:pPr>
        <w:spacing w:after="0"/>
        <w:ind w:left="0"/>
        <w:jc w:val="both"/>
      </w:pPr>
      <w:r>
        <w:rPr>
          <w:rFonts w:ascii="Times New Roman"/>
          <w:b w:val="false"/>
          <w:i w:val="false"/>
          <w:color w:val="000000"/>
          <w:sz w:val="28"/>
        </w:rPr>
        <w:t>
      4) обновление по важной отсутствующей информации.</w:t>
      </w:r>
    </w:p>
    <w:bookmarkEnd w:id="7752"/>
    <w:bookmarkStart w:name="z7925" w:id="7753"/>
    <w:p>
      <w:pPr>
        <w:spacing w:after="0"/>
        <w:ind w:left="0"/>
        <w:jc w:val="both"/>
      </w:pPr>
      <w:r>
        <w:rPr>
          <w:rFonts w:ascii="Times New Roman"/>
          <w:b w:val="false"/>
          <w:i w:val="false"/>
          <w:color w:val="000000"/>
          <w:sz w:val="28"/>
        </w:rPr>
        <w:t>
      Представляется краткое описание важных рисков. Для рисков, относимых к иным и не относимых к "важным" рискам, по которым получена новая информация за отчетный период, уровень детализации соответствует имеющейся доказательной базе по данному риску и значимости его влияния на общественное здоровье.</w:t>
      </w:r>
    </w:p>
    <w:bookmarkEnd w:id="7753"/>
    <w:bookmarkStart w:name="z7926" w:id="7754"/>
    <w:p>
      <w:pPr>
        <w:spacing w:after="0"/>
        <w:ind w:left="0"/>
        <w:jc w:val="both"/>
      </w:pPr>
      <w:r>
        <w:rPr>
          <w:rFonts w:ascii="Times New Roman"/>
          <w:b w:val="false"/>
          <w:i w:val="false"/>
          <w:color w:val="000000"/>
          <w:sz w:val="28"/>
        </w:rPr>
        <w:t>
      Вся новая информация по влиянию лекарственного препарата на популяцию, либо данные по ранее отсутствующей информации подвергаются критической оценке. Указываются невыясненные аспекты профилей безопасности, вызывающие опасения и неясные аспекты профиля безопасности.</w:t>
      </w:r>
    </w:p>
    <w:bookmarkEnd w:id="7754"/>
    <w:bookmarkStart w:name="z7927" w:id="7755"/>
    <w:p>
      <w:pPr>
        <w:spacing w:after="0"/>
        <w:ind w:left="0"/>
        <w:jc w:val="both"/>
      </w:pPr>
      <w:r>
        <w:rPr>
          <w:rFonts w:ascii="Times New Roman"/>
          <w:b w:val="false"/>
          <w:i w:val="false"/>
          <w:color w:val="000000"/>
          <w:sz w:val="28"/>
        </w:rPr>
        <w:t>
      322. В подразделе ПОБ "Характеристика рисков" описывается характеристика важных идентифицированных рисков и важных потенциальных рисков на основании кумулятивных данных (в том числе не ограничиваемых отчетным периодом) и описывается важная отсутствующая информация.</w:t>
      </w:r>
    </w:p>
    <w:bookmarkEnd w:id="7755"/>
    <w:bookmarkStart w:name="z7928" w:id="7756"/>
    <w:p>
      <w:pPr>
        <w:spacing w:after="0"/>
        <w:ind w:left="0"/>
        <w:jc w:val="both"/>
      </w:pPr>
      <w:r>
        <w:rPr>
          <w:rFonts w:ascii="Times New Roman"/>
          <w:b w:val="false"/>
          <w:i w:val="false"/>
          <w:color w:val="000000"/>
          <w:sz w:val="28"/>
        </w:rPr>
        <w:t>
      В случае, когда это применимо, принимая во внимание источник данных, информация по рискам включает следующее:</w:t>
      </w:r>
    </w:p>
    <w:bookmarkEnd w:id="7756"/>
    <w:bookmarkStart w:name="z7929" w:id="7757"/>
    <w:p>
      <w:pPr>
        <w:spacing w:after="0"/>
        <w:ind w:left="0"/>
        <w:jc w:val="both"/>
      </w:pPr>
      <w:r>
        <w:rPr>
          <w:rFonts w:ascii="Times New Roman"/>
          <w:b w:val="false"/>
          <w:i w:val="false"/>
          <w:color w:val="000000"/>
          <w:sz w:val="28"/>
        </w:rPr>
        <w:t>
      1) частота;</w:t>
      </w:r>
    </w:p>
    <w:bookmarkEnd w:id="7757"/>
    <w:bookmarkStart w:name="z7930" w:id="7758"/>
    <w:p>
      <w:pPr>
        <w:spacing w:after="0"/>
        <w:ind w:left="0"/>
        <w:jc w:val="both"/>
      </w:pPr>
      <w:r>
        <w:rPr>
          <w:rFonts w:ascii="Times New Roman"/>
          <w:b w:val="false"/>
          <w:i w:val="false"/>
          <w:color w:val="000000"/>
          <w:sz w:val="28"/>
        </w:rPr>
        <w:t>
      2) число выявленных случаев (нумератор); точность оценки, принимая во внимание источник данных;</w:t>
      </w:r>
    </w:p>
    <w:bookmarkEnd w:id="7758"/>
    <w:bookmarkStart w:name="z7931" w:id="7759"/>
    <w:p>
      <w:pPr>
        <w:spacing w:after="0"/>
        <w:ind w:left="0"/>
        <w:jc w:val="both"/>
      </w:pPr>
      <w:r>
        <w:rPr>
          <w:rFonts w:ascii="Times New Roman"/>
          <w:b w:val="false"/>
          <w:i w:val="false"/>
          <w:color w:val="000000"/>
          <w:sz w:val="28"/>
        </w:rPr>
        <w:t>
      3) объем назначений (деноминатор), выраженное как число пациентов, пациент-месяцев-лет; точность оценки;</w:t>
      </w:r>
    </w:p>
    <w:bookmarkEnd w:id="7759"/>
    <w:bookmarkStart w:name="z7932" w:id="7760"/>
    <w:p>
      <w:pPr>
        <w:spacing w:after="0"/>
        <w:ind w:left="0"/>
        <w:jc w:val="both"/>
      </w:pPr>
      <w:r>
        <w:rPr>
          <w:rFonts w:ascii="Times New Roman"/>
          <w:b w:val="false"/>
          <w:i w:val="false"/>
          <w:color w:val="000000"/>
          <w:sz w:val="28"/>
        </w:rPr>
        <w:t>
      4) оценка относительного риска и точность оценки;</w:t>
      </w:r>
    </w:p>
    <w:bookmarkEnd w:id="7760"/>
    <w:bookmarkStart w:name="z7933" w:id="7761"/>
    <w:p>
      <w:pPr>
        <w:spacing w:after="0"/>
        <w:ind w:left="0"/>
        <w:jc w:val="both"/>
      </w:pPr>
      <w:r>
        <w:rPr>
          <w:rFonts w:ascii="Times New Roman"/>
          <w:b w:val="false"/>
          <w:i w:val="false"/>
          <w:color w:val="000000"/>
          <w:sz w:val="28"/>
        </w:rPr>
        <w:t>
      5) оценка абсолютного риска и точность оценки;</w:t>
      </w:r>
    </w:p>
    <w:bookmarkEnd w:id="7761"/>
    <w:bookmarkStart w:name="z7934" w:id="7762"/>
    <w:p>
      <w:pPr>
        <w:spacing w:after="0"/>
        <w:ind w:left="0"/>
        <w:jc w:val="both"/>
      </w:pPr>
      <w:r>
        <w:rPr>
          <w:rFonts w:ascii="Times New Roman"/>
          <w:b w:val="false"/>
          <w:i w:val="false"/>
          <w:color w:val="000000"/>
          <w:sz w:val="28"/>
        </w:rPr>
        <w:t>
      6) влияние на пациента (влияние на симптомы, качество жизни);</w:t>
      </w:r>
    </w:p>
    <w:bookmarkEnd w:id="7762"/>
    <w:bookmarkStart w:name="z7935" w:id="7763"/>
    <w:p>
      <w:pPr>
        <w:spacing w:after="0"/>
        <w:ind w:left="0"/>
        <w:jc w:val="both"/>
      </w:pPr>
      <w:r>
        <w:rPr>
          <w:rFonts w:ascii="Times New Roman"/>
          <w:b w:val="false"/>
          <w:i w:val="false"/>
          <w:color w:val="000000"/>
          <w:sz w:val="28"/>
        </w:rPr>
        <w:t>
      7) влияние на общественное здоровье;</w:t>
      </w:r>
    </w:p>
    <w:bookmarkEnd w:id="7763"/>
    <w:bookmarkStart w:name="z7936" w:id="7764"/>
    <w:p>
      <w:pPr>
        <w:spacing w:after="0"/>
        <w:ind w:left="0"/>
        <w:jc w:val="both"/>
      </w:pPr>
      <w:r>
        <w:rPr>
          <w:rFonts w:ascii="Times New Roman"/>
          <w:b w:val="false"/>
          <w:i w:val="false"/>
          <w:color w:val="000000"/>
          <w:sz w:val="28"/>
        </w:rPr>
        <w:t xml:space="preserve">
      8) факторы риска (индивидуальные факторы риска (рассматривается возраст, беременность, лактация, нарушение функции печени (почек), значимая сопутствующая патология, степень тяжести заболеваний, генетический полиморфизм, расовая и (или) этническая принадлежность), дозы); </w:t>
      </w:r>
    </w:p>
    <w:bookmarkEnd w:id="7764"/>
    <w:bookmarkStart w:name="z7937" w:id="7765"/>
    <w:p>
      <w:pPr>
        <w:spacing w:after="0"/>
        <w:ind w:left="0"/>
        <w:jc w:val="both"/>
      </w:pPr>
      <w:r>
        <w:rPr>
          <w:rFonts w:ascii="Times New Roman"/>
          <w:b w:val="false"/>
          <w:i w:val="false"/>
          <w:color w:val="000000"/>
          <w:sz w:val="28"/>
        </w:rPr>
        <w:t xml:space="preserve">
      9) продолжительность лечения, период риска; </w:t>
      </w:r>
    </w:p>
    <w:bookmarkEnd w:id="7765"/>
    <w:bookmarkStart w:name="z7938" w:id="7766"/>
    <w:p>
      <w:pPr>
        <w:spacing w:after="0"/>
        <w:ind w:left="0"/>
        <w:jc w:val="both"/>
      </w:pPr>
      <w:r>
        <w:rPr>
          <w:rFonts w:ascii="Times New Roman"/>
          <w:b w:val="false"/>
          <w:i w:val="false"/>
          <w:color w:val="000000"/>
          <w:sz w:val="28"/>
        </w:rPr>
        <w:t>
      10) предотвратимость (оценивается предсказуемость, возможность мониторировать состояние по индикаторным симптомам или лабораторным параметрам);</w:t>
      </w:r>
    </w:p>
    <w:bookmarkEnd w:id="7766"/>
    <w:bookmarkStart w:name="z7939" w:id="7767"/>
    <w:p>
      <w:pPr>
        <w:spacing w:after="0"/>
        <w:ind w:left="0"/>
        <w:jc w:val="both"/>
      </w:pPr>
      <w:r>
        <w:rPr>
          <w:rFonts w:ascii="Times New Roman"/>
          <w:b w:val="false"/>
          <w:i w:val="false"/>
          <w:color w:val="000000"/>
          <w:sz w:val="28"/>
        </w:rPr>
        <w:t>
      11) обратимость;</w:t>
      </w:r>
    </w:p>
    <w:bookmarkEnd w:id="7767"/>
    <w:bookmarkStart w:name="z7940" w:id="7768"/>
    <w:p>
      <w:pPr>
        <w:spacing w:after="0"/>
        <w:ind w:left="0"/>
        <w:jc w:val="both"/>
      </w:pPr>
      <w:r>
        <w:rPr>
          <w:rFonts w:ascii="Times New Roman"/>
          <w:b w:val="false"/>
          <w:i w:val="false"/>
          <w:color w:val="000000"/>
          <w:sz w:val="28"/>
        </w:rPr>
        <w:t>
      12) потенциальный механизм;</w:t>
      </w:r>
    </w:p>
    <w:bookmarkEnd w:id="7768"/>
    <w:bookmarkStart w:name="z7941" w:id="7769"/>
    <w:p>
      <w:pPr>
        <w:spacing w:after="0"/>
        <w:ind w:left="0"/>
        <w:jc w:val="both"/>
      </w:pPr>
      <w:r>
        <w:rPr>
          <w:rFonts w:ascii="Times New Roman"/>
          <w:b w:val="false"/>
          <w:i w:val="false"/>
          <w:color w:val="000000"/>
          <w:sz w:val="28"/>
        </w:rPr>
        <w:t>
      13) уровень доказательности и неопределенности, включая анализ противоречащих фактов при их наличии.</w:t>
      </w:r>
    </w:p>
    <w:bookmarkEnd w:id="7769"/>
    <w:bookmarkStart w:name="z7942" w:id="7770"/>
    <w:p>
      <w:pPr>
        <w:spacing w:after="0"/>
        <w:ind w:left="0"/>
        <w:jc w:val="both"/>
      </w:pPr>
      <w:r>
        <w:rPr>
          <w:rFonts w:ascii="Times New Roman"/>
          <w:b w:val="false"/>
          <w:i w:val="false"/>
          <w:color w:val="000000"/>
          <w:sz w:val="28"/>
        </w:rPr>
        <w:t>
      При подготовке ПОБ для лекарственных препаратов с несколькими показаниями, формами выпуска или способами введения, в случае наличия существенных различий по идентифицированным и потенциальным рискам, считается обоснованным представление данных по рискам раздельно по показаниям, формам выпуска или способам введения.</w:t>
      </w:r>
    </w:p>
    <w:bookmarkEnd w:id="7770"/>
    <w:bookmarkStart w:name="z7943" w:id="7771"/>
    <w:p>
      <w:pPr>
        <w:spacing w:after="0"/>
        <w:ind w:left="0"/>
        <w:jc w:val="both"/>
      </w:pPr>
      <w:r>
        <w:rPr>
          <w:rFonts w:ascii="Times New Roman"/>
          <w:b w:val="false"/>
          <w:i w:val="false"/>
          <w:color w:val="000000"/>
          <w:sz w:val="28"/>
        </w:rPr>
        <w:t>
      Представляются следующие разделы:</w:t>
      </w:r>
    </w:p>
    <w:bookmarkEnd w:id="7771"/>
    <w:bookmarkStart w:name="z7944" w:id="7772"/>
    <w:p>
      <w:pPr>
        <w:spacing w:after="0"/>
        <w:ind w:left="0"/>
        <w:jc w:val="both"/>
      </w:pPr>
      <w:r>
        <w:rPr>
          <w:rFonts w:ascii="Times New Roman"/>
          <w:b w:val="false"/>
          <w:i w:val="false"/>
          <w:color w:val="000000"/>
          <w:sz w:val="28"/>
        </w:rPr>
        <w:t>
      1) риски, характерные для действующего вещества;</w:t>
      </w:r>
    </w:p>
    <w:bookmarkEnd w:id="7772"/>
    <w:bookmarkStart w:name="z7945" w:id="7773"/>
    <w:p>
      <w:pPr>
        <w:spacing w:after="0"/>
        <w:ind w:left="0"/>
        <w:jc w:val="both"/>
      </w:pPr>
      <w:r>
        <w:rPr>
          <w:rFonts w:ascii="Times New Roman"/>
          <w:b w:val="false"/>
          <w:i w:val="false"/>
          <w:color w:val="000000"/>
          <w:sz w:val="28"/>
        </w:rPr>
        <w:t>
      2) риски, характерные для определенных форм выпуска или способов введения (включая воздействие при выполнении профессиональной деятельности);</w:t>
      </w:r>
    </w:p>
    <w:bookmarkEnd w:id="7773"/>
    <w:bookmarkStart w:name="z7946" w:id="7774"/>
    <w:p>
      <w:pPr>
        <w:spacing w:after="0"/>
        <w:ind w:left="0"/>
        <w:jc w:val="both"/>
      </w:pPr>
      <w:r>
        <w:rPr>
          <w:rFonts w:ascii="Times New Roman"/>
          <w:b w:val="false"/>
          <w:i w:val="false"/>
          <w:color w:val="000000"/>
          <w:sz w:val="28"/>
        </w:rPr>
        <w:t>
      3) риски, характерные для определенных популяций;</w:t>
      </w:r>
    </w:p>
    <w:bookmarkEnd w:id="7774"/>
    <w:bookmarkStart w:name="z7947" w:id="7775"/>
    <w:p>
      <w:pPr>
        <w:spacing w:after="0"/>
        <w:ind w:left="0"/>
        <w:jc w:val="both"/>
      </w:pPr>
      <w:r>
        <w:rPr>
          <w:rFonts w:ascii="Times New Roman"/>
          <w:b w:val="false"/>
          <w:i w:val="false"/>
          <w:color w:val="000000"/>
          <w:sz w:val="28"/>
        </w:rPr>
        <w:t>
      4) риски, связанные с применением без назначения врача (для действующих веществ, которые представлены в формах, отпускаемых по рецепту и без рецепта);</w:t>
      </w:r>
    </w:p>
    <w:bookmarkEnd w:id="7775"/>
    <w:bookmarkStart w:name="z7948" w:id="7776"/>
    <w:p>
      <w:pPr>
        <w:spacing w:after="0"/>
        <w:ind w:left="0"/>
        <w:jc w:val="both"/>
      </w:pPr>
      <w:r>
        <w:rPr>
          <w:rFonts w:ascii="Times New Roman"/>
          <w:b w:val="false"/>
          <w:i w:val="false"/>
          <w:color w:val="000000"/>
          <w:sz w:val="28"/>
        </w:rPr>
        <w:t>
      5) проблемы по безопасности, связанные с отсутствием информации.</w:t>
      </w:r>
    </w:p>
    <w:bookmarkEnd w:id="7776"/>
    <w:bookmarkStart w:name="z7949" w:id="7777"/>
    <w:p>
      <w:pPr>
        <w:spacing w:after="0"/>
        <w:ind w:left="0"/>
        <w:jc w:val="both"/>
      </w:pPr>
      <w:r>
        <w:rPr>
          <w:rFonts w:ascii="Times New Roman"/>
          <w:b w:val="false"/>
          <w:i w:val="false"/>
          <w:color w:val="000000"/>
          <w:sz w:val="28"/>
        </w:rPr>
        <w:t>
      323. Подраздел ПОБ "Эффективность мер минимизации риска (если применимо)".</w:t>
      </w:r>
    </w:p>
    <w:bookmarkEnd w:id="7777"/>
    <w:bookmarkStart w:name="z7950" w:id="7778"/>
    <w:p>
      <w:pPr>
        <w:spacing w:after="0"/>
        <w:ind w:left="0"/>
        <w:jc w:val="both"/>
      </w:pPr>
      <w:r>
        <w:rPr>
          <w:rFonts w:ascii="Times New Roman"/>
          <w:b w:val="false"/>
          <w:i w:val="false"/>
          <w:color w:val="000000"/>
          <w:sz w:val="28"/>
        </w:rPr>
        <w:t>
      Меры минимизации риска включают в себя действия, направленные на предотвращение нежелательных реакций, связанных с воздействием лекарственного препарата, либо снижение степени их тяжести при возникновении. Целью деятельности по минимизации риска является снижение вероятности развития или степени тяжести нежелательных лекарственных реакций.</w:t>
      </w:r>
    </w:p>
    <w:bookmarkEnd w:id="7778"/>
    <w:bookmarkStart w:name="z7951" w:id="7779"/>
    <w:p>
      <w:pPr>
        <w:spacing w:after="0"/>
        <w:ind w:left="0"/>
        <w:jc w:val="both"/>
      </w:pPr>
      <w:r>
        <w:rPr>
          <w:rFonts w:ascii="Times New Roman"/>
          <w:b w:val="false"/>
          <w:i w:val="false"/>
          <w:color w:val="000000"/>
          <w:sz w:val="28"/>
        </w:rPr>
        <w:t>
      Меры минимизации риска включают рутинные меры минимизации риска (изменения в инструкцию по медицинскому применению) или дополнительные меры минимизации риска (прямое информирование специалистов системы здравоохранении и (или) образовательные материалы).</w:t>
      </w:r>
    </w:p>
    <w:bookmarkEnd w:id="7779"/>
    <w:bookmarkStart w:name="z7952" w:id="7780"/>
    <w:p>
      <w:pPr>
        <w:spacing w:after="0"/>
        <w:ind w:left="0"/>
        <w:jc w:val="both"/>
      </w:pPr>
      <w:r>
        <w:rPr>
          <w:rFonts w:ascii="Times New Roman"/>
          <w:b w:val="false"/>
          <w:i w:val="false"/>
          <w:color w:val="000000"/>
          <w:sz w:val="28"/>
        </w:rPr>
        <w:t>
      В подразделе представляются результаты оценки эффективности мер минимизации риска.</w:t>
      </w:r>
    </w:p>
    <w:bookmarkEnd w:id="7780"/>
    <w:bookmarkStart w:name="z7953" w:id="7781"/>
    <w:p>
      <w:pPr>
        <w:spacing w:after="0"/>
        <w:ind w:left="0"/>
        <w:jc w:val="both"/>
      </w:pPr>
      <w:r>
        <w:rPr>
          <w:rFonts w:ascii="Times New Roman"/>
          <w:b w:val="false"/>
          <w:i w:val="false"/>
          <w:color w:val="000000"/>
          <w:sz w:val="28"/>
        </w:rPr>
        <w:t>
      В обобщенном виде представляется соответствующая информация по эффективности и (или) ограничениям конкретных мер минимизации риска по важным идентифицированным рискам, которая была получена за отчетный период. Результаты оценки за отчетный период представляются в приложении к отчету.</w:t>
      </w:r>
    </w:p>
    <w:bookmarkEnd w:id="7781"/>
    <w:bookmarkStart w:name="z7954" w:id="7782"/>
    <w:p>
      <w:pPr>
        <w:spacing w:after="0"/>
        <w:ind w:left="0"/>
        <w:jc w:val="both"/>
      </w:pPr>
      <w:r>
        <w:rPr>
          <w:rFonts w:ascii="Times New Roman"/>
          <w:b w:val="false"/>
          <w:i w:val="false"/>
          <w:color w:val="000000"/>
          <w:sz w:val="28"/>
        </w:rPr>
        <w:t>
      324. Раздел ПОБ "Оценка пользы".</w:t>
      </w:r>
    </w:p>
    <w:bookmarkEnd w:id="7782"/>
    <w:bookmarkStart w:name="z7955" w:id="7783"/>
    <w:p>
      <w:pPr>
        <w:spacing w:after="0"/>
        <w:ind w:left="0"/>
        <w:jc w:val="both"/>
      </w:pPr>
      <w:r>
        <w:rPr>
          <w:rFonts w:ascii="Times New Roman"/>
          <w:b w:val="false"/>
          <w:i w:val="false"/>
          <w:color w:val="000000"/>
          <w:sz w:val="28"/>
        </w:rPr>
        <w:t>
      325. Подраздел ПОБ "Важная базисная информация по эффективности в ходе клинических испытаний и применения в медицинской практике".</w:t>
      </w:r>
    </w:p>
    <w:bookmarkEnd w:id="7783"/>
    <w:bookmarkStart w:name="z7956" w:id="7784"/>
    <w:p>
      <w:pPr>
        <w:spacing w:after="0"/>
        <w:ind w:left="0"/>
        <w:jc w:val="both"/>
      </w:pPr>
      <w:r>
        <w:rPr>
          <w:rFonts w:ascii="Times New Roman"/>
          <w:b w:val="false"/>
          <w:i w:val="false"/>
          <w:color w:val="000000"/>
          <w:sz w:val="28"/>
        </w:rPr>
        <w:t>
      В подразделе суммируется основная информация по эффективности лекарственного препарата в ходе клинических исследований и эффективность, продемонстрированная при применении в медицинской практике от начала отчетного периода. Данная информация относится к одобренным показаниям к применению.</w:t>
      </w:r>
    </w:p>
    <w:bookmarkEnd w:id="7784"/>
    <w:bookmarkStart w:name="z7957" w:id="7785"/>
    <w:p>
      <w:pPr>
        <w:spacing w:after="0"/>
        <w:ind w:left="0"/>
        <w:jc w:val="both"/>
      </w:pPr>
      <w:r>
        <w:rPr>
          <w:rFonts w:ascii="Times New Roman"/>
          <w:b w:val="false"/>
          <w:i w:val="false"/>
          <w:color w:val="000000"/>
          <w:sz w:val="28"/>
        </w:rPr>
        <w:t>
      Для лекарственных препаратов с несколькими показаниями, целевыми популяциями и (или) способами введения польза характеризуется отдельно по каждому фактору.</w:t>
      </w:r>
    </w:p>
    <w:bookmarkEnd w:id="7785"/>
    <w:bookmarkStart w:name="z7958" w:id="7786"/>
    <w:p>
      <w:pPr>
        <w:spacing w:after="0"/>
        <w:ind w:left="0"/>
        <w:jc w:val="both"/>
      </w:pPr>
      <w:r>
        <w:rPr>
          <w:rFonts w:ascii="Times New Roman"/>
          <w:b w:val="false"/>
          <w:i w:val="false"/>
          <w:color w:val="000000"/>
          <w:sz w:val="28"/>
        </w:rPr>
        <w:t>
      Для лекарственных препаратов, у которых за отчетный период выявлены существенные изменения профиля безопасности или эффективности, данный подраздел включает достаточную информацию по обоснованию обновленной характеристики пользы лекарственного препарата, отраженной в подразделе ПОБ ("Характеристика пользы").</w:t>
      </w:r>
    </w:p>
    <w:bookmarkEnd w:id="7786"/>
    <w:bookmarkStart w:name="z7959" w:id="7787"/>
    <w:p>
      <w:pPr>
        <w:spacing w:after="0"/>
        <w:ind w:left="0"/>
        <w:jc w:val="both"/>
      </w:pPr>
      <w:r>
        <w:rPr>
          <w:rFonts w:ascii="Times New Roman"/>
          <w:b w:val="false"/>
          <w:i w:val="false"/>
          <w:color w:val="000000"/>
          <w:sz w:val="28"/>
        </w:rPr>
        <w:t>
      Содержание и степень детализации информации, представленной в разделе, варьирует по различным лекарственным препаратам, включая следующие аспекты, когда это применимо:</w:t>
      </w:r>
    </w:p>
    <w:bookmarkEnd w:id="7787"/>
    <w:bookmarkStart w:name="z7960" w:id="7788"/>
    <w:p>
      <w:pPr>
        <w:spacing w:after="0"/>
        <w:ind w:left="0"/>
        <w:jc w:val="both"/>
      </w:pPr>
      <w:r>
        <w:rPr>
          <w:rFonts w:ascii="Times New Roman"/>
          <w:b w:val="false"/>
          <w:i w:val="false"/>
          <w:color w:val="000000"/>
          <w:sz w:val="28"/>
        </w:rPr>
        <w:t>
      1) эпидемиология и происхождение заболевания;</w:t>
      </w:r>
    </w:p>
    <w:bookmarkEnd w:id="7788"/>
    <w:bookmarkStart w:name="z7961" w:id="7789"/>
    <w:p>
      <w:pPr>
        <w:spacing w:after="0"/>
        <w:ind w:left="0"/>
        <w:jc w:val="both"/>
      </w:pPr>
      <w:r>
        <w:rPr>
          <w:rFonts w:ascii="Times New Roman"/>
          <w:b w:val="false"/>
          <w:i w:val="false"/>
          <w:color w:val="000000"/>
          <w:sz w:val="28"/>
        </w:rPr>
        <w:t>
      2) характеристика пользы (диагностическое, профилактическое, симптоматическое, болезнь-модифицирующее);</w:t>
      </w:r>
    </w:p>
    <w:bookmarkEnd w:id="7789"/>
    <w:bookmarkStart w:name="z7962" w:id="7790"/>
    <w:p>
      <w:pPr>
        <w:spacing w:after="0"/>
        <w:ind w:left="0"/>
        <w:jc w:val="both"/>
      </w:pPr>
      <w:r>
        <w:rPr>
          <w:rFonts w:ascii="Times New Roman"/>
          <w:b w:val="false"/>
          <w:i w:val="false"/>
          <w:color w:val="000000"/>
          <w:sz w:val="28"/>
        </w:rPr>
        <w:t>
      3) важные конечные точки, подтверждающие пользу (влияние на смертность, симптоматику, исходы);</w:t>
      </w:r>
    </w:p>
    <w:bookmarkEnd w:id="7790"/>
    <w:bookmarkStart w:name="z7963" w:id="7791"/>
    <w:p>
      <w:pPr>
        <w:spacing w:after="0"/>
        <w:ind w:left="0"/>
        <w:jc w:val="both"/>
      </w:pPr>
      <w:r>
        <w:rPr>
          <w:rFonts w:ascii="Times New Roman"/>
          <w:b w:val="false"/>
          <w:i w:val="false"/>
          <w:color w:val="000000"/>
          <w:sz w:val="28"/>
        </w:rPr>
        <w:t>
      4) доказательства эффективности в клинических исследованиях и медицинской практике по сравнению с препаратом сравнения (сравнительные клинические исследования с активным контролем, мета-анализы, обсервационные исследования);</w:t>
      </w:r>
    </w:p>
    <w:bookmarkEnd w:id="7791"/>
    <w:bookmarkStart w:name="z7964" w:id="7792"/>
    <w:p>
      <w:pPr>
        <w:spacing w:after="0"/>
        <w:ind w:left="0"/>
        <w:jc w:val="both"/>
      </w:pPr>
      <w:r>
        <w:rPr>
          <w:rFonts w:ascii="Times New Roman"/>
          <w:b w:val="false"/>
          <w:i w:val="false"/>
          <w:color w:val="000000"/>
          <w:sz w:val="28"/>
        </w:rPr>
        <w:t>
      5) тенденции и (или) доказательства пользы по важным популяционным подгруппам (возрастным, половым, этническим, по степени тяжести заболевания, генетическому полиморфизму) в случае, влияния на оценку соотношения польза-риск.</w:t>
      </w:r>
    </w:p>
    <w:bookmarkEnd w:id="7792"/>
    <w:bookmarkStart w:name="z7965" w:id="7793"/>
    <w:p>
      <w:pPr>
        <w:spacing w:after="0"/>
        <w:ind w:left="0"/>
        <w:jc w:val="both"/>
      </w:pPr>
      <w:r>
        <w:rPr>
          <w:rFonts w:ascii="Times New Roman"/>
          <w:b w:val="false"/>
          <w:i w:val="false"/>
          <w:color w:val="000000"/>
          <w:sz w:val="28"/>
        </w:rPr>
        <w:t>
      326. Подраздел ПОБ "Новая выявленная информация по эффективности в ходе клинических исследований и применения в медицинской практике".</w:t>
      </w:r>
    </w:p>
    <w:bookmarkEnd w:id="7793"/>
    <w:bookmarkStart w:name="z7966" w:id="7794"/>
    <w:p>
      <w:pPr>
        <w:spacing w:after="0"/>
        <w:ind w:left="0"/>
        <w:jc w:val="both"/>
      </w:pPr>
      <w:r>
        <w:rPr>
          <w:rFonts w:ascii="Times New Roman"/>
          <w:b w:val="false"/>
          <w:i w:val="false"/>
          <w:color w:val="000000"/>
          <w:sz w:val="28"/>
        </w:rPr>
        <w:t xml:space="preserve">
      Для некоторых лекарственных препаратов за отчетный период существуют случаи получения новой информации по эффективности в клинических исследованиях и медицинской практике, которая подлежит представлению в подразделе. Отдельная информация по доказательной базе в отношении не одобренных показаний по применению не включается в раздел, за исключением случаев, имеющих влияние на оценку соотношения польза-риск. </w:t>
      </w:r>
    </w:p>
    <w:bookmarkEnd w:id="7794"/>
    <w:bookmarkStart w:name="z7967" w:id="7795"/>
    <w:p>
      <w:pPr>
        <w:spacing w:after="0"/>
        <w:ind w:left="0"/>
        <w:jc w:val="both"/>
      </w:pPr>
      <w:r>
        <w:rPr>
          <w:rFonts w:ascii="Times New Roman"/>
          <w:b w:val="false"/>
          <w:i w:val="false"/>
          <w:color w:val="000000"/>
          <w:sz w:val="28"/>
        </w:rPr>
        <w:t>
      Особое внимание в подразделе уделяется вакцинам, антиинфекционным и иным препаратам, для которых изменения терапевтической среды влияют на соотношение польза-риск с течением времени.</w:t>
      </w:r>
    </w:p>
    <w:bookmarkEnd w:id="7795"/>
    <w:bookmarkStart w:name="z7968" w:id="7796"/>
    <w:p>
      <w:pPr>
        <w:spacing w:after="0"/>
        <w:ind w:left="0"/>
        <w:jc w:val="both"/>
      </w:pPr>
      <w:r>
        <w:rPr>
          <w:rFonts w:ascii="Times New Roman"/>
          <w:b w:val="false"/>
          <w:i w:val="false"/>
          <w:color w:val="000000"/>
          <w:sz w:val="28"/>
        </w:rPr>
        <w:t>
      Содержание и степень детализации информации, представляемой в данном разделе, варьирует в зависимости от лекарственного препарата; в случае отсутствия новой информации за отчетный период, ссылаются на раздел 17) ("Важная базисная информация по эффективности в клинических исследованиях и медицинской практике").</w:t>
      </w:r>
    </w:p>
    <w:bookmarkEnd w:id="7796"/>
    <w:bookmarkStart w:name="z7969" w:id="7797"/>
    <w:p>
      <w:pPr>
        <w:spacing w:after="0"/>
        <w:ind w:left="0"/>
        <w:jc w:val="both"/>
      </w:pPr>
      <w:r>
        <w:rPr>
          <w:rFonts w:ascii="Times New Roman"/>
          <w:b w:val="false"/>
          <w:i w:val="false"/>
          <w:color w:val="000000"/>
          <w:sz w:val="28"/>
        </w:rPr>
        <w:t>
      327. Подраздел ПОБ "Характеристика пользы".</w:t>
      </w:r>
    </w:p>
    <w:bookmarkEnd w:id="7797"/>
    <w:bookmarkStart w:name="z7970" w:id="7798"/>
    <w:p>
      <w:pPr>
        <w:spacing w:after="0"/>
        <w:ind w:left="0"/>
        <w:jc w:val="both"/>
      </w:pPr>
      <w:r>
        <w:rPr>
          <w:rFonts w:ascii="Times New Roman"/>
          <w:b w:val="false"/>
          <w:i w:val="false"/>
          <w:color w:val="000000"/>
          <w:sz w:val="28"/>
        </w:rPr>
        <w:t>
      В подразделе представляется объединенная информация по базисным и новым данным по терапевтической пользе, которые стали известны за отчетный период по одобренным показаниям.</w:t>
      </w:r>
    </w:p>
    <w:bookmarkEnd w:id="7798"/>
    <w:bookmarkStart w:name="z7971" w:id="7799"/>
    <w:p>
      <w:pPr>
        <w:spacing w:after="0"/>
        <w:ind w:left="0"/>
        <w:jc w:val="both"/>
      </w:pPr>
      <w:r>
        <w:rPr>
          <w:rFonts w:ascii="Times New Roman"/>
          <w:b w:val="false"/>
          <w:i w:val="false"/>
          <w:color w:val="000000"/>
          <w:sz w:val="28"/>
        </w:rPr>
        <w:t>
      В случае отсутствия новых данных по профилю пользы и отсутствия значительных изменений профиля безопасности, данный подраздел содержит ссылку на подраздел 17) ("Важная базисная эффективность в клинических исследованиях и информация по эффективности в медицинской практике").</w:t>
      </w:r>
    </w:p>
    <w:bookmarkEnd w:id="7799"/>
    <w:bookmarkStart w:name="z7972" w:id="7800"/>
    <w:p>
      <w:pPr>
        <w:spacing w:after="0"/>
        <w:ind w:left="0"/>
        <w:jc w:val="both"/>
      </w:pPr>
      <w:r>
        <w:rPr>
          <w:rFonts w:ascii="Times New Roman"/>
          <w:b w:val="false"/>
          <w:i w:val="false"/>
          <w:color w:val="000000"/>
          <w:sz w:val="28"/>
        </w:rPr>
        <w:t xml:space="preserve">
      В случае если за отчетный период получена новая информация по терапевтической пользе и нет значимых изменений профиля безопасности, в разделе кратко приводятся объединенные данные по базисной и новой информации. </w:t>
      </w:r>
    </w:p>
    <w:bookmarkEnd w:id="7800"/>
    <w:bookmarkStart w:name="z7973" w:id="7801"/>
    <w:p>
      <w:pPr>
        <w:spacing w:after="0"/>
        <w:ind w:left="0"/>
        <w:jc w:val="both"/>
      </w:pPr>
      <w:r>
        <w:rPr>
          <w:rFonts w:ascii="Times New Roman"/>
          <w:b w:val="false"/>
          <w:i w:val="false"/>
          <w:color w:val="000000"/>
          <w:sz w:val="28"/>
        </w:rPr>
        <w:t>
      В случае наличия существенных изменений профиля безопасности, либо получения новых данных, предполагающих значительно меньший уровень терапевтической пользы по сравнению с изначально продемонстрированным, в разделе приводится краткая, но критическая оценка доказательной базы по безопасности и эффективности в ходе клинических исследований и медицинской практике, с приведением данных по следующим аспектам:</w:t>
      </w:r>
    </w:p>
    <w:bookmarkEnd w:id="7801"/>
    <w:bookmarkStart w:name="z7974" w:id="7802"/>
    <w:p>
      <w:pPr>
        <w:spacing w:after="0"/>
        <w:ind w:left="0"/>
        <w:jc w:val="both"/>
      </w:pPr>
      <w:r>
        <w:rPr>
          <w:rFonts w:ascii="Times New Roman"/>
          <w:b w:val="false"/>
          <w:i w:val="false"/>
          <w:color w:val="000000"/>
          <w:sz w:val="28"/>
        </w:rPr>
        <w:t>
      1) краткое описание доказательного уровня данных по терапевтической пользе; рассматривается сравнительный аспект эффективности, степень выраженности эффекта, правильность статистической обработки, слабые и сильные аспекты методологии, соответствие данных в разных исследованиях (испытаниях);</w:t>
      </w:r>
    </w:p>
    <w:bookmarkEnd w:id="7802"/>
    <w:bookmarkStart w:name="z7975" w:id="7803"/>
    <w:p>
      <w:pPr>
        <w:spacing w:after="0"/>
        <w:ind w:left="0"/>
        <w:jc w:val="both"/>
      </w:pPr>
      <w:r>
        <w:rPr>
          <w:rFonts w:ascii="Times New Roman"/>
          <w:b w:val="false"/>
          <w:i w:val="false"/>
          <w:color w:val="000000"/>
          <w:sz w:val="28"/>
        </w:rPr>
        <w:t>
      2) новая информация, поставившая под сомнение суррогатные конечные точки, если таковые использовались;</w:t>
      </w:r>
    </w:p>
    <w:bookmarkEnd w:id="7803"/>
    <w:bookmarkStart w:name="z7976" w:id="7804"/>
    <w:p>
      <w:pPr>
        <w:spacing w:after="0"/>
        <w:ind w:left="0"/>
        <w:jc w:val="both"/>
      </w:pPr>
      <w:r>
        <w:rPr>
          <w:rFonts w:ascii="Times New Roman"/>
          <w:b w:val="false"/>
          <w:i w:val="false"/>
          <w:color w:val="000000"/>
          <w:sz w:val="28"/>
        </w:rPr>
        <w:t>
      3) клиническая значимость выраженности терапевтического эффекта;</w:t>
      </w:r>
    </w:p>
    <w:bookmarkEnd w:id="7804"/>
    <w:bookmarkStart w:name="z7977" w:id="7805"/>
    <w:p>
      <w:pPr>
        <w:spacing w:after="0"/>
        <w:ind w:left="0"/>
        <w:jc w:val="both"/>
      </w:pPr>
      <w:r>
        <w:rPr>
          <w:rFonts w:ascii="Times New Roman"/>
          <w:b w:val="false"/>
          <w:i w:val="false"/>
          <w:color w:val="000000"/>
          <w:sz w:val="28"/>
        </w:rPr>
        <w:t>
      4) обобщаемость терапевтического эффекта между целевыми подгруппами (информация о недостаточности терапевтического эффекта по какой-либо популяционной подгруппе);</w:t>
      </w:r>
    </w:p>
    <w:bookmarkEnd w:id="7805"/>
    <w:bookmarkStart w:name="z7978" w:id="7806"/>
    <w:p>
      <w:pPr>
        <w:spacing w:after="0"/>
        <w:ind w:left="0"/>
        <w:jc w:val="both"/>
      </w:pPr>
      <w:r>
        <w:rPr>
          <w:rFonts w:ascii="Times New Roman"/>
          <w:b w:val="false"/>
          <w:i w:val="false"/>
          <w:color w:val="000000"/>
          <w:sz w:val="28"/>
        </w:rPr>
        <w:t>
      5) адекватность характеристики доза-терапевтический ответ;</w:t>
      </w:r>
    </w:p>
    <w:bookmarkEnd w:id="7806"/>
    <w:bookmarkStart w:name="z7979" w:id="7807"/>
    <w:p>
      <w:pPr>
        <w:spacing w:after="0"/>
        <w:ind w:left="0"/>
        <w:jc w:val="both"/>
      </w:pPr>
      <w:r>
        <w:rPr>
          <w:rFonts w:ascii="Times New Roman"/>
          <w:b w:val="false"/>
          <w:i w:val="false"/>
          <w:color w:val="000000"/>
          <w:sz w:val="28"/>
        </w:rPr>
        <w:t>
      6) продолжительность эффекта;</w:t>
      </w:r>
    </w:p>
    <w:bookmarkEnd w:id="7807"/>
    <w:bookmarkStart w:name="z7980" w:id="7808"/>
    <w:p>
      <w:pPr>
        <w:spacing w:after="0"/>
        <w:ind w:left="0"/>
        <w:jc w:val="both"/>
      </w:pPr>
      <w:r>
        <w:rPr>
          <w:rFonts w:ascii="Times New Roman"/>
          <w:b w:val="false"/>
          <w:i w:val="false"/>
          <w:color w:val="000000"/>
          <w:sz w:val="28"/>
        </w:rPr>
        <w:t>
      7) сравнительная эффективность; и</w:t>
      </w:r>
    </w:p>
    <w:bookmarkEnd w:id="7808"/>
    <w:bookmarkStart w:name="z7981" w:id="7809"/>
    <w:p>
      <w:pPr>
        <w:spacing w:after="0"/>
        <w:ind w:left="0"/>
        <w:jc w:val="both"/>
      </w:pPr>
      <w:r>
        <w:rPr>
          <w:rFonts w:ascii="Times New Roman"/>
          <w:b w:val="false"/>
          <w:i w:val="false"/>
          <w:color w:val="000000"/>
          <w:sz w:val="28"/>
        </w:rPr>
        <w:t>
      8) определение степени, в которой данные по эффективности, полученные в клинических исследованиях, обобщаются с популяцией, в которой применяется лекарственный препарат в медицинской практике.</w:t>
      </w:r>
    </w:p>
    <w:bookmarkEnd w:id="7809"/>
    <w:bookmarkStart w:name="z7982" w:id="7810"/>
    <w:p>
      <w:pPr>
        <w:spacing w:after="0"/>
        <w:ind w:left="0"/>
        <w:jc w:val="both"/>
      </w:pPr>
      <w:r>
        <w:rPr>
          <w:rFonts w:ascii="Times New Roman"/>
          <w:b w:val="false"/>
          <w:i w:val="false"/>
          <w:color w:val="000000"/>
          <w:sz w:val="28"/>
        </w:rPr>
        <w:t>
      328. В разделе ПОБ "Интегрированный анализ соотношения польза-риск по одобренным показаниям" держателем регистрационного удостоверения представляется обобщенная оценка пользы и риска лекарственного препарата при его применении в клинической практике. Представляется критический анализ и объединенная информация по предыдущим разделам в части пользы и риска без дублирования с информацией в разделах "Оценка рисков и новой информации" и "Характеристика пользы".</w:t>
      </w:r>
    </w:p>
    <w:bookmarkEnd w:id="7810"/>
    <w:bookmarkStart w:name="z7983" w:id="7811"/>
    <w:p>
      <w:pPr>
        <w:spacing w:after="0"/>
        <w:ind w:left="0"/>
        <w:jc w:val="both"/>
      </w:pPr>
      <w:r>
        <w:rPr>
          <w:rFonts w:ascii="Times New Roman"/>
          <w:b w:val="false"/>
          <w:i w:val="false"/>
          <w:color w:val="000000"/>
          <w:sz w:val="28"/>
        </w:rPr>
        <w:t>
      329. Подраздел ПОБ "Контекст соотношения польза-риск - медицинская потребность в лекарственном препарате и важные альтернативы".</w:t>
      </w:r>
    </w:p>
    <w:bookmarkEnd w:id="7811"/>
    <w:bookmarkStart w:name="z7984" w:id="7812"/>
    <w:p>
      <w:pPr>
        <w:spacing w:after="0"/>
        <w:ind w:left="0"/>
        <w:jc w:val="both"/>
      </w:pPr>
      <w:r>
        <w:rPr>
          <w:rFonts w:ascii="Times New Roman"/>
          <w:b w:val="false"/>
          <w:i w:val="false"/>
          <w:color w:val="000000"/>
          <w:sz w:val="28"/>
        </w:rPr>
        <w:t>
      В подразделе представляется краткое описание медицинской потребности в лекарственном препарате по одобренным показаниям и суммировано по альтернативам (медикаментозным, хирургическим или иным; включая отсутствие лечения).</w:t>
      </w:r>
    </w:p>
    <w:bookmarkEnd w:id="7812"/>
    <w:bookmarkStart w:name="z7985" w:id="7813"/>
    <w:p>
      <w:pPr>
        <w:spacing w:after="0"/>
        <w:ind w:left="0"/>
        <w:jc w:val="both"/>
      </w:pPr>
      <w:r>
        <w:rPr>
          <w:rFonts w:ascii="Times New Roman"/>
          <w:b w:val="false"/>
          <w:i w:val="false"/>
          <w:color w:val="000000"/>
          <w:sz w:val="28"/>
        </w:rPr>
        <w:t>
      330. Подраздел ПОБ "Оценка процедуры анализа соотношения польза-риск".</w:t>
      </w:r>
    </w:p>
    <w:bookmarkEnd w:id="7813"/>
    <w:bookmarkStart w:name="z7986" w:id="7814"/>
    <w:p>
      <w:pPr>
        <w:spacing w:after="0"/>
        <w:ind w:left="0"/>
        <w:jc w:val="both"/>
      </w:pPr>
      <w:r>
        <w:rPr>
          <w:rFonts w:ascii="Times New Roman"/>
          <w:b w:val="false"/>
          <w:i w:val="false"/>
          <w:color w:val="000000"/>
          <w:sz w:val="28"/>
        </w:rPr>
        <w:t>
      Соотношение польза-риск имеет различное значение в зависимости от показаний и целевых популяций. Следовательно, для лекарственных препаратов, зарегистрированных по нескольким показаниям, соотношение польза-риск оценивается отдельно по каждому показанию. В случае наличия существенных различий соотношения польза-риск между подгруппами в рамках одного показания, оценка соотношения польза-риск представляется отдельно и для популяционных подгрупп, если это возможно.</w:t>
      </w:r>
    </w:p>
    <w:bookmarkEnd w:id="7814"/>
    <w:bookmarkStart w:name="z7987" w:id="7815"/>
    <w:p>
      <w:pPr>
        <w:spacing w:after="0"/>
        <w:ind w:left="0"/>
        <w:jc w:val="both"/>
      </w:pPr>
      <w:r>
        <w:rPr>
          <w:rFonts w:ascii="Times New Roman"/>
          <w:b w:val="false"/>
          <w:i w:val="false"/>
          <w:color w:val="000000"/>
          <w:sz w:val="28"/>
        </w:rPr>
        <w:t>
      1) основные вопросы в отношении пользы и рисков:</w:t>
      </w:r>
    </w:p>
    <w:bookmarkEnd w:id="7815"/>
    <w:bookmarkStart w:name="z7988" w:id="7816"/>
    <w:p>
      <w:pPr>
        <w:spacing w:after="0"/>
        <w:ind w:left="0"/>
        <w:jc w:val="both"/>
      </w:pPr>
      <w:r>
        <w:rPr>
          <w:rFonts w:ascii="Times New Roman"/>
          <w:b w:val="false"/>
          <w:i w:val="false"/>
          <w:color w:val="000000"/>
          <w:sz w:val="28"/>
        </w:rPr>
        <w:t>
      ключевая информация, представленная в предшествующих разделах по пользе и риску, объединяется с целью оценки их соотношения;</w:t>
      </w:r>
    </w:p>
    <w:bookmarkEnd w:id="7816"/>
    <w:bookmarkStart w:name="z7989" w:id="7817"/>
    <w:p>
      <w:pPr>
        <w:spacing w:after="0"/>
        <w:ind w:left="0"/>
        <w:jc w:val="both"/>
      </w:pPr>
      <w:r>
        <w:rPr>
          <w:rFonts w:ascii="Times New Roman"/>
          <w:b w:val="false"/>
          <w:i w:val="false"/>
          <w:color w:val="000000"/>
          <w:sz w:val="28"/>
        </w:rPr>
        <w:t>
      оценивается контекст применения лекарственного препарата: излечение, профилактика, диагностика; степень тяжести и серьезность заболевания; целевая популяция (относительно здоровые, хронические заболевания);</w:t>
      </w:r>
    </w:p>
    <w:bookmarkEnd w:id="7817"/>
    <w:bookmarkStart w:name="z7990" w:id="7818"/>
    <w:p>
      <w:pPr>
        <w:spacing w:after="0"/>
        <w:ind w:left="0"/>
        <w:jc w:val="both"/>
      </w:pPr>
      <w:r>
        <w:rPr>
          <w:rFonts w:ascii="Times New Roman"/>
          <w:b w:val="false"/>
          <w:i w:val="false"/>
          <w:color w:val="000000"/>
          <w:sz w:val="28"/>
        </w:rPr>
        <w:t>
      в отношении пользы оценивается ее характер, клиническая значимость, продолжительность эффекта, обобщаемость, доказательство эффективности у пациентов, не отвечающих на альтернативное лечение, выраженность эффекта, индивидуальные элементы пользы;</w:t>
      </w:r>
    </w:p>
    <w:bookmarkEnd w:id="7818"/>
    <w:bookmarkStart w:name="z7991" w:id="7819"/>
    <w:p>
      <w:pPr>
        <w:spacing w:after="0"/>
        <w:ind w:left="0"/>
        <w:jc w:val="both"/>
      </w:pPr>
      <w:r>
        <w:rPr>
          <w:rFonts w:ascii="Times New Roman"/>
          <w:b w:val="false"/>
          <w:i w:val="false"/>
          <w:color w:val="000000"/>
          <w:sz w:val="28"/>
        </w:rPr>
        <w:t>
      в отношении риска оценивается клиническая значимость (характер токсичности, серьезность, частота, предсказуемость, предотвратимость, обратимость, влияние на пациента), а также аспекты риска, связанные с применением не по одобренным показаниям, новым показаниям, неправильным применением;</w:t>
      </w:r>
    </w:p>
    <w:bookmarkEnd w:id="7819"/>
    <w:bookmarkStart w:name="z7992" w:id="7820"/>
    <w:p>
      <w:pPr>
        <w:spacing w:after="0"/>
        <w:ind w:left="0"/>
        <w:jc w:val="both"/>
      </w:pPr>
      <w:r>
        <w:rPr>
          <w:rFonts w:ascii="Times New Roman"/>
          <w:b w:val="false"/>
          <w:i w:val="false"/>
          <w:color w:val="000000"/>
          <w:sz w:val="28"/>
        </w:rPr>
        <w:t>
      при формулировке оценки соотношения польза-риск рассматриваются слабые и сильные стороны, а также неопределенности доказательной базы с описанием их влияния на оценку. Приводится характеристика ограничений выполненной оценки.</w:t>
      </w:r>
    </w:p>
    <w:bookmarkEnd w:id="7820"/>
    <w:bookmarkStart w:name="z7993" w:id="7821"/>
    <w:p>
      <w:pPr>
        <w:spacing w:after="0"/>
        <w:ind w:left="0"/>
        <w:jc w:val="both"/>
      </w:pPr>
      <w:r>
        <w:rPr>
          <w:rFonts w:ascii="Times New Roman"/>
          <w:b w:val="false"/>
          <w:i w:val="false"/>
          <w:color w:val="000000"/>
          <w:sz w:val="28"/>
        </w:rPr>
        <w:t>
      2) представляется описание и аргументации используемой методологии для оценки соотношения польза-риск:</w:t>
      </w:r>
    </w:p>
    <w:bookmarkEnd w:id="7821"/>
    <w:bookmarkStart w:name="z7994" w:id="7822"/>
    <w:p>
      <w:pPr>
        <w:spacing w:after="0"/>
        <w:ind w:left="0"/>
        <w:jc w:val="both"/>
      </w:pPr>
      <w:r>
        <w:rPr>
          <w:rFonts w:ascii="Times New Roman"/>
          <w:b w:val="false"/>
          <w:i w:val="false"/>
          <w:color w:val="000000"/>
          <w:sz w:val="28"/>
        </w:rPr>
        <w:t>
      предположения, рассмотрение, соотнесения, которые подтверждают сделанный вывод по оценке соотношения польза-риск;</w:t>
      </w:r>
    </w:p>
    <w:bookmarkEnd w:id="7822"/>
    <w:bookmarkStart w:name="z7995" w:id="7823"/>
    <w:p>
      <w:pPr>
        <w:spacing w:after="0"/>
        <w:ind w:left="0"/>
        <w:jc w:val="both"/>
      </w:pPr>
      <w:r>
        <w:rPr>
          <w:rFonts w:ascii="Times New Roman"/>
          <w:b w:val="false"/>
          <w:i w:val="false"/>
          <w:color w:val="000000"/>
          <w:sz w:val="28"/>
        </w:rPr>
        <w:t>
      комментарии в отношении возможности выражения пользы и риска в представленном виде и их сопоставления;</w:t>
      </w:r>
    </w:p>
    <w:bookmarkEnd w:id="7823"/>
    <w:bookmarkStart w:name="z7996" w:id="7824"/>
    <w:p>
      <w:pPr>
        <w:spacing w:after="0"/>
        <w:ind w:left="0"/>
        <w:jc w:val="both"/>
      </w:pPr>
      <w:r>
        <w:rPr>
          <w:rFonts w:ascii="Times New Roman"/>
          <w:b w:val="false"/>
          <w:i w:val="false"/>
          <w:color w:val="000000"/>
          <w:sz w:val="28"/>
        </w:rPr>
        <w:t>
      если представлена количественная оценка соотношения, включается обобщенное описание методов оценки;</w:t>
      </w:r>
    </w:p>
    <w:bookmarkEnd w:id="7824"/>
    <w:bookmarkStart w:name="z7997" w:id="7825"/>
    <w:p>
      <w:pPr>
        <w:spacing w:after="0"/>
        <w:ind w:left="0"/>
        <w:jc w:val="both"/>
      </w:pPr>
      <w:r>
        <w:rPr>
          <w:rFonts w:ascii="Times New Roman"/>
          <w:b w:val="false"/>
          <w:i w:val="false"/>
          <w:color w:val="000000"/>
          <w:sz w:val="28"/>
        </w:rPr>
        <w:t>
      экономическая оценка (стоимость-эффективность) не рассматривается при оценке соотношения польза-риск.</w:t>
      </w:r>
    </w:p>
    <w:bookmarkEnd w:id="7825"/>
    <w:bookmarkStart w:name="z7998" w:id="7826"/>
    <w:p>
      <w:pPr>
        <w:spacing w:after="0"/>
        <w:ind w:left="0"/>
        <w:jc w:val="both"/>
      </w:pPr>
      <w:r>
        <w:rPr>
          <w:rFonts w:ascii="Times New Roman"/>
          <w:b w:val="false"/>
          <w:i w:val="false"/>
          <w:color w:val="000000"/>
          <w:sz w:val="28"/>
        </w:rPr>
        <w:t>
      331. Раздел ПОБ "Заключение и действия". Заключительный раздел ПОБ содержит заключение о влиянии всей новой информации, выявленной в отчетный период, на общую оценку соотношения польза-риск по каждому одобренному показанию, а также подгруппам пациента, когда это применимо.</w:t>
      </w:r>
    </w:p>
    <w:bookmarkEnd w:id="7826"/>
    <w:bookmarkStart w:name="z7999" w:id="7827"/>
    <w:p>
      <w:pPr>
        <w:spacing w:after="0"/>
        <w:ind w:left="0"/>
        <w:jc w:val="both"/>
      </w:pPr>
      <w:r>
        <w:rPr>
          <w:rFonts w:ascii="Times New Roman"/>
          <w:b w:val="false"/>
          <w:i w:val="false"/>
          <w:color w:val="000000"/>
          <w:sz w:val="28"/>
        </w:rPr>
        <w:t>
      Основываясь на оценке кумулятивных данных по безопасности и анализу соотношения польза-риск, держатель регистрационного удостоверения оценивает необходимость внесения изменений в информацию о лекарственном препарате и предложить контекст соответствующих изменений.</w:t>
      </w:r>
    </w:p>
    <w:bookmarkEnd w:id="7827"/>
    <w:bookmarkStart w:name="z8000" w:id="7828"/>
    <w:p>
      <w:pPr>
        <w:spacing w:after="0"/>
        <w:ind w:left="0"/>
        <w:jc w:val="both"/>
      </w:pPr>
      <w:r>
        <w:rPr>
          <w:rFonts w:ascii="Times New Roman"/>
          <w:b w:val="false"/>
          <w:i w:val="false"/>
          <w:color w:val="000000"/>
          <w:sz w:val="28"/>
        </w:rPr>
        <w:t>
      Заключение включает предварительные предложения по оптимизации или дальнейшей оценки соотношения польза-риск с целью их последующего обсуждения с уполномоченным органом. Данные предложения включают меры минимизации риска.</w:t>
      </w:r>
    </w:p>
    <w:bookmarkEnd w:id="7828"/>
    <w:bookmarkStart w:name="z8001" w:id="7829"/>
    <w:p>
      <w:pPr>
        <w:spacing w:after="0"/>
        <w:ind w:left="0"/>
        <w:jc w:val="both"/>
      </w:pPr>
      <w:r>
        <w:rPr>
          <w:rFonts w:ascii="Times New Roman"/>
          <w:b w:val="false"/>
          <w:i w:val="false"/>
          <w:color w:val="000000"/>
          <w:sz w:val="28"/>
        </w:rPr>
        <w:t>
      Для лекарственных препаратов, имеющих план по фармаконадзору и минимизации риска предложения, включаются в план по фармаконадзору и план минимизации риска.</w:t>
      </w:r>
    </w:p>
    <w:bookmarkEnd w:id="7829"/>
    <w:bookmarkStart w:name="z8002" w:id="7830"/>
    <w:p>
      <w:pPr>
        <w:spacing w:after="0"/>
        <w:ind w:left="0"/>
        <w:jc w:val="both"/>
      </w:pPr>
      <w:r>
        <w:rPr>
          <w:rFonts w:ascii="Times New Roman"/>
          <w:b w:val="false"/>
          <w:i w:val="false"/>
          <w:color w:val="000000"/>
          <w:sz w:val="28"/>
        </w:rPr>
        <w:t>
      332. Раздел ПОБ "Приложения к ПОБ" включает следующие приложения:</w:t>
      </w:r>
    </w:p>
    <w:bookmarkEnd w:id="7830"/>
    <w:bookmarkStart w:name="z8003" w:id="7831"/>
    <w:p>
      <w:pPr>
        <w:spacing w:after="0"/>
        <w:ind w:left="0"/>
        <w:jc w:val="both"/>
      </w:pPr>
      <w:r>
        <w:rPr>
          <w:rFonts w:ascii="Times New Roman"/>
          <w:b w:val="false"/>
          <w:i w:val="false"/>
          <w:color w:val="000000"/>
          <w:sz w:val="28"/>
        </w:rPr>
        <w:t>
      1) справочная информация;</w:t>
      </w:r>
    </w:p>
    <w:bookmarkEnd w:id="7831"/>
    <w:bookmarkStart w:name="z8004" w:id="7832"/>
    <w:p>
      <w:pPr>
        <w:spacing w:after="0"/>
        <w:ind w:left="0"/>
        <w:jc w:val="both"/>
      </w:pPr>
      <w:r>
        <w:rPr>
          <w:rFonts w:ascii="Times New Roman"/>
          <w:b w:val="false"/>
          <w:i w:val="false"/>
          <w:color w:val="000000"/>
          <w:sz w:val="28"/>
        </w:rPr>
        <w:t>
      2) кумулятивные обобщающие табличные данные по серьезным нежелательным явлениям, выявленным в ходе клинических исследований (испытаний);</w:t>
      </w:r>
    </w:p>
    <w:bookmarkEnd w:id="7832"/>
    <w:bookmarkStart w:name="z8005" w:id="7833"/>
    <w:p>
      <w:pPr>
        <w:spacing w:after="0"/>
        <w:ind w:left="0"/>
        <w:jc w:val="both"/>
      </w:pPr>
      <w:r>
        <w:rPr>
          <w:rFonts w:ascii="Times New Roman"/>
          <w:b w:val="false"/>
          <w:i w:val="false"/>
          <w:color w:val="000000"/>
          <w:sz w:val="28"/>
        </w:rPr>
        <w:t>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bookmarkEnd w:id="7833"/>
    <w:bookmarkStart w:name="z8006" w:id="7834"/>
    <w:p>
      <w:pPr>
        <w:spacing w:after="0"/>
        <w:ind w:left="0"/>
        <w:jc w:val="both"/>
      </w:pPr>
      <w:r>
        <w:rPr>
          <w:rFonts w:ascii="Times New Roman"/>
          <w:b w:val="false"/>
          <w:i w:val="false"/>
          <w:color w:val="000000"/>
          <w:sz w:val="28"/>
        </w:rPr>
        <w:t>
      4) табличные данные по сигналам;</w:t>
      </w:r>
    </w:p>
    <w:bookmarkEnd w:id="7834"/>
    <w:bookmarkStart w:name="z8007" w:id="7835"/>
    <w:p>
      <w:pPr>
        <w:spacing w:after="0"/>
        <w:ind w:left="0"/>
        <w:jc w:val="both"/>
      </w:pPr>
      <w:r>
        <w:rPr>
          <w:rFonts w:ascii="Times New Roman"/>
          <w:b w:val="false"/>
          <w:i w:val="false"/>
          <w:color w:val="000000"/>
          <w:sz w:val="28"/>
        </w:rPr>
        <w:t>
      5) оценка сигналов, если применимо;</w:t>
      </w:r>
    </w:p>
    <w:bookmarkEnd w:id="7835"/>
    <w:bookmarkStart w:name="z8008" w:id="7836"/>
    <w:p>
      <w:pPr>
        <w:spacing w:after="0"/>
        <w:ind w:left="0"/>
        <w:jc w:val="both"/>
      </w:pPr>
      <w:r>
        <w:rPr>
          <w:rFonts w:ascii="Times New Roman"/>
          <w:b w:val="false"/>
          <w:i w:val="false"/>
          <w:color w:val="000000"/>
          <w:sz w:val="28"/>
        </w:rPr>
        <w:t>
      6) перечень всех пострегистрационных исследований по безопасности.</w:t>
      </w:r>
    </w:p>
    <w:bookmarkEnd w:id="7836"/>
    <w:bookmarkStart w:name="z8009" w:id="7837"/>
    <w:p>
      <w:pPr>
        <w:spacing w:after="0"/>
        <w:ind w:left="0"/>
        <w:jc w:val="left"/>
      </w:pPr>
      <w:r>
        <w:rPr>
          <w:rFonts w:ascii="Times New Roman"/>
          <w:b/>
          <w:i w:val="false"/>
          <w:color w:val="000000"/>
        </w:rPr>
        <w:t xml:space="preserve"> Параграф 6. Система качества ПОБ на уровне держателя регистрационного удостоверения</w:t>
      </w:r>
    </w:p>
    <w:bookmarkEnd w:id="7837"/>
    <w:bookmarkStart w:name="z8010" w:id="7838"/>
    <w:p>
      <w:pPr>
        <w:spacing w:after="0"/>
        <w:ind w:left="0"/>
        <w:jc w:val="both"/>
      </w:pPr>
      <w:r>
        <w:rPr>
          <w:rFonts w:ascii="Times New Roman"/>
          <w:b w:val="false"/>
          <w:i w:val="false"/>
          <w:color w:val="000000"/>
          <w:sz w:val="28"/>
        </w:rPr>
        <w:t>
      333. Держатель регистрационного удостоверения имеет сформированные структуры и процессы для подготовки, контроля качества, обзора и представления ПОБ, включая контроль исполнения в процессе и после их оценки. Данные структуры и процессы описываются в письменных процедурах системы качества держателя регистрационного удостоверения.</w:t>
      </w:r>
    </w:p>
    <w:bookmarkEnd w:id="7838"/>
    <w:bookmarkStart w:name="z8011" w:id="7839"/>
    <w:p>
      <w:pPr>
        <w:spacing w:after="0"/>
        <w:ind w:left="0"/>
        <w:jc w:val="both"/>
      </w:pPr>
      <w:r>
        <w:rPr>
          <w:rFonts w:ascii="Times New Roman"/>
          <w:b w:val="false"/>
          <w:i w:val="false"/>
          <w:color w:val="000000"/>
          <w:sz w:val="28"/>
        </w:rPr>
        <w:t>
      Процессы фармаконадзора включают ряд направлений, оказывающих непосредственное влияние на качество ПОБ (обработка сообщений о нежелательных реакциях, полученных в рамках спонтанного репортирования или клинических исследований; обзор литературы; выявление, валидация и оценка сигнала; дополнительные меры по фармаконадзору и пострегистрационной исследовательской деятельности; процедуры обработки и объединения данных при оценке пользы и риска и иные). Система качества описывает взаимосвязь между процессами, каналы информирования и обязанности по процедурам сбора всей информации для включения в ПОБ. Разрабатываются и внедряются документированные процедуры по контролю качества процессов с целью обеспечения полноты и точности данных, представляемых в ПОБ. Важность интегрированной оценки соотношения польза-риск определяет необходимость обеспечения вклада различных департаментов (отделов) при подготовке ПОБ.</w:t>
      </w:r>
    </w:p>
    <w:bookmarkEnd w:id="7839"/>
    <w:bookmarkStart w:name="z8012" w:id="7840"/>
    <w:p>
      <w:pPr>
        <w:spacing w:after="0"/>
        <w:ind w:left="0"/>
        <w:jc w:val="both"/>
      </w:pPr>
      <w:r>
        <w:rPr>
          <w:rFonts w:ascii="Times New Roman"/>
          <w:b w:val="false"/>
          <w:i w:val="false"/>
          <w:color w:val="000000"/>
          <w:sz w:val="28"/>
        </w:rPr>
        <w:t>
      ПОБ содержит оценку специальных запросов по аспектам профиля безопасности со стороны уполномоченного органа. Держатель регистрационного удостоверения имеет механизм, обеспечивающий надлежащую обработку и ответы на запросы уполномоченного органа.</w:t>
      </w:r>
    </w:p>
    <w:bookmarkEnd w:id="7840"/>
    <w:bookmarkStart w:name="z8013" w:id="7841"/>
    <w:p>
      <w:pPr>
        <w:spacing w:after="0"/>
        <w:ind w:left="0"/>
        <w:jc w:val="both"/>
      </w:pPr>
      <w:r>
        <w:rPr>
          <w:rFonts w:ascii="Times New Roman"/>
          <w:b w:val="false"/>
          <w:i w:val="false"/>
          <w:color w:val="000000"/>
          <w:sz w:val="28"/>
        </w:rPr>
        <w:t>
      Представление обобщающих табличных данных подвергается процедуре верификации баз данных держателя регистрационного удостоверения с целью обеспечения точности и полноты представляемых данных в отношении нежелательных реакций (явлений). Процессы размещения запросов в базе данных, используемые параметры для извлечения данных и контроль качества документируются надлежащим образом.</w:t>
      </w:r>
    </w:p>
    <w:bookmarkEnd w:id="7841"/>
    <w:bookmarkStart w:name="z8014" w:id="7842"/>
    <w:p>
      <w:pPr>
        <w:spacing w:after="0"/>
        <w:ind w:left="0"/>
        <w:jc w:val="both"/>
      </w:pPr>
      <w:r>
        <w:rPr>
          <w:rFonts w:ascii="Times New Roman"/>
          <w:b w:val="false"/>
          <w:i w:val="false"/>
          <w:color w:val="000000"/>
          <w:sz w:val="28"/>
        </w:rPr>
        <w:t>
      Надлежащая система качества держателя регистрационного удостоверения исключает риск невыполнения держателем регистрационного удостоверения требований законодательства, таких как:</w:t>
      </w:r>
    </w:p>
    <w:bookmarkEnd w:id="7842"/>
    <w:bookmarkStart w:name="z8015" w:id="7843"/>
    <w:p>
      <w:pPr>
        <w:spacing w:after="0"/>
        <w:ind w:left="0"/>
        <w:jc w:val="both"/>
      </w:pPr>
      <w:r>
        <w:rPr>
          <w:rFonts w:ascii="Times New Roman"/>
          <w:b w:val="false"/>
          <w:i w:val="false"/>
          <w:color w:val="000000"/>
          <w:sz w:val="28"/>
        </w:rPr>
        <w:t>
      1) непредставление отчета: полное непредставление ПОБ, нарушение графика или сроков подачи ПОБ (без предварительного согласования с уполномоченным органом);</w:t>
      </w:r>
    </w:p>
    <w:bookmarkEnd w:id="7843"/>
    <w:bookmarkStart w:name="z8016" w:id="7844"/>
    <w:p>
      <w:pPr>
        <w:spacing w:after="0"/>
        <w:ind w:left="0"/>
        <w:jc w:val="both"/>
      </w:pPr>
      <w:r>
        <w:rPr>
          <w:rFonts w:ascii="Times New Roman"/>
          <w:b w:val="false"/>
          <w:i w:val="false"/>
          <w:color w:val="000000"/>
          <w:sz w:val="28"/>
        </w:rPr>
        <w:t>
      2) необоснованное непредставление запрошенной информации;</w:t>
      </w:r>
    </w:p>
    <w:bookmarkEnd w:id="7844"/>
    <w:bookmarkStart w:name="z8017" w:id="7845"/>
    <w:p>
      <w:pPr>
        <w:spacing w:after="0"/>
        <w:ind w:left="0"/>
        <w:jc w:val="both"/>
      </w:pPr>
      <w:r>
        <w:rPr>
          <w:rFonts w:ascii="Times New Roman"/>
          <w:b w:val="false"/>
          <w:i w:val="false"/>
          <w:color w:val="000000"/>
          <w:sz w:val="28"/>
        </w:rPr>
        <w:t>
      3) низкое качество отчетов (плохое документирование либо недостаточная информация или оценка представлена по новой информации по безопасности, сигналы по безопасности, оценка риска, оценка пользы и интегрированный анализ соотношения польза-риск, отсутствие указание о неправильном применении, отсутствие стандартной терминологии, необоснованное исключение случаев, непредставление информации по факторам риска);</w:t>
      </w:r>
    </w:p>
    <w:bookmarkEnd w:id="7845"/>
    <w:bookmarkStart w:name="z8018" w:id="7846"/>
    <w:p>
      <w:pPr>
        <w:spacing w:after="0"/>
        <w:ind w:left="0"/>
        <w:jc w:val="both"/>
      </w:pPr>
      <w:r>
        <w:rPr>
          <w:rFonts w:ascii="Times New Roman"/>
          <w:b w:val="false"/>
          <w:i w:val="false"/>
          <w:color w:val="000000"/>
          <w:sz w:val="28"/>
        </w:rPr>
        <w:t>
      4) представление ПОБ без отражения ранее полученных запросов от уполномоченной организации.</w:t>
      </w:r>
    </w:p>
    <w:bookmarkEnd w:id="7846"/>
    <w:bookmarkStart w:name="z8019" w:id="7847"/>
    <w:p>
      <w:pPr>
        <w:spacing w:after="0"/>
        <w:ind w:left="0"/>
        <w:jc w:val="both"/>
      </w:pPr>
      <w:r>
        <w:rPr>
          <w:rFonts w:ascii="Times New Roman"/>
          <w:b w:val="false"/>
          <w:i w:val="false"/>
          <w:color w:val="000000"/>
          <w:sz w:val="28"/>
        </w:rPr>
        <w:t>
      Все значимые отклонения от процедуры подготовки и представления ПОБ документируются и принимаются соответствующие корректирующие и предупреждающие мероприятия. Данная документация доступна в любое время.</w:t>
      </w:r>
    </w:p>
    <w:bookmarkEnd w:id="7847"/>
    <w:bookmarkStart w:name="z8020" w:id="7848"/>
    <w:p>
      <w:pPr>
        <w:spacing w:after="0"/>
        <w:ind w:left="0"/>
        <w:jc w:val="both"/>
      </w:pPr>
      <w:r>
        <w:rPr>
          <w:rFonts w:ascii="Times New Roman"/>
          <w:b w:val="false"/>
          <w:i w:val="false"/>
          <w:color w:val="000000"/>
          <w:sz w:val="28"/>
        </w:rPr>
        <w:t>
      В случае делегирования обязанностей по подготовке ПОБ третьим сторонам, держатель регистрационного удостоверения обеспечивает наличие у третьей стороны надлежащей системы качества, соответствующей требованиям законодательства.</w:t>
      </w:r>
    </w:p>
    <w:bookmarkEnd w:id="7848"/>
    <w:bookmarkStart w:name="z8021" w:id="7849"/>
    <w:p>
      <w:pPr>
        <w:spacing w:after="0"/>
        <w:ind w:left="0"/>
        <w:jc w:val="left"/>
      </w:pPr>
      <w:r>
        <w:rPr>
          <w:rFonts w:ascii="Times New Roman"/>
          <w:b/>
          <w:i w:val="false"/>
          <w:color w:val="000000"/>
        </w:rPr>
        <w:t xml:space="preserve"> Параграф 7. Обучение персонала процедурам по ПОБ</w:t>
      </w:r>
    </w:p>
    <w:bookmarkEnd w:id="7849"/>
    <w:bookmarkStart w:name="z8022" w:id="7850"/>
    <w:p>
      <w:pPr>
        <w:spacing w:after="0"/>
        <w:ind w:left="0"/>
        <w:jc w:val="both"/>
      </w:pPr>
      <w:r>
        <w:rPr>
          <w:rFonts w:ascii="Times New Roman"/>
          <w:b w:val="false"/>
          <w:i w:val="false"/>
          <w:color w:val="000000"/>
          <w:sz w:val="28"/>
        </w:rPr>
        <w:t>
      334. Лицо уполномоченное по фармаконадзору обеспечивает надлежащей квалификацией, опытом и обучением персонала по фармаконадзору, оценкой медицинской информации и контроля качества, задействованных в процедурах подготовки, обзора, контроля качества, оценки и представления ПОБ. При необходимости выполняется необходимое обучение по различным составляющим процессам, аспектам знаний и навыкам. Обучения включают аспекты законодательства, руководств, научную оценку данных, письменные процедуры по аспектам подготовки ПОБ. Документирование процесса обучения подтверждать его прохождение обучения до начала выполнения соответствующих функций по ПОБ.</w:t>
      </w:r>
    </w:p>
    <w:bookmarkEnd w:id="7850"/>
    <w:bookmarkStart w:name="z8023" w:id="7851"/>
    <w:p>
      <w:pPr>
        <w:spacing w:after="0"/>
        <w:ind w:left="0"/>
        <w:jc w:val="left"/>
      </w:pPr>
      <w:r>
        <w:rPr>
          <w:rFonts w:ascii="Times New Roman"/>
          <w:b/>
          <w:i w:val="false"/>
          <w:color w:val="000000"/>
        </w:rPr>
        <w:t xml:space="preserve"> Параграф 8. Порядок представления ПОБ</w:t>
      </w:r>
    </w:p>
    <w:bookmarkEnd w:id="7851"/>
    <w:bookmarkStart w:name="z8024" w:id="7852"/>
    <w:p>
      <w:pPr>
        <w:spacing w:after="0"/>
        <w:ind w:left="0"/>
        <w:jc w:val="both"/>
      </w:pPr>
      <w:r>
        <w:rPr>
          <w:rFonts w:ascii="Times New Roman"/>
          <w:b w:val="false"/>
          <w:i w:val="false"/>
          <w:color w:val="000000"/>
          <w:sz w:val="28"/>
        </w:rPr>
        <w:t xml:space="preserve">
      335. Стандартный порядок представления ПОБ. Периодичность и сроки представления периодических отчетов по безопасности лекарственных препаратов определяется согласно перечню, утверждаемому уполномоченным органом. </w:t>
      </w:r>
    </w:p>
    <w:bookmarkEnd w:id="7852"/>
    <w:bookmarkStart w:name="z8025" w:id="7853"/>
    <w:p>
      <w:pPr>
        <w:spacing w:after="0"/>
        <w:ind w:left="0"/>
        <w:jc w:val="both"/>
      </w:pPr>
      <w:r>
        <w:rPr>
          <w:rFonts w:ascii="Times New Roman"/>
          <w:b w:val="false"/>
          <w:i w:val="false"/>
          <w:color w:val="000000"/>
          <w:sz w:val="28"/>
        </w:rPr>
        <w:t>
      Для лекарственных препаратов, международное непатентованное наименование или группировочное наименование которых не включены в указанный перечень, периодичность представления ПОБ составляет:</w:t>
      </w:r>
    </w:p>
    <w:bookmarkEnd w:id="7853"/>
    <w:bookmarkStart w:name="z8026" w:id="7854"/>
    <w:p>
      <w:pPr>
        <w:spacing w:after="0"/>
        <w:ind w:left="0"/>
        <w:jc w:val="both"/>
      </w:pPr>
      <w:r>
        <w:rPr>
          <w:rFonts w:ascii="Times New Roman"/>
          <w:b w:val="false"/>
          <w:i w:val="false"/>
          <w:color w:val="000000"/>
          <w:sz w:val="28"/>
        </w:rPr>
        <w:t>
      1) каждые 6 месяцев от международной даты регистрации на протяжении первых 2 лет;</w:t>
      </w:r>
    </w:p>
    <w:bookmarkEnd w:id="7854"/>
    <w:bookmarkStart w:name="z8027" w:id="7855"/>
    <w:p>
      <w:pPr>
        <w:spacing w:after="0"/>
        <w:ind w:left="0"/>
        <w:jc w:val="both"/>
      </w:pPr>
      <w:r>
        <w:rPr>
          <w:rFonts w:ascii="Times New Roman"/>
          <w:b w:val="false"/>
          <w:i w:val="false"/>
          <w:color w:val="000000"/>
          <w:sz w:val="28"/>
        </w:rPr>
        <w:t>
      2) ежегодно на протяжении последующих 2 лет;</w:t>
      </w:r>
    </w:p>
    <w:bookmarkEnd w:id="7855"/>
    <w:bookmarkStart w:name="z8028" w:id="7856"/>
    <w:p>
      <w:pPr>
        <w:spacing w:after="0"/>
        <w:ind w:left="0"/>
        <w:jc w:val="both"/>
      </w:pPr>
      <w:r>
        <w:rPr>
          <w:rFonts w:ascii="Times New Roman"/>
          <w:b w:val="false"/>
          <w:i w:val="false"/>
          <w:color w:val="000000"/>
          <w:sz w:val="28"/>
        </w:rPr>
        <w:t>
      3) далее - каждые 3 года.</w:t>
      </w:r>
    </w:p>
    <w:bookmarkEnd w:id="7856"/>
    <w:bookmarkStart w:name="z8029" w:id="7857"/>
    <w:p>
      <w:pPr>
        <w:spacing w:after="0"/>
        <w:ind w:left="0"/>
        <w:jc w:val="both"/>
      </w:pPr>
      <w:r>
        <w:rPr>
          <w:rFonts w:ascii="Times New Roman"/>
          <w:b w:val="false"/>
          <w:i w:val="false"/>
          <w:color w:val="000000"/>
          <w:sz w:val="28"/>
        </w:rPr>
        <w:t>
      Срок подачи ПОБ от даты окончания сбора данных составляет не более 90 календарных дней.</w:t>
      </w:r>
    </w:p>
    <w:bookmarkEnd w:id="7857"/>
    <w:bookmarkStart w:name="z8030" w:id="7858"/>
    <w:p>
      <w:pPr>
        <w:spacing w:after="0"/>
        <w:ind w:left="0"/>
        <w:jc w:val="both"/>
      </w:pPr>
      <w:r>
        <w:rPr>
          <w:rFonts w:ascii="Times New Roman"/>
          <w:b w:val="false"/>
          <w:i w:val="false"/>
          <w:color w:val="000000"/>
          <w:sz w:val="28"/>
        </w:rPr>
        <w:t>
      336. Внеочередная подача ПОБ.</w:t>
      </w:r>
    </w:p>
    <w:bookmarkEnd w:id="7858"/>
    <w:bookmarkStart w:name="z8031" w:id="7859"/>
    <w:p>
      <w:pPr>
        <w:spacing w:after="0"/>
        <w:ind w:left="0"/>
        <w:jc w:val="both"/>
      </w:pPr>
      <w:r>
        <w:rPr>
          <w:rFonts w:ascii="Times New Roman"/>
          <w:b w:val="false"/>
          <w:i w:val="false"/>
          <w:color w:val="000000"/>
          <w:sz w:val="28"/>
        </w:rPr>
        <w:t xml:space="preserve">
      ПОБ подлежит подаче незамедлительно, в срок до 60 календарных дней, от даты получения письменного запроса от уполномоченной организации. </w:t>
      </w:r>
    </w:p>
    <w:bookmarkEnd w:id="7859"/>
    <w:bookmarkStart w:name="z8032" w:id="7860"/>
    <w:p>
      <w:pPr>
        <w:spacing w:after="0"/>
        <w:ind w:left="0"/>
        <w:jc w:val="both"/>
      </w:pPr>
      <w:r>
        <w:rPr>
          <w:rFonts w:ascii="Times New Roman"/>
          <w:b w:val="false"/>
          <w:i w:val="false"/>
          <w:color w:val="000000"/>
          <w:sz w:val="28"/>
        </w:rPr>
        <w:t>
      337. Форма подачи ПОБ.</w:t>
      </w:r>
    </w:p>
    <w:bookmarkEnd w:id="7860"/>
    <w:bookmarkStart w:name="z8033" w:id="7861"/>
    <w:p>
      <w:pPr>
        <w:spacing w:after="0"/>
        <w:ind w:left="0"/>
        <w:jc w:val="both"/>
      </w:pPr>
      <w:r>
        <w:rPr>
          <w:rFonts w:ascii="Times New Roman"/>
          <w:b w:val="false"/>
          <w:i w:val="false"/>
          <w:color w:val="000000"/>
          <w:sz w:val="28"/>
        </w:rPr>
        <w:t>
      ПОБ подлежат подаче в электронном виде с возможностью текстового поиска на русском языке или английском языке с обязательным переводом на русский язык следующих разделов: краткого изложения основного содержания, интегрированного анализа соотношения польза-риск по одобренным показаниям и заключения. По запросу уполномоченного органа держатель регистрационного удостоверения обязан в течении 30 календарных дней представить перевод на русский язык других разделов ПОБ.</w:t>
      </w:r>
    </w:p>
    <w:bookmarkEnd w:id="7861"/>
    <w:bookmarkStart w:name="z8034" w:id="7862"/>
    <w:p>
      <w:pPr>
        <w:spacing w:after="0"/>
        <w:ind w:left="0"/>
        <w:jc w:val="left"/>
      </w:pPr>
      <w:r>
        <w:rPr>
          <w:rFonts w:ascii="Times New Roman"/>
          <w:b/>
          <w:i w:val="false"/>
          <w:color w:val="000000"/>
        </w:rPr>
        <w:t xml:space="preserve"> Параграф 9. Процесс оценки ПОБ</w:t>
      </w:r>
    </w:p>
    <w:bookmarkEnd w:id="7862"/>
    <w:bookmarkStart w:name="z8035" w:id="7863"/>
    <w:p>
      <w:pPr>
        <w:spacing w:after="0"/>
        <w:ind w:left="0"/>
        <w:jc w:val="both"/>
      </w:pPr>
      <w:r>
        <w:rPr>
          <w:rFonts w:ascii="Times New Roman"/>
          <w:b w:val="false"/>
          <w:i w:val="false"/>
          <w:color w:val="000000"/>
          <w:sz w:val="28"/>
        </w:rPr>
        <w:t>
      338. Уполномоченная организация обеспечивает выполнение оценки периодических отчетов по безопасности с целью определения соответствия требованиям законодательства, а также возможных изменений профиля безопасности лекарственного препарата и влияния данных изменений на оценку соотношения польза-риск лекарственного препарата.</w:t>
      </w:r>
    </w:p>
    <w:bookmarkEnd w:id="7863"/>
    <w:bookmarkStart w:name="z8036" w:id="7864"/>
    <w:p>
      <w:pPr>
        <w:spacing w:after="0"/>
        <w:ind w:left="0"/>
        <w:jc w:val="left"/>
      </w:pPr>
      <w:r>
        <w:rPr>
          <w:rFonts w:ascii="Times New Roman"/>
          <w:b/>
          <w:i w:val="false"/>
          <w:color w:val="000000"/>
        </w:rPr>
        <w:t xml:space="preserve"> Раздел V. Управление сигналом</w:t>
      </w:r>
    </w:p>
    <w:bookmarkEnd w:id="7864"/>
    <w:bookmarkStart w:name="z8037" w:id="7865"/>
    <w:p>
      <w:pPr>
        <w:spacing w:after="0"/>
        <w:ind w:left="0"/>
        <w:jc w:val="left"/>
      </w:pPr>
      <w:r>
        <w:rPr>
          <w:rFonts w:ascii="Times New Roman"/>
          <w:b/>
          <w:i w:val="false"/>
          <w:color w:val="000000"/>
        </w:rPr>
        <w:t xml:space="preserve"> Глава 40 Структуры и процессы</w:t>
      </w:r>
    </w:p>
    <w:bookmarkEnd w:id="7865"/>
    <w:bookmarkStart w:name="z8038" w:id="7866"/>
    <w:p>
      <w:pPr>
        <w:spacing w:after="0"/>
        <w:ind w:left="0"/>
        <w:jc w:val="left"/>
      </w:pPr>
      <w:r>
        <w:rPr>
          <w:rFonts w:ascii="Times New Roman"/>
          <w:b/>
          <w:i w:val="false"/>
          <w:color w:val="000000"/>
        </w:rPr>
        <w:t xml:space="preserve"> Параграф 1. Источники получения сигналов и их обработка</w:t>
      </w:r>
    </w:p>
    <w:bookmarkEnd w:id="7866"/>
    <w:bookmarkStart w:name="z8039" w:id="7867"/>
    <w:p>
      <w:pPr>
        <w:spacing w:after="0"/>
        <w:ind w:left="0"/>
        <w:jc w:val="both"/>
      </w:pPr>
      <w:r>
        <w:rPr>
          <w:rFonts w:ascii="Times New Roman"/>
          <w:b w:val="false"/>
          <w:i w:val="false"/>
          <w:color w:val="000000"/>
          <w:sz w:val="28"/>
        </w:rPr>
        <w:t>
      339. Источники получения сигналов включают все данные, получаемые при применении лекарственных препаратов, включая доклинические, клинические данные, данные методов фармаконадзора и системы контроля качества. Данные включают сведения, получаемые системой спонтанного репортирования, системами активного мониторинга, в результате проведения неинтервенционных исследований, клинических исследований и из других источников информации.</w:t>
      </w:r>
    </w:p>
    <w:bookmarkEnd w:id="7867"/>
    <w:bookmarkStart w:name="z8040" w:id="7868"/>
    <w:p>
      <w:pPr>
        <w:spacing w:after="0"/>
        <w:ind w:left="0"/>
        <w:jc w:val="both"/>
      </w:pPr>
      <w:r>
        <w:rPr>
          <w:rFonts w:ascii="Times New Roman"/>
          <w:b w:val="false"/>
          <w:i w:val="false"/>
          <w:color w:val="000000"/>
          <w:sz w:val="28"/>
        </w:rPr>
        <w:t>
      340. Сигналы из спонтанных сообщений обнаруживаются в индивидуальных сообщениях о нежелательных реакциях, включенных в базы данных о нежелательных реакциях, статьях из научной литературы, периодических отчетах по безопасности или другой информации, представленной держателями регистрационных удостоверений в рамках нормативных правовых процедур (изменения и дополнения, продление, обязательства по пострегистрационным исследованиям) или постоянно выполняемого мониторинга соотношения польза-риск лекарственных препаратов.</w:t>
      </w:r>
    </w:p>
    <w:bookmarkEnd w:id="7868"/>
    <w:bookmarkStart w:name="z8041" w:id="7869"/>
    <w:p>
      <w:pPr>
        <w:spacing w:after="0"/>
        <w:ind w:left="0"/>
        <w:jc w:val="both"/>
      </w:pPr>
      <w:r>
        <w:rPr>
          <w:rFonts w:ascii="Times New Roman"/>
          <w:b w:val="false"/>
          <w:i w:val="false"/>
          <w:color w:val="000000"/>
          <w:sz w:val="28"/>
        </w:rPr>
        <w:t>
      341. Сигналы выявляются при проведении различных видов исследований (испытаний), включая доклинические, интервенционные и неинтервенционные исследования, систематические обзоры, мета-анализы. Различные виды активного мониторинга помогают в выявлении сигналов, а также стимулируют процесс репортирования специалистами определенных типов нежелательных реакций.</w:t>
      </w:r>
    </w:p>
    <w:bookmarkEnd w:id="7869"/>
    <w:bookmarkStart w:name="z8042" w:id="7870"/>
    <w:p>
      <w:pPr>
        <w:spacing w:after="0"/>
        <w:ind w:left="0"/>
        <w:jc w:val="both"/>
      </w:pPr>
      <w:r>
        <w:rPr>
          <w:rFonts w:ascii="Times New Roman"/>
          <w:b w:val="false"/>
          <w:i w:val="false"/>
          <w:color w:val="000000"/>
          <w:sz w:val="28"/>
        </w:rPr>
        <w:t>
      342. Другие источники информации включают Интернет, цифровые средства (общедоступные веб-сайты, социальные сети, блоги) и другие системы, через которые пациенты и потребители имеют возможность сообщить о развитии нежелательных реакций на лекарственные препараты.</w:t>
      </w:r>
    </w:p>
    <w:bookmarkEnd w:id="7870"/>
    <w:bookmarkStart w:name="z8043" w:id="7871"/>
    <w:p>
      <w:pPr>
        <w:spacing w:after="0"/>
        <w:ind w:left="0"/>
        <w:jc w:val="left"/>
      </w:pPr>
      <w:r>
        <w:rPr>
          <w:rFonts w:ascii="Times New Roman"/>
          <w:b/>
          <w:i w:val="false"/>
          <w:color w:val="000000"/>
        </w:rPr>
        <w:t xml:space="preserve"> Параграф 2. Методология обработки сигналов</w:t>
      </w:r>
    </w:p>
    <w:bookmarkEnd w:id="7871"/>
    <w:bookmarkStart w:name="z8044" w:id="7872"/>
    <w:p>
      <w:pPr>
        <w:spacing w:after="0"/>
        <w:ind w:left="0"/>
        <w:jc w:val="both"/>
      </w:pPr>
      <w:r>
        <w:rPr>
          <w:rFonts w:ascii="Times New Roman"/>
          <w:b w:val="false"/>
          <w:i w:val="false"/>
          <w:color w:val="000000"/>
          <w:sz w:val="28"/>
        </w:rPr>
        <w:t xml:space="preserve">
      343. Обнаружение сигналов придерживается структурированной и признанной методологии, варьирующей в зависимости от вида лекарственного препарата, по которому выполняется процедура. </w:t>
      </w:r>
    </w:p>
    <w:bookmarkEnd w:id="7872"/>
    <w:bookmarkStart w:name="z8045" w:id="7873"/>
    <w:p>
      <w:pPr>
        <w:spacing w:after="0"/>
        <w:ind w:left="0"/>
        <w:jc w:val="both"/>
      </w:pPr>
      <w:r>
        <w:rPr>
          <w:rFonts w:ascii="Times New Roman"/>
          <w:b w:val="false"/>
          <w:i w:val="false"/>
          <w:color w:val="000000"/>
          <w:sz w:val="28"/>
        </w:rPr>
        <w:t>
      344. С целью оценки доказательной основы, подтверждающей поступивший сигнал, применяется структурированная и признанная методология, в которой принимается во внимание клиническая значимость, степень достоверности взаимосвязи, согласованность данных, взаимосвязь степени воздействия и реакции, причинно-следственная связь, биологическая правдоподобность, экспериментальные результаты, возможные сходные по характеру явления данные.</w:t>
      </w:r>
    </w:p>
    <w:bookmarkEnd w:id="7873"/>
    <w:bookmarkStart w:name="z8046" w:id="7874"/>
    <w:p>
      <w:pPr>
        <w:spacing w:after="0"/>
        <w:ind w:left="0"/>
        <w:jc w:val="both"/>
      </w:pPr>
      <w:r>
        <w:rPr>
          <w:rFonts w:ascii="Times New Roman"/>
          <w:b w:val="false"/>
          <w:i w:val="false"/>
          <w:color w:val="000000"/>
          <w:sz w:val="28"/>
        </w:rPr>
        <w:t>
      345. При определении приоритетности сигналов учитывают различные факторы: новизну выявленной взаимосвязи или лекарственного препарата, факторы, имеющие отношение к значимости взаимосвязи, серьезности соответствующей реакции и факторы, имеющие отношение к документированию сообщения.</w:t>
      </w:r>
    </w:p>
    <w:bookmarkEnd w:id="7874"/>
    <w:bookmarkStart w:name="z8047" w:id="7875"/>
    <w:p>
      <w:pPr>
        <w:spacing w:after="0"/>
        <w:ind w:left="0"/>
        <w:jc w:val="left"/>
      </w:pPr>
      <w:r>
        <w:rPr>
          <w:rFonts w:ascii="Times New Roman"/>
          <w:b/>
          <w:i w:val="false"/>
          <w:color w:val="000000"/>
        </w:rPr>
        <w:t xml:space="preserve"> Параграф 3. Процесс обработки сигналов</w:t>
      </w:r>
    </w:p>
    <w:bookmarkEnd w:id="7875"/>
    <w:bookmarkStart w:name="z8048" w:id="7876"/>
    <w:p>
      <w:pPr>
        <w:spacing w:after="0"/>
        <w:ind w:left="0"/>
        <w:jc w:val="both"/>
      </w:pPr>
      <w:r>
        <w:rPr>
          <w:rFonts w:ascii="Times New Roman"/>
          <w:b w:val="false"/>
          <w:i w:val="false"/>
          <w:color w:val="000000"/>
          <w:sz w:val="28"/>
        </w:rPr>
        <w:t>
      346. Процесс обработки сигналов включает все стадии от выявления сигнала до выработки рекомендаций. Стандарт выполнения обработки сигналов имеет отношение ко всем заинтересованным сторонам, участвующим в контроле безопасности зарегистрированных лекарственных препаратов.</w:t>
      </w:r>
    </w:p>
    <w:bookmarkEnd w:id="7876"/>
    <w:bookmarkStart w:name="z8049" w:id="7877"/>
    <w:p>
      <w:pPr>
        <w:spacing w:after="0"/>
        <w:ind w:left="0"/>
        <w:jc w:val="both"/>
      </w:pPr>
      <w:r>
        <w:rPr>
          <w:rFonts w:ascii="Times New Roman"/>
          <w:b w:val="false"/>
          <w:i w:val="false"/>
          <w:color w:val="000000"/>
          <w:sz w:val="28"/>
        </w:rPr>
        <w:t>
      347. Процесс обработки сигналов включает следующие стадии:</w:t>
      </w:r>
    </w:p>
    <w:bookmarkEnd w:id="7877"/>
    <w:bookmarkStart w:name="z8050" w:id="7878"/>
    <w:p>
      <w:pPr>
        <w:spacing w:after="0"/>
        <w:ind w:left="0"/>
        <w:jc w:val="both"/>
      </w:pPr>
      <w:r>
        <w:rPr>
          <w:rFonts w:ascii="Times New Roman"/>
          <w:b w:val="false"/>
          <w:i w:val="false"/>
          <w:color w:val="000000"/>
          <w:sz w:val="28"/>
        </w:rPr>
        <w:t>
      1) выявление сигнала;</w:t>
      </w:r>
    </w:p>
    <w:bookmarkEnd w:id="7878"/>
    <w:bookmarkStart w:name="z8051" w:id="7879"/>
    <w:p>
      <w:pPr>
        <w:spacing w:after="0"/>
        <w:ind w:left="0"/>
        <w:jc w:val="both"/>
      </w:pPr>
      <w:r>
        <w:rPr>
          <w:rFonts w:ascii="Times New Roman"/>
          <w:b w:val="false"/>
          <w:i w:val="false"/>
          <w:color w:val="000000"/>
          <w:sz w:val="28"/>
        </w:rPr>
        <w:t>
      2) валидация сигнала;</w:t>
      </w:r>
    </w:p>
    <w:bookmarkEnd w:id="7879"/>
    <w:bookmarkStart w:name="z8052" w:id="7880"/>
    <w:p>
      <w:pPr>
        <w:spacing w:after="0"/>
        <w:ind w:left="0"/>
        <w:jc w:val="both"/>
      </w:pPr>
      <w:r>
        <w:rPr>
          <w:rFonts w:ascii="Times New Roman"/>
          <w:b w:val="false"/>
          <w:i w:val="false"/>
          <w:color w:val="000000"/>
          <w:sz w:val="28"/>
        </w:rPr>
        <w:t>
      3) анализ и приоритетность сигнала;</w:t>
      </w:r>
    </w:p>
    <w:bookmarkEnd w:id="7880"/>
    <w:bookmarkStart w:name="z8053" w:id="7881"/>
    <w:p>
      <w:pPr>
        <w:spacing w:after="0"/>
        <w:ind w:left="0"/>
        <w:jc w:val="both"/>
      </w:pPr>
      <w:r>
        <w:rPr>
          <w:rFonts w:ascii="Times New Roman"/>
          <w:b w:val="false"/>
          <w:i w:val="false"/>
          <w:color w:val="000000"/>
          <w:sz w:val="28"/>
        </w:rPr>
        <w:t>
      4) оценка сигнала;</w:t>
      </w:r>
    </w:p>
    <w:bookmarkEnd w:id="7881"/>
    <w:bookmarkStart w:name="z8054" w:id="7882"/>
    <w:p>
      <w:pPr>
        <w:spacing w:after="0"/>
        <w:ind w:left="0"/>
        <w:jc w:val="both"/>
      </w:pPr>
      <w:r>
        <w:rPr>
          <w:rFonts w:ascii="Times New Roman"/>
          <w:b w:val="false"/>
          <w:i w:val="false"/>
          <w:color w:val="000000"/>
          <w:sz w:val="28"/>
        </w:rPr>
        <w:t>
      5) рекомендации по действиям;</w:t>
      </w:r>
    </w:p>
    <w:bookmarkEnd w:id="7882"/>
    <w:bookmarkStart w:name="z8055" w:id="7883"/>
    <w:p>
      <w:pPr>
        <w:spacing w:after="0"/>
        <w:ind w:left="0"/>
        <w:jc w:val="both"/>
      </w:pPr>
      <w:r>
        <w:rPr>
          <w:rFonts w:ascii="Times New Roman"/>
          <w:b w:val="false"/>
          <w:i w:val="false"/>
          <w:color w:val="000000"/>
          <w:sz w:val="28"/>
        </w:rPr>
        <w:t>
      6) обмен информацией.</w:t>
      </w:r>
    </w:p>
    <w:bookmarkEnd w:id="7883"/>
    <w:bookmarkStart w:name="z8056" w:id="7884"/>
    <w:p>
      <w:pPr>
        <w:spacing w:after="0"/>
        <w:ind w:left="0"/>
        <w:jc w:val="both"/>
      </w:pPr>
      <w:r>
        <w:rPr>
          <w:rFonts w:ascii="Times New Roman"/>
          <w:b w:val="false"/>
          <w:i w:val="false"/>
          <w:color w:val="000000"/>
          <w:sz w:val="28"/>
        </w:rPr>
        <w:t xml:space="preserve">
      348. В связи с широким рядом доступности источников информации, используемых для обнаружения сигналов, обработка сигналов по стадиям нарушается в случаях: </w:t>
      </w:r>
    </w:p>
    <w:bookmarkEnd w:id="7884"/>
    <w:bookmarkStart w:name="z8057" w:id="7885"/>
    <w:p>
      <w:pPr>
        <w:spacing w:after="0"/>
        <w:ind w:left="0"/>
        <w:jc w:val="both"/>
      </w:pPr>
      <w:r>
        <w:rPr>
          <w:rFonts w:ascii="Times New Roman"/>
          <w:b w:val="false"/>
          <w:i w:val="false"/>
          <w:color w:val="000000"/>
          <w:sz w:val="28"/>
        </w:rPr>
        <w:t>
      1) когда обнаружение сигналов в основном базируется на обзоре индивидуальных сообщений о нежелательных реакциях, процедура включает верификацию и предварительную приоритизацию обнаруженного сигнала;</w:t>
      </w:r>
    </w:p>
    <w:bookmarkEnd w:id="7885"/>
    <w:bookmarkStart w:name="z8058" w:id="7886"/>
    <w:p>
      <w:pPr>
        <w:spacing w:after="0"/>
        <w:ind w:left="0"/>
        <w:jc w:val="both"/>
      </w:pPr>
      <w:r>
        <w:rPr>
          <w:rFonts w:ascii="Times New Roman"/>
          <w:b w:val="false"/>
          <w:i w:val="false"/>
          <w:color w:val="000000"/>
          <w:sz w:val="28"/>
        </w:rPr>
        <w:t>
      2) если сигнал выявлен по объединенным результатам исследования и невозможно при этом оценить каждое индивидуальное сообщение, то в результате валидации потребуется сбор дополнительных данных;</w:t>
      </w:r>
    </w:p>
    <w:bookmarkEnd w:id="7886"/>
    <w:bookmarkStart w:name="z8059" w:id="7887"/>
    <w:p>
      <w:pPr>
        <w:spacing w:after="0"/>
        <w:ind w:left="0"/>
        <w:jc w:val="both"/>
      </w:pPr>
      <w:r>
        <w:rPr>
          <w:rFonts w:ascii="Times New Roman"/>
          <w:b w:val="false"/>
          <w:i w:val="false"/>
          <w:color w:val="000000"/>
          <w:sz w:val="28"/>
        </w:rPr>
        <w:t>
      3) если рекомендации по действиям и обмен информацией являются компонентами, которые учитываются на каждой стадии процесса.</w:t>
      </w:r>
    </w:p>
    <w:bookmarkEnd w:id="7887"/>
    <w:bookmarkStart w:name="z8060" w:id="7888"/>
    <w:p>
      <w:pPr>
        <w:spacing w:after="0"/>
        <w:ind w:left="0"/>
        <w:jc w:val="left"/>
      </w:pPr>
      <w:r>
        <w:rPr>
          <w:rFonts w:ascii="Times New Roman"/>
          <w:b/>
          <w:i w:val="false"/>
          <w:color w:val="000000"/>
        </w:rPr>
        <w:t xml:space="preserve"> Параграф 4. Выявление сигнала</w:t>
      </w:r>
    </w:p>
    <w:bookmarkEnd w:id="7888"/>
    <w:bookmarkStart w:name="z8061" w:id="7889"/>
    <w:p>
      <w:pPr>
        <w:spacing w:after="0"/>
        <w:ind w:left="0"/>
        <w:jc w:val="both"/>
      </w:pPr>
      <w:r>
        <w:rPr>
          <w:rFonts w:ascii="Times New Roman"/>
          <w:b w:val="false"/>
          <w:i w:val="false"/>
          <w:color w:val="000000"/>
          <w:sz w:val="28"/>
        </w:rPr>
        <w:t>
      349. Ко всем методам выявления сигнала применяются следующие требования:</w:t>
      </w:r>
    </w:p>
    <w:bookmarkEnd w:id="7889"/>
    <w:bookmarkStart w:name="z8062" w:id="7890"/>
    <w:p>
      <w:pPr>
        <w:spacing w:after="0"/>
        <w:ind w:left="0"/>
        <w:jc w:val="both"/>
      </w:pPr>
      <w:r>
        <w:rPr>
          <w:rFonts w:ascii="Times New Roman"/>
          <w:b w:val="false"/>
          <w:i w:val="false"/>
          <w:color w:val="000000"/>
          <w:sz w:val="28"/>
        </w:rPr>
        <w:t>
      1) используемый метод соответствует объему данных (использование сложных статистических методов не подходить для небольшого объема данных);</w:t>
      </w:r>
    </w:p>
    <w:bookmarkEnd w:id="7890"/>
    <w:bookmarkStart w:name="z8063" w:id="7891"/>
    <w:p>
      <w:pPr>
        <w:spacing w:after="0"/>
        <w:ind w:left="0"/>
        <w:jc w:val="both"/>
      </w:pPr>
      <w:r>
        <w:rPr>
          <w:rFonts w:ascii="Times New Roman"/>
          <w:b w:val="false"/>
          <w:i w:val="false"/>
          <w:color w:val="000000"/>
          <w:sz w:val="28"/>
        </w:rPr>
        <w:t>
      2) необходимо учитывать данные изо всех соответствующих источников;</w:t>
      </w:r>
    </w:p>
    <w:bookmarkEnd w:id="7891"/>
    <w:bookmarkStart w:name="z8064" w:id="7892"/>
    <w:p>
      <w:pPr>
        <w:spacing w:after="0"/>
        <w:ind w:left="0"/>
        <w:jc w:val="both"/>
      </w:pPr>
      <w:r>
        <w:rPr>
          <w:rFonts w:ascii="Times New Roman"/>
          <w:b w:val="false"/>
          <w:i w:val="false"/>
          <w:color w:val="000000"/>
          <w:sz w:val="28"/>
        </w:rPr>
        <w:t>
      3) в наличии имеются системы, гарантирующие качество выполняемой деятельности по обнаружению данных;</w:t>
      </w:r>
    </w:p>
    <w:bookmarkEnd w:id="7892"/>
    <w:bookmarkStart w:name="z8065" w:id="7893"/>
    <w:p>
      <w:pPr>
        <w:spacing w:after="0"/>
        <w:ind w:left="0"/>
        <w:jc w:val="both"/>
      </w:pPr>
      <w:r>
        <w:rPr>
          <w:rFonts w:ascii="Times New Roman"/>
          <w:b w:val="false"/>
          <w:i w:val="false"/>
          <w:color w:val="000000"/>
          <w:sz w:val="28"/>
        </w:rPr>
        <w:t>
      4) результаты обзора кумулятивных данных своевременно и надлежащим образом оцениваются квалифицированным лицом;</w:t>
      </w:r>
    </w:p>
    <w:bookmarkEnd w:id="7893"/>
    <w:bookmarkStart w:name="z8066" w:id="7894"/>
    <w:p>
      <w:pPr>
        <w:spacing w:after="0"/>
        <w:ind w:left="0"/>
        <w:jc w:val="both"/>
      </w:pPr>
      <w:r>
        <w:rPr>
          <w:rFonts w:ascii="Times New Roman"/>
          <w:b w:val="false"/>
          <w:i w:val="false"/>
          <w:color w:val="000000"/>
          <w:sz w:val="28"/>
        </w:rPr>
        <w:t>
      5) при обнаружении угрозы общественному здоровью предпринимаются незамедлительные и эффективные действия;</w:t>
      </w:r>
    </w:p>
    <w:bookmarkEnd w:id="7894"/>
    <w:bookmarkStart w:name="z8067" w:id="7895"/>
    <w:p>
      <w:pPr>
        <w:spacing w:after="0"/>
        <w:ind w:left="0"/>
        <w:jc w:val="both"/>
      </w:pPr>
      <w:r>
        <w:rPr>
          <w:rFonts w:ascii="Times New Roman"/>
          <w:b w:val="false"/>
          <w:i w:val="false"/>
          <w:color w:val="000000"/>
          <w:sz w:val="28"/>
        </w:rPr>
        <w:t>
      6) процесс выявления сигналов документируется надлежащим образом, включая обоснование метода и периодичности выполнения действий по обнаружению сигналов.</w:t>
      </w:r>
    </w:p>
    <w:bookmarkEnd w:id="7895"/>
    <w:bookmarkStart w:name="z8068" w:id="7896"/>
    <w:p>
      <w:pPr>
        <w:spacing w:after="0"/>
        <w:ind w:left="0"/>
        <w:jc w:val="both"/>
      </w:pPr>
      <w:r>
        <w:rPr>
          <w:rFonts w:ascii="Times New Roman"/>
          <w:b w:val="false"/>
          <w:i w:val="false"/>
          <w:color w:val="000000"/>
          <w:sz w:val="28"/>
        </w:rPr>
        <w:t>
      350. Обнаружение сигналов по безопасности осуществляется на основании обзора баз данных индивидуальных сообщений о нежелательных реакциях, статистического анализа больших баз данных или на основании комбинированного подхода, основанного на сочетании этих двух методов.</w:t>
      </w:r>
    </w:p>
    <w:bookmarkEnd w:id="7896"/>
    <w:bookmarkStart w:name="z8069" w:id="7897"/>
    <w:p>
      <w:pPr>
        <w:spacing w:after="0"/>
        <w:ind w:left="0"/>
        <w:jc w:val="left"/>
      </w:pPr>
      <w:r>
        <w:rPr>
          <w:rFonts w:ascii="Times New Roman"/>
          <w:b/>
          <w:i w:val="false"/>
          <w:color w:val="000000"/>
        </w:rPr>
        <w:t xml:space="preserve"> Параграф 5. Обзор индивидуальных отчетов о безопасности</w:t>
      </w:r>
    </w:p>
    <w:bookmarkEnd w:id="7897"/>
    <w:bookmarkStart w:name="z8070" w:id="7898"/>
    <w:p>
      <w:pPr>
        <w:spacing w:after="0"/>
        <w:ind w:left="0"/>
        <w:jc w:val="both"/>
      </w:pPr>
      <w:r>
        <w:rPr>
          <w:rFonts w:ascii="Times New Roman"/>
          <w:b w:val="false"/>
          <w:i w:val="false"/>
          <w:color w:val="000000"/>
          <w:sz w:val="28"/>
        </w:rPr>
        <w:t>
      351. Индивидуальные сообщения о нежелательных реакциях получают из спонтанной системы репортирования, активных форм мониторинга, клинических исследований или опубликованные в медицинской литературе. Одного сообщения о серьезной или тяжелой нежелательной реакции (одно сообщение об анафилактическом шоке) достаточно для того, чтобы обратить на это сообщение внимание и предпринять дальнейшие действия. Информация, подлежащая оценке, включает количество сообщений (после исключения повторяющихся сообщений и сообщений, оформленных ненадлежащим образом), демографические данные пациента (возраст и пол), подозреваемый лекарственный препарат (введенная доза) и нежелательную реакцию (признаки и симптомы), временную взаимосвязь, клинический исход в связи с продолжением или прекращением приема лекарственного препарата, наличие потенциальных альтернативных причин развития нежелательного явления, оценку отправителем сообщения причинно-следственной связи и достоверность биологической и фармакологической связи.</w:t>
      </w:r>
    </w:p>
    <w:bookmarkEnd w:id="7898"/>
    <w:bookmarkStart w:name="z8071" w:id="7899"/>
    <w:p>
      <w:pPr>
        <w:spacing w:after="0"/>
        <w:ind w:left="0"/>
        <w:jc w:val="left"/>
      </w:pPr>
      <w:r>
        <w:rPr>
          <w:rFonts w:ascii="Times New Roman"/>
          <w:b/>
          <w:i w:val="false"/>
          <w:color w:val="000000"/>
        </w:rPr>
        <w:t xml:space="preserve"> Параграф 6. Статистические анализы в больших базах данных</w:t>
      </w:r>
    </w:p>
    <w:bookmarkEnd w:id="7899"/>
    <w:bookmarkStart w:name="z8072" w:id="7900"/>
    <w:p>
      <w:pPr>
        <w:spacing w:after="0"/>
        <w:ind w:left="0"/>
        <w:jc w:val="both"/>
      </w:pPr>
      <w:r>
        <w:rPr>
          <w:rFonts w:ascii="Times New Roman"/>
          <w:b w:val="false"/>
          <w:i w:val="false"/>
          <w:color w:val="000000"/>
          <w:sz w:val="28"/>
        </w:rPr>
        <w:t>
      352. Существуют различные статистические методы автоматического выявления сигналов исходя из непропорциональности количества отчетов, то есть более высокий уровень репортирования о предполагаемой подозреваемой нежелательной реакции на соответствующее действующее вещество (лекарственный препарат) по сравнению с другими действующими веществами (лекарственными препаратами) в базе данных. При использовании статистических методов и выборе критериев идентификации сигналов учитывается объем данных, полнота доступной информации и серьезность нежелательной реакции.</w:t>
      </w:r>
    </w:p>
    <w:bookmarkEnd w:id="7900"/>
    <w:bookmarkStart w:name="z8073" w:id="7901"/>
    <w:p>
      <w:pPr>
        <w:spacing w:after="0"/>
        <w:ind w:left="0"/>
        <w:jc w:val="both"/>
      </w:pPr>
      <w:r>
        <w:rPr>
          <w:rFonts w:ascii="Times New Roman"/>
          <w:b w:val="false"/>
          <w:i w:val="false"/>
          <w:color w:val="000000"/>
          <w:sz w:val="28"/>
        </w:rPr>
        <w:t>
      Периодичность выполнения статистического анализа базы данных и генерирования статистического отчета зависит от характеристики действующего вещества (лекарственного препарата), показаний к применению и потенциальных или идентифицированных рисков.</w:t>
      </w:r>
    </w:p>
    <w:bookmarkEnd w:id="7901"/>
    <w:bookmarkStart w:name="z8074" w:id="7902"/>
    <w:p>
      <w:pPr>
        <w:spacing w:after="0"/>
        <w:ind w:left="0"/>
        <w:jc w:val="left"/>
      </w:pPr>
      <w:r>
        <w:rPr>
          <w:rFonts w:ascii="Times New Roman"/>
          <w:b/>
          <w:i w:val="false"/>
          <w:color w:val="000000"/>
        </w:rPr>
        <w:t xml:space="preserve"> Параграф 7. Комбинация статистических методов и обзора индивидуальных отчетов о безопасности</w:t>
      </w:r>
    </w:p>
    <w:bookmarkEnd w:id="7902"/>
    <w:bookmarkStart w:name="z8075" w:id="7903"/>
    <w:p>
      <w:pPr>
        <w:spacing w:after="0"/>
        <w:ind w:left="0"/>
        <w:jc w:val="both"/>
      </w:pPr>
      <w:r>
        <w:rPr>
          <w:rFonts w:ascii="Times New Roman"/>
          <w:b w:val="false"/>
          <w:i w:val="false"/>
          <w:color w:val="000000"/>
          <w:sz w:val="28"/>
        </w:rPr>
        <w:t>
      353. Статистические отчеты предназначены для выявления подозреваемых нежелательных реакций, соответствующих предварительно определенным критериям частоты, степени тяжести, клинической значимости, новизны или статистической взаимосвязи. Фильтрующие методы упрощают отбор наиболее важных индивидуальных сообщений о нежелательных реакциях, рассматриваемых на первой стадии процедуры. Предельное значение показателя, используемое в фильтрующем процессе (не менее трех сообщений), варьируется в зависимости от клинической значимости подозреваемой нежелательной реакции и сигнала, влияния на общественное здоровье и степени распространенности использования лекарственных препаратов.</w:t>
      </w:r>
    </w:p>
    <w:bookmarkEnd w:id="7903"/>
    <w:bookmarkStart w:name="z8076" w:id="7904"/>
    <w:p>
      <w:pPr>
        <w:spacing w:after="0"/>
        <w:ind w:left="0"/>
        <w:jc w:val="both"/>
      </w:pPr>
      <w:r>
        <w:rPr>
          <w:rFonts w:ascii="Times New Roman"/>
          <w:b w:val="false"/>
          <w:i w:val="false"/>
          <w:color w:val="000000"/>
          <w:sz w:val="28"/>
        </w:rPr>
        <w:t>
      При использовании автоматического скрининга в процессе обнаружения сигналов соответствующие индивидуальные сообщения о нежелательных реакциях изучтся по отдельности.</w:t>
      </w:r>
    </w:p>
    <w:bookmarkEnd w:id="7904"/>
    <w:bookmarkStart w:name="z8077" w:id="7905"/>
    <w:p>
      <w:pPr>
        <w:spacing w:after="0"/>
        <w:ind w:left="0"/>
        <w:jc w:val="both"/>
      </w:pPr>
      <w:r>
        <w:rPr>
          <w:rFonts w:ascii="Times New Roman"/>
          <w:b w:val="false"/>
          <w:i w:val="false"/>
          <w:color w:val="000000"/>
          <w:sz w:val="28"/>
        </w:rPr>
        <w:t>
      Независимо от используемого статистического метода, процедура обнаружения сигналов всегда включает клиническую оценку. Статистический метод является дополнительным методом процесса выявления и валидации сигнала.</w:t>
      </w:r>
    </w:p>
    <w:bookmarkEnd w:id="7905"/>
    <w:bookmarkStart w:name="z8078" w:id="7906"/>
    <w:p>
      <w:pPr>
        <w:spacing w:after="0"/>
        <w:ind w:left="0"/>
        <w:jc w:val="left"/>
      </w:pPr>
      <w:r>
        <w:rPr>
          <w:rFonts w:ascii="Times New Roman"/>
          <w:b/>
          <w:i w:val="false"/>
          <w:color w:val="000000"/>
        </w:rPr>
        <w:t xml:space="preserve"> Параграф 8. Валидация сигнала</w:t>
      </w:r>
    </w:p>
    <w:bookmarkEnd w:id="7906"/>
    <w:bookmarkStart w:name="z8079" w:id="7907"/>
    <w:p>
      <w:pPr>
        <w:spacing w:after="0"/>
        <w:ind w:left="0"/>
        <w:jc w:val="both"/>
      </w:pPr>
      <w:r>
        <w:rPr>
          <w:rFonts w:ascii="Times New Roman"/>
          <w:b w:val="false"/>
          <w:i w:val="false"/>
          <w:color w:val="000000"/>
          <w:sz w:val="28"/>
        </w:rPr>
        <w:t>
      354. При выявлении сигнала выполняется оценка данных с целью верификации и подтверждения того факта, что доступная информация содержит достаточные доказательства выявления новой потенциальной причинно-следственной связи или новом аспекте ранее установленной взаимосвязи. Результаты валидации определяют необходимость дальнейшей оценки сигнала.</w:t>
      </w:r>
    </w:p>
    <w:bookmarkEnd w:id="7907"/>
    <w:bookmarkStart w:name="z8080" w:id="7908"/>
    <w:p>
      <w:pPr>
        <w:spacing w:after="0"/>
        <w:ind w:left="0"/>
        <w:jc w:val="both"/>
      </w:pPr>
      <w:r>
        <w:rPr>
          <w:rFonts w:ascii="Times New Roman"/>
          <w:b w:val="false"/>
          <w:i w:val="false"/>
          <w:color w:val="000000"/>
          <w:sz w:val="28"/>
        </w:rPr>
        <w:t>
      При выполнении процедуры валидации сигнала, независимо от источника его получения, учитывается следующее:</w:t>
      </w:r>
    </w:p>
    <w:bookmarkEnd w:id="7908"/>
    <w:bookmarkStart w:name="z8081" w:id="7909"/>
    <w:p>
      <w:pPr>
        <w:spacing w:after="0"/>
        <w:ind w:left="0"/>
        <w:jc w:val="both"/>
      </w:pPr>
      <w:r>
        <w:rPr>
          <w:rFonts w:ascii="Times New Roman"/>
          <w:b w:val="false"/>
          <w:i w:val="false"/>
          <w:color w:val="000000"/>
          <w:sz w:val="28"/>
        </w:rPr>
        <w:t>
      1) клиническая значимость:</w:t>
      </w:r>
    </w:p>
    <w:bookmarkEnd w:id="7909"/>
    <w:bookmarkStart w:name="z8082" w:id="7910"/>
    <w:p>
      <w:pPr>
        <w:spacing w:after="0"/>
        <w:ind w:left="0"/>
        <w:jc w:val="both"/>
      </w:pPr>
      <w:r>
        <w:rPr>
          <w:rFonts w:ascii="Times New Roman"/>
          <w:b w:val="false"/>
          <w:i w:val="false"/>
          <w:color w:val="000000"/>
          <w:sz w:val="28"/>
        </w:rPr>
        <w:t>
      уровень доказательности в отношении причины явления (количество сообщений с учетом воздействия, временной взаимосвязи, правдоподобности (вероятности) механизма развития нежелательной реакции, результатов отмены и повторного назначения лекарственного препарата, альтернативного объяснения или иных причинных факторов);</w:t>
      </w:r>
    </w:p>
    <w:bookmarkEnd w:id="7910"/>
    <w:bookmarkStart w:name="z8083" w:id="7911"/>
    <w:p>
      <w:pPr>
        <w:spacing w:after="0"/>
        <w:ind w:left="0"/>
        <w:jc w:val="both"/>
      </w:pPr>
      <w:r>
        <w:rPr>
          <w:rFonts w:ascii="Times New Roman"/>
          <w:b w:val="false"/>
          <w:i w:val="false"/>
          <w:color w:val="000000"/>
          <w:sz w:val="28"/>
        </w:rPr>
        <w:t>
      серьезность нежелательной реакции и ее исход;</w:t>
      </w:r>
    </w:p>
    <w:bookmarkEnd w:id="7911"/>
    <w:bookmarkStart w:name="z8084" w:id="7912"/>
    <w:p>
      <w:pPr>
        <w:spacing w:after="0"/>
        <w:ind w:left="0"/>
        <w:jc w:val="both"/>
      </w:pPr>
      <w:r>
        <w:rPr>
          <w:rFonts w:ascii="Times New Roman"/>
          <w:b w:val="false"/>
          <w:i w:val="false"/>
          <w:color w:val="000000"/>
          <w:sz w:val="28"/>
        </w:rPr>
        <w:t>
      новизна реакции (новые и серьезные нежелательные реакции);</w:t>
      </w:r>
    </w:p>
    <w:bookmarkEnd w:id="7912"/>
    <w:bookmarkStart w:name="z8085" w:id="7913"/>
    <w:p>
      <w:pPr>
        <w:spacing w:after="0"/>
        <w:ind w:left="0"/>
        <w:jc w:val="both"/>
      </w:pPr>
      <w:r>
        <w:rPr>
          <w:rFonts w:ascii="Times New Roman"/>
          <w:b w:val="false"/>
          <w:i w:val="false"/>
          <w:color w:val="000000"/>
          <w:sz w:val="28"/>
        </w:rPr>
        <w:t>
      клинический контекст (подозрение на клинический синдром, включая другие реакции);</w:t>
      </w:r>
    </w:p>
    <w:bookmarkEnd w:id="7913"/>
    <w:bookmarkStart w:name="z8086" w:id="7914"/>
    <w:p>
      <w:pPr>
        <w:spacing w:after="0"/>
        <w:ind w:left="0"/>
        <w:jc w:val="both"/>
      </w:pPr>
      <w:r>
        <w:rPr>
          <w:rFonts w:ascii="Times New Roman"/>
          <w:b w:val="false"/>
          <w:i w:val="false"/>
          <w:color w:val="000000"/>
          <w:sz w:val="28"/>
        </w:rPr>
        <w:t>
      возможные лекарственные взаимодействия и реакции у особых групп пациентов.</w:t>
      </w:r>
    </w:p>
    <w:bookmarkEnd w:id="7914"/>
    <w:bookmarkStart w:name="z8087" w:id="7915"/>
    <w:p>
      <w:pPr>
        <w:spacing w:after="0"/>
        <w:ind w:left="0"/>
        <w:jc w:val="both"/>
      </w:pPr>
      <w:r>
        <w:rPr>
          <w:rFonts w:ascii="Times New Roman"/>
          <w:b w:val="false"/>
          <w:i w:val="false"/>
          <w:color w:val="000000"/>
          <w:sz w:val="28"/>
        </w:rPr>
        <w:t>
      2) предшествующая информация:</w:t>
      </w:r>
    </w:p>
    <w:bookmarkEnd w:id="7915"/>
    <w:bookmarkStart w:name="z8088" w:id="7916"/>
    <w:p>
      <w:pPr>
        <w:spacing w:after="0"/>
        <w:ind w:left="0"/>
        <w:jc w:val="both"/>
      </w:pPr>
      <w:r>
        <w:rPr>
          <w:rFonts w:ascii="Times New Roman"/>
          <w:b w:val="false"/>
          <w:i w:val="false"/>
          <w:color w:val="000000"/>
          <w:sz w:val="28"/>
        </w:rPr>
        <w:t>
      информация уже включена в краткую характеристику лекарственного препарата или листок-вкладыш;</w:t>
      </w:r>
    </w:p>
    <w:bookmarkEnd w:id="7916"/>
    <w:bookmarkStart w:name="z8089" w:id="7917"/>
    <w:p>
      <w:pPr>
        <w:spacing w:after="0"/>
        <w:ind w:left="0"/>
        <w:jc w:val="both"/>
      </w:pPr>
      <w:r>
        <w:rPr>
          <w:rFonts w:ascii="Times New Roman"/>
          <w:b w:val="false"/>
          <w:i w:val="false"/>
          <w:color w:val="000000"/>
          <w:sz w:val="28"/>
        </w:rPr>
        <w:t>
      сигнал уже оценен уполномоченным органом в ПОБ или плане управления рисками (ПУР), либо обсужден на уровне научного экспертного комитета, либо являлся основанием для уполномоченной процедуры.</w:t>
      </w:r>
    </w:p>
    <w:bookmarkEnd w:id="7917"/>
    <w:bookmarkStart w:name="z8090" w:id="7918"/>
    <w:p>
      <w:pPr>
        <w:spacing w:after="0"/>
        <w:ind w:left="0"/>
        <w:jc w:val="both"/>
      </w:pPr>
      <w:r>
        <w:rPr>
          <w:rFonts w:ascii="Times New Roman"/>
          <w:b w:val="false"/>
          <w:i w:val="false"/>
          <w:color w:val="000000"/>
          <w:sz w:val="28"/>
        </w:rPr>
        <w:t>
      Валидации подлежат сигналы, не относящиеся к вышеуказанным. В тоже время по уже известным сигналам потребуется проведение валидации в случае подозреваемого выявления отличий по частоте развития, длительности персистирования, степени тяжести или исхода (выявленный во взаимосвязи летальный исход) по сравнению с данными или характеристикой, включенными в инструкцию по медицинскому применению или ранее рассматриваемыми уполномоченным органом.</w:t>
      </w:r>
    </w:p>
    <w:bookmarkEnd w:id="7918"/>
    <w:bookmarkStart w:name="z8091" w:id="7919"/>
    <w:p>
      <w:pPr>
        <w:spacing w:after="0"/>
        <w:ind w:left="0"/>
        <w:jc w:val="both"/>
      </w:pPr>
      <w:r>
        <w:rPr>
          <w:rFonts w:ascii="Times New Roman"/>
          <w:b w:val="false"/>
          <w:i w:val="false"/>
          <w:color w:val="000000"/>
          <w:sz w:val="28"/>
        </w:rPr>
        <w:t>
      3) наличие других соответствующих источников информации с большим объемом данных по определенной нежелательной реакции:</w:t>
      </w:r>
    </w:p>
    <w:bookmarkEnd w:id="7919"/>
    <w:bookmarkStart w:name="z8092" w:id="7920"/>
    <w:p>
      <w:pPr>
        <w:spacing w:after="0"/>
        <w:ind w:left="0"/>
        <w:jc w:val="both"/>
      </w:pPr>
      <w:r>
        <w:rPr>
          <w:rFonts w:ascii="Times New Roman"/>
          <w:b w:val="false"/>
          <w:i w:val="false"/>
          <w:color w:val="000000"/>
          <w:sz w:val="28"/>
        </w:rPr>
        <w:t>
      литературные данные о подобных сообщениях;</w:t>
      </w:r>
    </w:p>
    <w:bookmarkEnd w:id="7920"/>
    <w:bookmarkStart w:name="z8093" w:id="7921"/>
    <w:p>
      <w:pPr>
        <w:spacing w:after="0"/>
        <w:ind w:left="0"/>
        <w:jc w:val="both"/>
      </w:pPr>
      <w:r>
        <w:rPr>
          <w:rFonts w:ascii="Times New Roman"/>
          <w:b w:val="false"/>
          <w:i w:val="false"/>
          <w:color w:val="000000"/>
          <w:sz w:val="28"/>
        </w:rPr>
        <w:t>
      экспериментальные результаты или биологические механизмы;</w:t>
      </w:r>
    </w:p>
    <w:bookmarkEnd w:id="7921"/>
    <w:bookmarkStart w:name="z8094" w:id="7922"/>
    <w:p>
      <w:pPr>
        <w:spacing w:after="0"/>
        <w:ind w:left="0"/>
        <w:jc w:val="both"/>
      </w:pPr>
      <w:r>
        <w:rPr>
          <w:rFonts w:ascii="Times New Roman"/>
          <w:b w:val="false"/>
          <w:i w:val="false"/>
          <w:color w:val="000000"/>
          <w:sz w:val="28"/>
        </w:rPr>
        <w:t>
      обзор более крупных баз данных (объединенные базы данных уполномоченных органов).</w:t>
      </w:r>
    </w:p>
    <w:bookmarkEnd w:id="7922"/>
    <w:bookmarkStart w:name="z8095" w:id="7923"/>
    <w:p>
      <w:pPr>
        <w:spacing w:after="0"/>
        <w:ind w:left="0"/>
        <w:jc w:val="both"/>
      </w:pPr>
      <w:r>
        <w:rPr>
          <w:rFonts w:ascii="Times New Roman"/>
          <w:b w:val="false"/>
          <w:i w:val="false"/>
          <w:color w:val="000000"/>
          <w:sz w:val="28"/>
        </w:rPr>
        <w:t>
      355. Сигнал приобретает статус валидированного, если процесс верификации, всей имеющей отношение документации свидетельствует о предположительно новой причинно-следственной связи или новом аспекте известной взаимосвязи, и, следовательно, является обоснованием дальнейшей оценки.</w:t>
      </w:r>
    </w:p>
    <w:bookmarkEnd w:id="7923"/>
    <w:bookmarkStart w:name="z8096" w:id="7924"/>
    <w:p>
      <w:pPr>
        <w:spacing w:after="0"/>
        <w:ind w:left="0"/>
        <w:jc w:val="both"/>
      </w:pPr>
      <w:r>
        <w:rPr>
          <w:rFonts w:ascii="Times New Roman"/>
          <w:b w:val="false"/>
          <w:i w:val="false"/>
          <w:color w:val="000000"/>
          <w:sz w:val="28"/>
        </w:rPr>
        <w:t>
      356. Сигнал, для которого в процессе валидации не была подтверждена предположительно новая причинно-следственная связь или новый аспект известной взаимосвязи, потребует выполнения дальнейшего анализа в случаях недостаточности количества документации по соответствующему случаю нежелательной реакции. В подобных случаях новые сообщения о нежелательных реакциях или результаты последующего наблюдения по ранее полученным случаям из периода пострегистрационного наблюдения пересматриваются через соответствующие периоды времени с целью обеспечения учета и рассмотрения всех соответствующих сообщений.</w:t>
      </w:r>
    </w:p>
    <w:bookmarkEnd w:id="7924"/>
    <w:bookmarkStart w:name="z8097" w:id="7925"/>
    <w:p>
      <w:pPr>
        <w:spacing w:after="0"/>
        <w:ind w:left="0"/>
        <w:jc w:val="both"/>
      </w:pPr>
      <w:r>
        <w:rPr>
          <w:rFonts w:ascii="Times New Roman"/>
          <w:b w:val="false"/>
          <w:i w:val="false"/>
          <w:color w:val="000000"/>
          <w:sz w:val="28"/>
        </w:rPr>
        <w:t>
      357. Держатели регистрационных удостоверений и уполномоченная организация организовывают системы отслеживания с целью учета результатов валидации сигналов, включая изучение и отслеживание причин, по которым сигналы не были приняты как свидетельствующие о предположительно новой причинно-следственной связи или новом аспекте известной взаимосвязи, а также информации, которая помогла бы в поиске подобных случаев и оценке сигналов.</w:t>
      </w:r>
    </w:p>
    <w:bookmarkEnd w:id="7925"/>
    <w:bookmarkStart w:name="z8098" w:id="7926"/>
    <w:p>
      <w:pPr>
        <w:spacing w:after="0"/>
        <w:ind w:left="0"/>
        <w:jc w:val="left"/>
      </w:pPr>
      <w:r>
        <w:rPr>
          <w:rFonts w:ascii="Times New Roman"/>
          <w:b/>
          <w:i w:val="false"/>
          <w:color w:val="000000"/>
        </w:rPr>
        <w:t xml:space="preserve"> Параграф 9. Анализ и приоритизация сигналов</w:t>
      </w:r>
    </w:p>
    <w:bookmarkEnd w:id="7926"/>
    <w:bookmarkStart w:name="z8099" w:id="7927"/>
    <w:p>
      <w:pPr>
        <w:spacing w:after="0"/>
        <w:ind w:left="0"/>
        <w:jc w:val="both"/>
      </w:pPr>
      <w:r>
        <w:rPr>
          <w:rFonts w:ascii="Times New Roman"/>
          <w:b w:val="false"/>
          <w:i w:val="false"/>
          <w:color w:val="000000"/>
          <w:sz w:val="28"/>
        </w:rPr>
        <w:t>
      358. Ключевым элементом процесса управления сигналами является незамедлительное определение их влияния на общественное здоровье или соотношение польза-риск лекарственного препарата у пациентов, подвергающихся воздействию. Процесс приоритизации включает:</w:t>
      </w:r>
    </w:p>
    <w:bookmarkEnd w:id="7927"/>
    <w:bookmarkStart w:name="z8100" w:id="7928"/>
    <w:p>
      <w:pPr>
        <w:spacing w:after="0"/>
        <w:ind w:left="0"/>
        <w:jc w:val="both"/>
      </w:pPr>
      <w:r>
        <w:rPr>
          <w:rFonts w:ascii="Times New Roman"/>
          <w:b w:val="false"/>
          <w:i w:val="false"/>
          <w:color w:val="000000"/>
          <w:sz w:val="28"/>
        </w:rPr>
        <w:t>
      1) доказательность и согласованность информации (биологическая достоверность, большое количество достоверных случаев, сообщенных в течение непродолжительного периода времени, высокие значения показателя о диспропорциональности, быстрое увеличение этого показателя с течением времени, идентификация сигнала в разных условиях применения в амбулаторной и клинической практик), источники или страны, из которых получены данные;</w:t>
      </w:r>
    </w:p>
    <w:bookmarkEnd w:id="7928"/>
    <w:bookmarkStart w:name="z8101" w:id="7929"/>
    <w:p>
      <w:pPr>
        <w:spacing w:after="0"/>
        <w:ind w:left="0"/>
        <w:jc w:val="both"/>
      </w:pPr>
      <w:r>
        <w:rPr>
          <w:rFonts w:ascii="Times New Roman"/>
          <w:b w:val="false"/>
          <w:i w:val="false"/>
          <w:color w:val="000000"/>
          <w:sz w:val="28"/>
        </w:rPr>
        <w:t>
      2) влияние на пациентов, в зависимости от степени тяжести, обратимости, потенциала предотвращения и клинического исхода нежелательной реакции, результаты прекращения лечения применительно к течению заболевания и другие терапевтические показатели;</w:t>
      </w:r>
    </w:p>
    <w:bookmarkEnd w:id="7929"/>
    <w:bookmarkStart w:name="z8102" w:id="7930"/>
    <w:p>
      <w:pPr>
        <w:spacing w:after="0"/>
        <w:ind w:left="0"/>
        <w:jc w:val="both"/>
      </w:pPr>
      <w:r>
        <w:rPr>
          <w:rFonts w:ascii="Times New Roman"/>
          <w:b w:val="false"/>
          <w:i w:val="false"/>
          <w:color w:val="000000"/>
          <w:sz w:val="28"/>
        </w:rPr>
        <w:t>
      3) влияние на общественное здоровье, в зависимости от степени использования лекарственного препарата в общей группе пациентов и в популяционных группах риска (лекарственные препараты, используемые беременными женщинами, детьми или пожилыми людьми) и способа использования лекарственного препарата (неправильное использование или использование не по заявленным показаниям); влияние на общественное здоровье включает оценку количества пациентов, у которых развивается серьезная нежелательная реакция, это количество обязательно изучается по отношению к общей выборке пациентов в общей группе, группе пациентов с целевым заболеванием и группе пациентов, подвергшихся воздействию;</w:t>
      </w:r>
    </w:p>
    <w:bookmarkEnd w:id="7930"/>
    <w:bookmarkStart w:name="z8103" w:id="7931"/>
    <w:p>
      <w:pPr>
        <w:spacing w:after="0"/>
        <w:ind w:left="0"/>
        <w:jc w:val="both"/>
      </w:pPr>
      <w:r>
        <w:rPr>
          <w:rFonts w:ascii="Times New Roman"/>
          <w:b w:val="false"/>
          <w:i w:val="false"/>
          <w:color w:val="000000"/>
          <w:sz w:val="28"/>
        </w:rPr>
        <w:t>
      4) повышенная частота или степень тяжесть известного нежелательного действия;</w:t>
      </w:r>
    </w:p>
    <w:bookmarkEnd w:id="7931"/>
    <w:bookmarkStart w:name="z8104" w:id="7932"/>
    <w:p>
      <w:pPr>
        <w:spacing w:after="0"/>
        <w:ind w:left="0"/>
        <w:jc w:val="both"/>
      </w:pPr>
      <w:r>
        <w:rPr>
          <w:rFonts w:ascii="Times New Roman"/>
          <w:b w:val="false"/>
          <w:i w:val="false"/>
          <w:color w:val="000000"/>
          <w:sz w:val="28"/>
        </w:rPr>
        <w:t>
      5) новизна подозреваемой нежелательной реакции, когда неизвестная подозреваемая нежелательная реакция развивается вскоре после поступления нового лекарственного продукта в медицинскую практику;</w:t>
      </w:r>
    </w:p>
    <w:bookmarkEnd w:id="7932"/>
    <w:bookmarkStart w:name="z8105" w:id="7933"/>
    <w:p>
      <w:pPr>
        <w:spacing w:after="0"/>
        <w:ind w:left="0"/>
        <w:jc w:val="both"/>
      </w:pPr>
      <w:r>
        <w:rPr>
          <w:rFonts w:ascii="Times New Roman"/>
          <w:b w:val="false"/>
          <w:i w:val="false"/>
          <w:color w:val="000000"/>
          <w:sz w:val="28"/>
        </w:rPr>
        <w:t>
      6) если заявление на получение регистрационного удостоверения нового действующего вещества еще находится на рассмотрении уполномоченным органом и сигнал о безопасности получен из третьей страны, в которой этот лекарственный препарат уже зарегистрирован, или в иной базе данных по нежелательным реакциям обнаружена тяжелая нежелательная реакция из третьей страны, этому сигналу также уделяется внимание.</w:t>
      </w:r>
    </w:p>
    <w:bookmarkEnd w:id="7933"/>
    <w:bookmarkStart w:name="z8106" w:id="7934"/>
    <w:p>
      <w:pPr>
        <w:spacing w:after="0"/>
        <w:ind w:left="0"/>
        <w:jc w:val="both"/>
      </w:pPr>
      <w:r>
        <w:rPr>
          <w:rFonts w:ascii="Times New Roman"/>
          <w:b w:val="false"/>
          <w:i w:val="false"/>
          <w:color w:val="000000"/>
          <w:sz w:val="28"/>
        </w:rPr>
        <w:t>
      359. В некоторых случаях приоритетное значение оценки отдается сигналам, полученным в отношении лекарственных препаратов или явлений с потенциальным высоким вниманием со стороны средств массовой информации и заинтересованных сторон фармаконадзора с целью незамедлительного донесения до общественности и медицинских работников результатов такой оценки.</w:t>
      </w:r>
    </w:p>
    <w:bookmarkEnd w:id="7934"/>
    <w:bookmarkStart w:name="z8107" w:id="7935"/>
    <w:p>
      <w:pPr>
        <w:spacing w:after="0"/>
        <w:ind w:left="0"/>
        <w:jc w:val="both"/>
      </w:pPr>
      <w:r>
        <w:rPr>
          <w:rFonts w:ascii="Times New Roman"/>
          <w:b w:val="false"/>
          <w:i w:val="false"/>
          <w:color w:val="000000"/>
          <w:sz w:val="28"/>
        </w:rPr>
        <w:t>
      360. Результат процедуры приоритизации сигнала включает рекомендацию по временным рамкам оценки сигнала.</w:t>
      </w:r>
    </w:p>
    <w:bookmarkEnd w:id="7935"/>
    <w:bookmarkStart w:name="z8108" w:id="7936"/>
    <w:p>
      <w:pPr>
        <w:spacing w:after="0"/>
        <w:ind w:left="0"/>
        <w:jc w:val="both"/>
      </w:pPr>
      <w:r>
        <w:rPr>
          <w:rFonts w:ascii="Times New Roman"/>
          <w:b w:val="false"/>
          <w:i w:val="false"/>
          <w:color w:val="000000"/>
          <w:sz w:val="28"/>
        </w:rPr>
        <w:t>
      361. Результат процедуры приоритизации сигнала заносится в систему отслеживания с обоснованием присвоенного уровня приоритизации сигнала.</w:t>
      </w:r>
    </w:p>
    <w:bookmarkEnd w:id="7936"/>
    <w:bookmarkStart w:name="z8109" w:id="7937"/>
    <w:p>
      <w:pPr>
        <w:spacing w:after="0"/>
        <w:ind w:left="0"/>
        <w:jc w:val="left"/>
      </w:pPr>
      <w:r>
        <w:rPr>
          <w:rFonts w:ascii="Times New Roman"/>
          <w:b/>
          <w:i w:val="false"/>
          <w:color w:val="000000"/>
        </w:rPr>
        <w:t xml:space="preserve"> Параграф 10. Оценка сигналов</w:t>
      </w:r>
    </w:p>
    <w:bookmarkEnd w:id="7937"/>
    <w:bookmarkStart w:name="z8110" w:id="7938"/>
    <w:p>
      <w:pPr>
        <w:spacing w:after="0"/>
        <w:ind w:left="0"/>
        <w:jc w:val="both"/>
      </w:pPr>
      <w:r>
        <w:rPr>
          <w:rFonts w:ascii="Times New Roman"/>
          <w:b w:val="false"/>
          <w:i w:val="false"/>
          <w:color w:val="000000"/>
          <w:sz w:val="28"/>
        </w:rPr>
        <w:t>
      362. Целью оценки сигналов является изучение доказательств причинно-следственной связи нежелательной реакции и подозреваемого лекарственного средства с целью количественной оценки взаимосвязи (предпочтительно в абсолютных величинах) и определения необходимости сбора дополнительных данных или принятия уполномоченных мер. Оценка состоит из фармакологического, медицинского и эпидемиологического изучения всей имеющейся информации по соответствующему сигналу. Обзор включает доступные фармакологические, доклинические и клинические данные и является максимально полным применительно к источникам получения информации, включая данные досье лекарственного препарата при подаче заявления на регистрацию и последующие изменения, литературные статьи, спонтанные сообщения и неопубликованную информацию от держателей регистрационных удостоверений и уполномоченных органов третьих стран. Также учитываются рекомендации внешних экспертов. Если информация получена из нескольких источников, необходимо учитывать уровень их доказательности и ограничения с целью оценки их вклада в оценку вопроса по безопасности. Совокупная информация из разных источников также требует выбора международной признанной терминологии медицинских явлений. В случае отсутствия такого терминологического определения, необходимо операционное определение.</w:t>
      </w:r>
    </w:p>
    <w:bookmarkEnd w:id="7938"/>
    <w:bookmarkStart w:name="z8111" w:id="7939"/>
    <w:p>
      <w:pPr>
        <w:spacing w:after="0"/>
        <w:ind w:left="0"/>
        <w:jc w:val="both"/>
      </w:pPr>
      <w:r>
        <w:rPr>
          <w:rFonts w:ascii="Times New Roman"/>
          <w:b w:val="false"/>
          <w:i w:val="false"/>
          <w:color w:val="000000"/>
          <w:sz w:val="28"/>
        </w:rPr>
        <w:t>
      363. В некоторых случаях сигналы оцениваются согласно терапевтическому уровню или классу системы органов, или на уровне стандартизированного запроса в словаре медицинской терминологии MedDRA. Поиск информации иногда требует включения других лекарственных препаратов одного класса и других нежелательных реакций с использованием других терминов, имеющих отношение к сложному заболеванию (неврит зрительного нерва как возможный первый признак множественного склероза), ранней стадии реакции (удлинение интервала QT) или клиническим осложнениям соответствующей нежелательной реакции (обезвоживание или острая почечная недостаточность).</w:t>
      </w:r>
    </w:p>
    <w:bookmarkEnd w:id="7939"/>
    <w:bookmarkStart w:name="z8112" w:id="7940"/>
    <w:p>
      <w:pPr>
        <w:spacing w:after="0"/>
        <w:ind w:left="0"/>
        <w:jc w:val="both"/>
      </w:pPr>
      <w:r>
        <w:rPr>
          <w:rFonts w:ascii="Times New Roman"/>
          <w:b w:val="false"/>
          <w:i w:val="false"/>
          <w:color w:val="000000"/>
          <w:sz w:val="28"/>
        </w:rPr>
        <w:t>
      364. Сбор информации из разных источников занимает время. В целях оптимизации процесса используется пошаговый метод оценки сигнала. К новому сигналу о тяжелой неблагоприятной реакции, принимаются временные меры, если в результате первой стадии оценки на основании доступной информации сделан вывод о потенциальном риске, который необходимо предотвратить.</w:t>
      </w:r>
    </w:p>
    <w:bookmarkEnd w:id="7940"/>
    <w:bookmarkStart w:name="z8113" w:id="7941"/>
    <w:p>
      <w:pPr>
        <w:spacing w:after="0"/>
        <w:ind w:left="0"/>
        <w:jc w:val="left"/>
      </w:pPr>
      <w:r>
        <w:rPr>
          <w:rFonts w:ascii="Times New Roman"/>
          <w:b/>
          <w:i w:val="false"/>
          <w:color w:val="000000"/>
        </w:rPr>
        <w:t xml:space="preserve"> Параграф 11. Рекомендации по действиям уполномоченной организации</w:t>
      </w:r>
    </w:p>
    <w:bookmarkEnd w:id="7941"/>
    <w:bookmarkStart w:name="z8114" w:id="7942"/>
    <w:p>
      <w:pPr>
        <w:spacing w:after="0"/>
        <w:ind w:left="0"/>
        <w:jc w:val="both"/>
      </w:pPr>
      <w:r>
        <w:rPr>
          <w:rFonts w:ascii="Times New Roman"/>
          <w:b w:val="false"/>
          <w:i w:val="false"/>
          <w:color w:val="000000"/>
          <w:sz w:val="28"/>
        </w:rPr>
        <w:t xml:space="preserve">
      365. Рекомендации по результатам оценки варьируются согласно действующему законодательству и выводу по результатам оценки сигнала. </w:t>
      </w:r>
    </w:p>
    <w:bookmarkEnd w:id="7942"/>
    <w:bookmarkStart w:name="z8115" w:id="7943"/>
    <w:p>
      <w:pPr>
        <w:spacing w:after="0"/>
        <w:ind w:left="0"/>
        <w:jc w:val="both"/>
      </w:pPr>
      <w:r>
        <w:rPr>
          <w:rFonts w:ascii="Times New Roman"/>
          <w:b w:val="false"/>
          <w:i w:val="false"/>
          <w:color w:val="000000"/>
          <w:sz w:val="28"/>
        </w:rPr>
        <w:t xml:space="preserve">
      Рекомендации делаются после оценки сигнала, на основании совокупной информации, необходимость действий оценивают в ходе всего процесса управления сигналом, определяя обоснованность и целесообразность более ранних действий по минимизации риска. </w:t>
      </w:r>
    </w:p>
    <w:bookmarkEnd w:id="7943"/>
    <w:bookmarkStart w:name="z8116" w:id="7944"/>
    <w:p>
      <w:pPr>
        <w:spacing w:after="0"/>
        <w:ind w:left="0"/>
        <w:jc w:val="both"/>
      </w:pPr>
      <w:r>
        <w:rPr>
          <w:rFonts w:ascii="Times New Roman"/>
          <w:b w:val="false"/>
          <w:i w:val="false"/>
          <w:color w:val="000000"/>
          <w:sz w:val="28"/>
        </w:rPr>
        <w:t>
      366. Действия по результатам оценки сигнала включают дополнительное изучение или меры минимизации рисков, если механизмы развития подозреваемой неблагоприятной реакции указывают на возможность предупреждения или снижение степени тяжести нежелательной реакции. Если вывод основан на ограниченной информации, потребуется проведение пострегистрационного исследования безопасности с целью изучения потенциального вопроса (проблемы) по безопасности.</w:t>
      </w:r>
    </w:p>
    <w:bookmarkEnd w:id="7944"/>
    <w:bookmarkStart w:name="z8117" w:id="7945"/>
    <w:p>
      <w:pPr>
        <w:spacing w:after="0"/>
        <w:ind w:left="0"/>
        <w:jc w:val="both"/>
      </w:pPr>
      <w:r>
        <w:rPr>
          <w:rFonts w:ascii="Times New Roman"/>
          <w:b w:val="false"/>
          <w:i w:val="false"/>
          <w:color w:val="000000"/>
          <w:sz w:val="28"/>
        </w:rPr>
        <w:t>
      367. Если уполномоченная организация запрашивает у держателя регистрационного удостоверения проведение дополнительных действий, в таком запросе указывается срок, к которому данные действия выполняются, включая отчеты о достигнутых целях и промежуточных результатах, пропорционально степени тяжести и влиянию проблемы по безопасности на общественное здоровье. Держатель регистрационного удостоверения, уполномоченная организация учитывают возможность проведения исследования в установленные временные сроки, с учетом параметров исследуемого вопроса безопасности (частоты развития и потребности в проспективном дизайне исследования). Учитываются временные меры по обеспечению безопасного и эффективного применения лекарственного препарата или устранение риска, включая возможность временного приостановления действия регистрационного удостоверения лекарственного препарата.</w:t>
      </w:r>
    </w:p>
    <w:bookmarkEnd w:id="7945"/>
    <w:bookmarkStart w:name="z8118" w:id="7946"/>
    <w:p>
      <w:pPr>
        <w:spacing w:after="0"/>
        <w:ind w:left="0"/>
        <w:jc w:val="both"/>
      </w:pPr>
      <w:r>
        <w:rPr>
          <w:rFonts w:ascii="Times New Roman"/>
          <w:b w:val="false"/>
          <w:i w:val="false"/>
          <w:color w:val="000000"/>
          <w:sz w:val="28"/>
        </w:rPr>
        <w:t>
      368. В случае отсутствия риска для пациентов, уполномоченная организация принимает решение об отсутствии необходимости дальнейшей оценки или дальнейших действий.</w:t>
      </w:r>
    </w:p>
    <w:bookmarkEnd w:id="7946"/>
    <w:bookmarkStart w:name="z8119" w:id="7947"/>
    <w:p>
      <w:pPr>
        <w:spacing w:after="0"/>
        <w:ind w:left="0"/>
        <w:jc w:val="left"/>
      </w:pPr>
      <w:r>
        <w:rPr>
          <w:rFonts w:ascii="Times New Roman"/>
          <w:b/>
          <w:i w:val="false"/>
          <w:color w:val="000000"/>
        </w:rPr>
        <w:t xml:space="preserve"> Параграф 12. Обмен информацией</w:t>
      </w:r>
    </w:p>
    <w:bookmarkEnd w:id="7947"/>
    <w:bookmarkStart w:name="z8120" w:id="7948"/>
    <w:p>
      <w:pPr>
        <w:spacing w:after="0"/>
        <w:ind w:left="0"/>
        <w:jc w:val="both"/>
      </w:pPr>
      <w:r>
        <w:rPr>
          <w:rFonts w:ascii="Times New Roman"/>
          <w:b w:val="false"/>
          <w:i w:val="false"/>
          <w:color w:val="000000"/>
          <w:sz w:val="28"/>
        </w:rPr>
        <w:t>
      369. Обеспечивает возможность выполнения обмена информацией между уполномоченной организацией, держателями регистрационного удостоверения и другими сторонами с целью распространения информации о сигналах, сбора дополнительных данных, дальнейшей оценки вопроса безопасности и принятия решения о защите здоровья пациентов. Временные требования по обмену информацией варьируются в зависимости от проблемы по безопасности, но информация о сигналах распространяется сразу же после выполнения процедуры их валидации и признания сигнал валидированным.</w:t>
      </w:r>
    </w:p>
    <w:bookmarkEnd w:id="7948"/>
    <w:bookmarkStart w:name="z8121" w:id="7949"/>
    <w:p>
      <w:pPr>
        <w:spacing w:after="0"/>
        <w:ind w:left="0"/>
        <w:jc w:val="both"/>
      </w:pPr>
      <w:r>
        <w:rPr>
          <w:rFonts w:ascii="Times New Roman"/>
          <w:b w:val="false"/>
          <w:i w:val="false"/>
          <w:color w:val="000000"/>
          <w:sz w:val="28"/>
        </w:rPr>
        <w:t>
      370. Держатели регистрационных удостоверений передают всю соответствующую информацию о сигналах в уполномоченную организацию (как часть обязательств по фармаконадзору и мониторингу соотношения польза-риск лекарственного препарата). Валидированные сигналы, которые оказывают влияние на общественное здоровье и соотношение польза-риск лекарственного препарата, незамедлительно передаются в уполномоченный орган, а также в соответствующих случаях представляются предложения по возможным действиям.</w:t>
      </w:r>
    </w:p>
    <w:bookmarkEnd w:id="7949"/>
    <w:bookmarkStart w:name="z8122" w:id="7950"/>
    <w:p>
      <w:pPr>
        <w:spacing w:after="0"/>
        <w:ind w:left="0"/>
        <w:jc w:val="both"/>
      </w:pPr>
      <w:r>
        <w:rPr>
          <w:rFonts w:ascii="Times New Roman"/>
          <w:b w:val="false"/>
          <w:i w:val="false"/>
          <w:color w:val="000000"/>
          <w:sz w:val="28"/>
        </w:rPr>
        <w:t>
      371. Уполномоченная организация передает результаты оценки сигналов держателям регистрационного удостоверения.</w:t>
      </w:r>
    </w:p>
    <w:bookmarkEnd w:id="7950"/>
    <w:bookmarkStart w:name="z8123" w:id="7951"/>
    <w:p>
      <w:pPr>
        <w:spacing w:after="0"/>
        <w:ind w:left="0"/>
        <w:jc w:val="left"/>
      </w:pPr>
      <w:r>
        <w:rPr>
          <w:rFonts w:ascii="Times New Roman"/>
          <w:b/>
          <w:i w:val="false"/>
          <w:color w:val="000000"/>
        </w:rPr>
        <w:t xml:space="preserve"> Параграф 13. Требования к качеству</w:t>
      </w:r>
    </w:p>
    <w:bookmarkEnd w:id="7951"/>
    <w:bookmarkStart w:name="z8124" w:id="7952"/>
    <w:p>
      <w:pPr>
        <w:spacing w:after="0"/>
        <w:ind w:left="0"/>
        <w:jc w:val="both"/>
      </w:pPr>
      <w:r>
        <w:rPr>
          <w:rFonts w:ascii="Times New Roman"/>
          <w:b w:val="false"/>
          <w:i w:val="false"/>
          <w:color w:val="000000"/>
          <w:sz w:val="28"/>
        </w:rPr>
        <w:t>
      372. Валидация, приоритизация, оценка, временные сроки, решения, действия, планы, репортирование, а также прочие ключевые процедуры надлежащим образом документируются и периодически отслеживаются. Системы отслеживания также документируются и включают сигналы, в результате проверки которых был сделан вывод об отсутствии новой потенциальной причинно-следственной связи или нового аспекта известной взаимосвязи, так как они могут привлечь особое внимание в случае последующего анализа. Все записи подлежат архивированию и хранению в соответствии с действующими процедурами.</w:t>
      </w:r>
    </w:p>
    <w:bookmarkEnd w:id="7952"/>
    <w:bookmarkStart w:name="z8125" w:id="7953"/>
    <w:p>
      <w:pPr>
        <w:spacing w:after="0"/>
        <w:ind w:left="0"/>
        <w:jc w:val="left"/>
      </w:pPr>
      <w:r>
        <w:rPr>
          <w:rFonts w:ascii="Times New Roman"/>
          <w:b/>
          <w:i w:val="false"/>
          <w:color w:val="000000"/>
        </w:rPr>
        <w:t xml:space="preserve"> Параграф 14. Системы качества и документация</w:t>
      </w:r>
    </w:p>
    <w:bookmarkEnd w:id="7953"/>
    <w:bookmarkStart w:name="z8126" w:id="7954"/>
    <w:p>
      <w:pPr>
        <w:spacing w:after="0"/>
        <w:ind w:left="0"/>
        <w:jc w:val="both"/>
      </w:pPr>
      <w:r>
        <w:rPr>
          <w:rFonts w:ascii="Times New Roman"/>
          <w:b w:val="false"/>
          <w:i w:val="false"/>
          <w:color w:val="000000"/>
          <w:sz w:val="28"/>
        </w:rPr>
        <w:t>
      373. Важной особенностью системы обработки сигналов является четкое документирование с целью обеспечения надлежащего и эффективного функционирования системы, стандартизации обязанностей и требуемых действий, выполнения этих действий лицами с соответствующей квалификацией и их понимания всеми вовлеченными сторонами, осуществления надлежащего контроля и усовершенствования системы. В соответствии с данными требованиями разрабатывается система обеспечения и контроля качества согласно стандартам системы качества, которая применяться ко всем процессам управления сигналами. Разрабатываются, документально оформляются и внедряются подробные процедуры системы качества. Распределяются обязанности внутри компании относительно действий и ведения документации, контроля и изучения вопросов качества, а также принятия корректирующих и предупреждающих мер. Сюда относятся обязанности по аудиту обеспечения качества в системе управления сигналами, включая аудит субподрядчиков контрактных сторон, выполняющих какие-либо работы по данному направлению. Гарантируется конфиденциальность данных и документации, безопасность и достоверность данных (включая целостность при передаче).</w:t>
      </w:r>
    </w:p>
    <w:bookmarkEnd w:id="7954"/>
    <w:bookmarkStart w:name="z8127" w:id="7955"/>
    <w:p>
      <w:pPr>
        <w:spacing w:after="0"/>
        <w:ind w:left="0"/>
        <w:jc w:val="both"/>
      </w:pPr>
      <w:r>
        <w:rPr>
          <w:rFonts w:ascii="Times New Roman"/>
          <w:b w:val="false"/>
          <w:i w:val="false"/>
          <w:color w:val="000000"/>
          <w:sz w:val="28"/>
        </w:rPr>
        <w:t>
      374. Система отслеживания обеспечивает получение всеми вовлеченными сторонами данных по результатам аудитов с указанием действий по обработке сигналов, соответствующих запросов и их результатов. Полученная информация, поиск, результаты поиска, оценки и решения (положительные и отрицательные) по потенциальным сигналам, а также результаты проверки сигнала, подлежат архивированию. Данные включают результаты валидации сигнала.</w:t>
      </w:r>
    </w:p>
    <w:bookmarkEnd w:id="7955"/>
    <w:bookmarkStart w:name="z8128" w:id="7956"/>
    <w:p>
      <w:pPr>
        <w:spacing w:after="0"/>
        <w:ind w:left="0"/>
        <w:jc w:val="both"/>
      </w:pPr>
      <w:r>
        <w:rPr>
          <w:rFonts w:ascii="Times New Roman"/>
          <w:b w:val="false"/>
          <w:i w:val="false"/>
          <w:color w:val="000000"/>
          <w:sz w:val="28"/>
        </w:rPr>
        <w:t>
      375. В целях выполнения оценки выполняемой деятельности или инспектирования требуется изучение документации держателя регистрационного удостоверения о соблюдении данных положений до и после процедуры регистрации.</w:t>
      </w:r>
    </w:p>
    <w:bookmarkEnd w:id="7956"/>
    <w:bookmarkStart w:name="z8129" w:id="7957"/>
    <w:p>
      <w:pPr>
        <w:spacing w:after="0"/>
        <w:ind w:left="0"/>
        <w:jc w:val="left"/>
      </w:pPr>
      <w:r>
        <w:rPr>
          <w:rFonts w:ascii="Times New Roman"/>
          <w:b/>
          <w:i w:val="false"/>
          <w:color w:val="000000"/>
        </w:rPr>
        <w:t xml:space="preserve"> Параграф 15. Обучение</w:t>
      </w:r>
    </w:p>
    <w:bookmarkEnd w:id="7957"/>
    <w:bookmarkStart w:name="z8130" w:id="7958"/>
    <w:p>
      <w:pPr>
        <w:spacing w:after="0"/>
        <w:ind w:left="0"/>
        <w:jc w:val="both"/>
      </w:pPr>
      <w:r>
        <w:rPr>
          <w:rFonts w:ascii="Times New Roman"/>
          <w:b w:val="false"/>
          <w:i w:val="false"/>
          <w:color w:val="000000"/>
          <w:sz w:val="28"/>
        </w:rPr>
        <w:t xml:space="preserve">
      376. Обучение персонала осуществляется по выполнению действий по обработке сигналов согласно распределенным функциям и обязанностям. Процесс включает не только персонал отдела по фармаконадзору, но также персонал, которому становится известно о потенциальных сигналах или который участвует в процессе обработки сигналов (персоналу доклинических, медицинских, фармакоэпидемиологических и маркетинговых исследований). Процедуры системы обучения и размещение данных по обучению документируются, резюме специалистов и описание выполняемых функций архивируются. </w:t>
      </w:r>
    </w:p>
    <w:bookmarkEnd w:id="7958"/>
    <w:bookmarkStart w:name="z8131" w:id="7959"/>
    <w:p>
      <w:pPr>
        <w:spacing w:after="0"/>
        <w:ind w:left="0"/>
        <w:jc w:val="left"/>
      </w:pPr>
      <w:r>
        <w:rPr>
          <w:rFonts w:ascii="Times New Roman"/>
          <w:b/>
          <w:i w:val="false"/>
          <w:color w:val="000000"/>
        </w:rPr>
        <w:t xml:space="preserve"> Глава 41. Роли и обязанности</w:t>
      </w:r>
    </w:p>
    <w:bookmarkEnd w:id="7959"/>
    <w:bookmarkStart w:name="z8132" w:id="7960"/>
    <w:p>
      <w:pPr>
        <w:spacing w:after="0"/>
        <w:ind w:left="0"/>
        <w:jc w:val="left"/>
      </w:pPr>
      <w:r>
        <w:rPr>
          <w:rFonts w:ascii="Times New Roman"/>
          <w:b/>
          <w:i w:val="false"/>
          <w:color w:val="000000"/>
        </w:rPr>
        <w:t xml:space="preserve"> Параграф 1. Роли и обязанности уполномоченной организации</w:t>
      </w:r>
    </w:p>
    <w:bookmarkEnd w:id="7960"/>
    <w:bookmarkStart w:name="z8133" w:id="7961"/>
    <w:p>
      <w:pPr>
        <w:spacing w:after="0"/>
        <w:ind w:left="0"/>
        <w:jc w:val="both"/>
      </w:pPr>
      <w:r>
        <w:rPr>
          <w:rFonts w:ascii="Times New Roman"/>
          <w:b w:val="false"/>
          <w:i w:val="false"/>
          <w:color w:val="000000"/>
          <w:sz w:val="28"/>
        </w:rPr>
        <w:t>
      377. Уполномоченная организация:</w:t>
      </w:r>
    </w:p>
    <w:bookmarkEnd w:id="7961"/>
    <w:bookmarkStart w:name="z8134" w:id="7962"/>
    <w:p>
      <w:pPr>
        <w:spacing w:after="0"/>
        <w:ind w:left="0"/>
        <w:jc w:val="both"/>
      </w:pPr>
      <w:r>
        <w:rPr>
          <w:rFonts w:ascii="Times New Roman"/>
          <w:b w:val="false"/>
          <w:i w:val="false"/>
          <w:color w:val="000000"/>
          <w:sz w:val="28"/>
        </w:rPr>
        <w:t>
      1) мониторирует данные, полученные из источников, указанных в подразделе 1.1;</w:t>
      </w:r>
    </w:p>
    <w:bookmarkEnd w:id="7962"/>
    <w:bookmarkStart w:name="z8135" w:id="7963"/>
    <w:p>
      <w:pPr>
        <w:spacing w:after="0"/>
        <w:ind w:left="0"/>
        <w:jc w:val="both"/>
      </w:pPr>
      <w:r>
        <w:rPr>
          <w:rFonts w:ascii="Times New Roman"/>
          <w:b w:val="false"/>
          <w:i w:val="false"/>
          <w:color w:val="000000"/>
          <w:sz w:val="28"/>
        </w:rPr>
        <w:t>
      2) выполняет валидацию и иные этапы процедуры обработки сигналов, полученных из доступных источников;</w:t>
      </w:r>
    </w:p>
    <w:bookmarkEnd w:id="7963"/>
    <w:bookmarkStart w:name="z8136" w:id="7964"/>
    <w:p>
      <w:pPr>
        <w:spacing w:after="0"/>
        <w:ind w:left="0"/>
        <w:jc w:val="both"/>
      </w:pPr>
      <w:r>
        <w:rPr>
          <w:rFonts w:ascii="Times New Roman"/>
          <w:b w:val="false"/>
          <w:i w:val="false"/>
          <w:color w:val="000000"/>
          <w:sz w:val="28"/>
        </w:rPr>
        <w:t>
      3) передает сигналы, прошедшие через процедуры валидации и оценки, в соответствующие заинтересованные организации с целью определения целесообразности последующих действий по дальнейшему изучению или минимизации риска;</w:t>
      </w:r>
    </w:p>
    <w:bookmarkEnd w:id="7964"/>
    <w:bookmarkStart w:name="z8137" w:id="7965"/>
    <w:p>
      <w:pPr>
        <w:spacing w:after="0"/>
        <w:ind w:left="0"/>
        <w:jc w:val="both"/>
      </w:pPr>
      <w:r>
        <w:rPr>
          <w:rFonts w:ascii="Times New Roman"/>
          <w:b w:val="false"/>
          <w:i w:val="false"/>
          <w:color w:val="000000"/>
          <w:sz w:val="28"/>
        </w:rPr>
        <w:t>
      4) выполняет информирование уполномоченного органа о выявленных сигналах, прошедших валидацию, и разработанных мерах.</w:t>
      </w:r>
    </w:p>
    <w:bookmarkEnd w:id="7965"/>
    <w:bookmarkStart w:name="z8138" w:id="7966"/>
    <w:p>
      <w:pPr>
        <w:spacing w:after="0"/>
        <w:ind w:left="0"/>
        <w:jc w:val="left"/>
      </w:pPr>
      <w:r>
        <w:rPr>
          <w:rFonts w:ascii="Times New Roman"/>
          <w:b/>
          <w:i w:val="false"/>
          <w:color w:val="000000"/>
        </w:rPr>
        <w:t xml:space="preserve"> Параграф 2. Роли и обязанности держателя регистрационного удостоверения</w:t>
      </w:r>
    </w:p>
    <w:bookmarkEnd w:id="7966"/>
    <w:bookmarkStart w:name="z8139" w:id="7967"/>
    <w:p>
      <w:pPr>
        <w:spacing w:after="0"/>
        <w:ind w:left="0"/>
        <w:jc w:val="both"/>
      </w:pPr>
      <w:r>
        <w:rPr>
          <w:rFonts w:ascii="Times New Roman"/>
          <w:b w:val="false"/>
          <w:i w:val="false"/>
          <w:color w:val="000000"/>
          <w:sz w:val="28"/>
        </w:rPr>
        <w:t>
      378. Держатель регистрационного удостоверения:</w:t>
      </w:r>
    </w:p>
    <w:bookmarkEnd w:id="7967"/>
    <w:bookmarkStart w:name="z8140" w:id="7968"/>
    <w:p>
      <w:pPr>
        <w:spacing w:after="0"/>
        <w:ind w:left="0"/>
        <w:jc w:val="both"/>
      </w:pPr>
      <w:r>
        <w:rPr>
          <w:rFonts w:ascii="Times New Roman"/>
          <w:b w:val="false"/>
          <w:i w:val="false"/>
          <w:color w:val="000000"/>
          <w:sz w:val="28"/>
        </w:rPr>
        <w:t>
      1) контролирует все имеющиеся данные и информацию по сигналам;</w:t>
      </w:r>
    </w:p>
    <w:bookmarkEnd w:id="7968"/>
    <w:bookmarkStart w:name="z8141" w:id="7969"/>
    <w:p>
      <w:pPr>
        <w:spacing w:after="0"/>
        <w:ind w:left="0"/>
        <w:jc w:val="both"/>
      </w:pPr>
      <w:r>
        <w:rPr>
          <w:rFonts w:ascii="Times New Roman"/>
          <w:b w:val="false"/>
          <w:i w:val="false"/>
          <w:color w:val="000000"/>
          <w:sz w:val="28"/>
        </w:rPr>
        <w:t>
      2) контролирует все появляющиеся данные в базах данных и выполняет международное обнаружение сигналов, обнаружение сигналов включает их валидацию с учетом компонентов представляемой информации, изложенной в разделе 1.3.3;</w:t>
      </w:r>
    </w:p>
    <w:bookmarkEnd w:id="7969"/>
    <w:bookmarkStart w:name="z8142" w:id="7970"/>
    <w:p>
      <w:pPr>
        <w:spacing w:after="0"/>
        <w:ind w:left="0"/>
        <w:jc w:val="both"/>
      </w:pPr>
      <w:r>
        <w:rPr>
          <w:rFonts w:ascii="Times New Roman"/>
          <w:b w:val="false"/>
          <w:i w:val="false"/>
          <w:color w:val="000000"/>
          <w:sz w:val="28"/>
        </w:rPr>
        <w:t>
      3) выполняет валидацию всех обнаруженных сигналов и сообщает о них в уполномоченную организацию;</w:t>
      </w:r>
    </w:p>
    <w:bookmarkEnd w:id="7970"/>
    <w:bookmarkStart w:name="z8143" w:id="7971"/>
    <w:p>
      <w:pPr>
        <w:spacing w:after="0"/>
        <w:ind w:left="0"/>
        <w:jc w:val="both"/>
      </w:pPr>
      <w:r>
        <w:rPr>
          <w:rFonts w:ascii="Times New Roman"/>
          <w:b w:val="false"/>
          <w:i w:val="false"/>
          <w:color w:val="000000"/>
          <w:sz w:val="28"/>
        </w:rPr>
        <w:t>
      4) уведомляет уполномоченную организацию в случае выявления экстренной проблемы по безопасности в результате осуществления деятельности по обнаружению сигналов;</w:t>
      </w:r>
    </w:p>
    <w:bookmarkEnd w:id="7971"/>
    <w:bookmarkStart w:name="z8144" w:id="7972"/>
    <w:p>
      <w:pPr>
        <w:spacing w:after="0"/>
        <w:ind w:left="0"/>
        <w:jc w:val="both"/>
      </w:pPr>
      <w:r>
        <w:rPr>
          <w:rFonts w:ascii="Times New Roman"/>
          <w:b w:val="false"/>
          <w:i w:val="false"/>
          <w:color w:val="000000"/>
          <w:sz w:val="28"/>
        </w:rPr>
        <w:t>
      5) сотрудничает с уполномоченной организацией в выполнении процедур оценки сигналов путем представления по запросу дополнительной информации;</w:t>
      </w:r>
    </w:p>
    <w:bookmarkEnd w:id="7972"/>
    <w:bookmarkStart w:name="z8145" w:id="7973"/>
    <w:p>
      <w:pPr>
        <w:spacing w:after="0"/>
        <w:ind w:left="0"/>
        <w:jc w:val="both"/>
      </w:pPr>
      <w:r>
        <w:rPr>
          <w:rFonts w:ascii="Times New Roman"/>
          <w:b w:val="false"/>
          <w:i w:val="false"/>
          <w:color w:val="000000"/>
          <w:sz w:val="28"/>
        </w:rPr>
        <w:t>
      6) обеспечивает наличие аудиторского следа по всем процедурам выявления сигнала.</w:t>
      </w:r>
    </w:p>
    <w:bookmarkEnd w:id="7973"/>
    <w:bookmarkStart w:name="z8146" w:id="7974"/>
    <w:p>
      <w:pPr>
        <w:spacing w:after="0"/>
        <w:ind w:left="0"/>
        <w:jc w:val="left"/>
      </w:pPr>
      <w:r>
        <w:rPr>
          <w:rFonts w:ascii="Times New Roman"/>
          <w:b/>
          <w:i w:val="false"/>
          <w:color w:val="000000"/>
        </w:rPr>
        <w:t xml:space="preserve"> Параграф 3. Процессы последующего регулирования</w:t>
      </w:r>
    </w:p>
    <w:bookmarkEnd w:id="7974"/>
    <w:bookmarkStart w:name="z8147" w:id="7975"/>
    <w:p>
      <w:pPr>
        <w:spacing w:after="0"/>
        <w:ind w:left="0"/>
        <w:jc w:val="both"/>
      </w:pPr>
      <w:r>
        <w:rPr>
          <w:rFonts w:ascii="Times New Roman"/>
          <w:b w:val="false"/>
          <w:i w:val="false"/>
          <w:color w:val="000000"/>
          <w:sz w:val="28"/>
        </w:rPr>
        <w:t>
      379. В случае принятия уполномоченным органом решения о необходимости дополнительных действий, сигнал оценивают и согласовывают последующие действия в отношении регистрационного удостоверения в пределах временных сроков, соразмерных степени и серьезности проблемы по безопасности. По результатам процедур принимаются следующие решения:</w:t>
      </w:r>
    </w:p>
    <w:bookmarkEnd w:id="7975"/>
    <w:bookmarkStart w:name="z8148" w:id="7976"/>
    <w:p>
      <w:pPr>
        <w:spacing w:after="0"/>
        <w:ind w:left="0"/>
        <w:jc w:val="both"/>
      </w:pPr>
      <w:r>
        <w:rPr>
          <w:rFonts w:ascii="Times New Roman"/>
          <w:b w:val="false"/>
          <w:i w:val="false"/>
          <w:color w:val="000000"/>
          <w:sz w:val="28"/>
        </w:rPr>
        <w:t>
      1) дополнительная оценка или действия не требуются;</w:t>
      </w:r>
    </w:p>
    <w:bookmarkEnd w:id="7976"/>
    <w:bookmarkStart w:name="z8149" w:id="7977"/>
    <w:p>
      <w:pPr>
        <w:spacing w:after="0"/>
        <w:ind w:left="0"/>
        <w:jc w:val="both"/>
      </w:pPr>
      <w:r>
        <w:rPr>
          <w:rFonts w:ascii="Times New Roman"/>
          <w:b w:val="false"/>
          <w:i w:val="false"/>
          <w:color w:val="000000"/>
          <w:sz w:val="28"/>
        </w:rPr>
        <w:t>
      2) держатель регистрационного удостоверения проводит дополнительную оценку данных и представляет результаты такой оценки согласно установленным временным срокам;</w:t>
      </w:r>
    </w:p>
    <w:bookmarkEnd w:id="7977"/>
    <w:bookmarkStart w:name="z8150" w:id="7978"/>
    <w:p>
      <w:pPr>
        <w:spacing w:after="0"/>
        <w:ind w:left="0"/>
        <w:jc w:val="both"/>
      </w:pPr>
      <w:r>
        <w:rPr>
          <w:rFonts w:ascii="Times New Roman"/>
          <w:b w:val="false"/>
          <w:i w:val="false"/>
          <w:color w:val="000000"/>
          <w:sz w:val="28"/>
        </w:rPr>
        <w:t>
      3) держатель регистрационного удостоверения предоставляет ПОБ с учетом выявленного нового аспекта профиля безопасности;</w:t>
      </w:r>
    </w:p>
    <w:bookmarkEnd w:id="7978"/>
    <w:bookmarkStart w:name="z8151" w:id="7979"/>
    <w:p>
      <w:pPr>
        <w:spacing w:after="0"/>
        <w:ind w:left="0"/>
        <w:jc w:val="both"/>
      </w:pPr>
      <w:r>
        <w:rPr>
          <w:rFonts w:ascii="Times New Roman"/>
          <w:b w:val="false"/>
          <w:i w:val="false"/>
          <w:color w:val="000000"/>
          <w:sz w:val="28"/>
        </w:rPr>
        <w:t>
      4) держатель регистрационного удостоверения финансирует пострегистрационное исследование в соответствии с согласованным протоколом и предоставляет заключительные результаты такого исследования;</w:t>
      </w:r>
    </w:p>
    <w:bookmarkEnd w:id="7979"/>
    <w:bookmarkStart w:name="z8152" w:id="7980"/>
    <w:p>
      <w:pPr>
        <w:spacing w:after="0"/>
        <w:ind w:left="0"/>
        <w:jc w:val="both"/>
      </w:pPr>
      <w:r>
        <w:rPr>
          <w:rFonts w:ascii="Times New Roman"/>
          <w:b w:val="false"/>
          <w:i w:val="false"/>
          <w:color w:val="000000"/>
          <w:sz w:val="28"/>
        </w:rPr>
        <w:t>
      5) держатель регистрационного удостоверения предоставляет ПУР или его обновленный вариант;</w:t>
      </w:r>
    </w:p>
    <w:bookmarkEnd w:id="7980"/>
    <w:bookmarkStart w:name="z8153" w:id="7981"/>
    <w:p>
      <w:pPr>
        <w:spacing w:after="0"/>
        <w:ind w:left="0"/>
        <w:jc w:val="both"/>
      </w:pPr>
      <w:r>
        <w:rPr>
          <w:rFonts w:ascii="Times New Roman"/>
          <w:b w:val="false"/>
          <w:i w:val="false"/>
          <w:color w:val="000000"/>
          <w:sz w:val="28"/>
        </w:rPr>
        <w:t>
      6) держатель регистрационного удостоверения принимает меры, требуемые для обеспечения безопасного и эффективного применения лекарственного препарата;</w:t>
      </w:r>
    </w:p>
    <w:bookmarkEnd w:id="7981"/>
    <w:bookmarkStart w:name="z8154" w:id="7982"/>
    <w:p>
      <w:pPr>
        <w:spacing w:after="0"/>
        <w:ind w:left="0"/>
        <w:jc w:val="both"/>
      </w:pPr>
      <w:r>
        <w:rPr>
          <w:rFonts w:ascii="Times New Roman"/>
          <w:b w:val="false"/>
          <w:i w:val="false"/>
          <w:color w:val="000000"/>
          <w:sz w:val="28"/>
        </w:rPr>
        <w:t>
      7) регистрационный статус подлежит изменению, действие регистрационного удостоверения приостанавливается, отзывается или не продлевается;</w:t>
      </w:r>
    </w:p>
    <w:bookmarkEnd w:id="7982"/>
    <w:bookmarkStart w:name="z8155" w:id="7983"/>
    <w:p>
      <w:pPr>
        <w:spacing w:after="0"/>
        <w:ind w:left="0"/>
        <w:jc w:val="both"/>
      </w:pPr>
      <w:r>
        <w:rPr>
          <w:rFonts w:ascii="Times New Roman"/>
          <w:b w:val="false"/>
          <w:i w:val="false"/>
          <w:color w:val="000000"/>
          <w:sz w:val="28"/>
        </w:rPr>
        <w:t>
      8) введятся срочные ограничения по безопасности;</w:t>
      </w:r>
    </w:p>
    <w:bookmarkEnd w:id="7983"/>
    <w:bookmarkStart w:name="z8156" w:id="7984"/>
    <w:p>
      <w:pPr>
        <w:spacing w:after="0"/>
        <w:ind w:left="0"/>
        <w:jc w:val="both"/>
      </w:pPr>
      <w:r>
        <w:rPr>
          <w:rFonts w:ascii="Times New Roman"/>
          <w:b w:val="false"/>
          <w:i w:val="false"/>
          <w:color w:val="000000"/>
          <w:sz w:val="28"/>
        </w:rPr>
        <w:t>
      9) проводится внеплановое инспектирование системы фармаконадзора с целью подтверждения того, что держатель регистрационного удостоверения соблюдает законодательные требования к системе фармаконадзора;</w:t>
      </w:r>
    </w:p>
    <w:bookmarkEnd w:id="7984"/>
    <w:bookmarkStart w:name="z8157" w:id="7985"/>
    <w:p>
      <w:pPr>
        <w:spacing w:after="0"/>
        <w:ind w:left="0"/>
        <w:jc w:val="both"/>
      </w:pPr>
      <w:r>
        <w:rPr>
          <w:rFonts w:ascii="Times New Roman"/>
          <w:b w:val="false"/>
          <w:i w:val="false"/>
          <w:color w:val="000000"/>
          <w:sz w:val="28"/>
        </w:rPr>
        <w:t>
      10) подозреваемый лекарственный препарат подлежит дополнительному мониторингу.</w:t>
      </w:r>
    </w:p>
    <w:bookmarkEnd w:id="7985"/>
    <w:bookmarkStart w:name="z8158" w:id="7986"/>
    <w:p>
      <w:pPr>
        <w:spacing w:after="0"/>
        <w:ind w:left="0"/>
        <w:jc w:val="left"/>
      </w:pPr>
      <w:r>
        <w:rPr>
          <w:rFonts w:ascii="Times New Roman"/>
          <w:b/>
          <w:i w:val="false"/>
          <w:color w:val="000000"/>
        </w:rPr>
        <w:t xml:space="preserve"> Параграф 4. Открытость</w:t>
      </w:r>
    </w:p>
    <w:bookmarkEnd w:id="7986"/>
    <w:bookmarkStart w:name="z8159" w:id="7987"/>
    <w:p>
      <w:pPr>
        <w:spacing w:after="0"/>
        <w:ind w:left="0"/>
        <w:jc w:val="both"/>
      </w:pPr>
      <w:r>
        <w:rPr>
          <w:rFonts w:ascii="Times New Roman"/>
          <w:b w:val="false"/>
          <w:i w:val="false"/>
          <w:color w:val="000000"/>
          <w:sz w:val="28"/>
        </w:rPr>
        <w:t>
      380. Уполномоченный орган осуществляет контроль своевременности доведения до общественности важной информации о проблемах по безопасности, выявленных системой фармаконадзора, путем публикации на веб-портале и при помощи других доступных средств доведения информации.</w:t>
      </w:r>
    </w:p>
    <w:bookmarkEnd w:id="7987"/>
    <w:bookmarkStart w:name="z8160" w:id="7988"/>
    <w:p>
      <w:pPr>
        <w:spacing w:after="0"/>
        <w:ind w:left="0"/>
        <w:jc w:val="left"/>
      </w:pPr>
      <w:r>
        <w:rPr>
          <w:rFonts w:ascii="Times New Roman"/>
          <w:b/>
          <w:i w:val="false"/>
          <w:color w:val="000000"/>
        </w:rPr>
        <w:t xml:space="preserve"> Раздел VI. Пострегистрационные исследования безопасности</w:t>
      </w:r>
    </w:p>
    <w:bookmarkEnd w:id="7988"/>
    <w:bookmarkStart w:name="z8161" w:id="7989"/>
    <w:p>
      <w:pPr>
        <w:spacing w:after="0"/>
        <w:ind w:left="0"/>
        <w:jc w:val="left"/>
      </w:pPr>
      <w:r>
        <w:rPr>
          <w:rFonts w:ascii="Times New Roman"/>
          <w:b/>
          <w:i w:val="false"/>
          <w:color w:val="000000"/>
        </w:rPr>
        <w:t xml:space="preserve"> Глава 42. Общее положение, структуры и процессы</w:t>
      </w:r>
    </w:p>
    <w:bookmarkEnd w:id="7989"/>
    <w:bookmarkStart w:name="z8162" w:id="7990"/>
    <w:p>
      <w:pPr>
        <w:spacing w:after="0"/>
        <w:ind w:left="0"/>
        <w:jc w:val="left"/>
      </w:pPr>
      <w:r>
        <w:rPr>
          <w:rFonts w:ascii="Times New Roman"/>
          <w:b/>
          <w:i w:val="false"/>
          <w:color w:val="000000"/>
        </w:rPr>
        <w:t xml:space="preserve"> Параграф 1. Область применения.</w:t>
      </w:r>
    </w:p>
    <w:bookmarkEnd w:id="7990"/>
    <w:bookmarkStart w:name="z8163" w:id="7991"/>
    <w:p>
      <w:pPr>
        <w:spacing w:after="0"/>
        <w:ind w:left="0"/>
        <w:jc w:val="both"/>
      </w:pPr>
      <w:r>
        <w:rPr>
          <w:rFonts w:ascii="Times New Roman"/>
          <w:b w:val="false"/>
          <w:i w:val="false"/>
          <w:color w:val="000000"/>
          <w:sz w:val="28"/>
        </w:rPr>
        <w:t xml:space="preserve">
      381. ПРИБ лекарственного препарата инициируется, контролируется или финансируется держателем регистрационного удостоверения добровольно или в соответствии с обязательством, налагаемым на него уполномоченным органом как условие выдачи регистрационного удостоверения или после выдачи регистрационного удостоверения, если существует предположение о наличии рисков, связанных с зарегистрированным лекарственным препаратом, требующих дополнительного изучения путем проведения исследования. </w:t>
      </w:r>
    </w:p>
    <w:bookmarkEnd w:id="7991"/>
    <w:bookmarkStart w:name="z8164" w:id="7992"/>
    <w:p>
      <w:pPr>
        <w:spacing w:after="0"/>
        <w:ind w:left="0"/>
        <w:jc w:val="both"/>
      </w:pPr>
      <w:r>
        <w:rPr>
          <w:rFonts w:ascii="Times New Roman"/>
          <w:b w:val="false"/>
          <w:i w:val="false"/>
          <w:color w:val="000000"/>
          <w:sz w:val="28"/>
        </w:rPr>
        <w:t>
      ПРИБ представляет собой клиническое исследование (испытание) или неинтервенционное исследование (испытание).</w:t>
      </w:r>
    </w:p>
    <w:bookmarkEnd w:id="7992"/>
    <w:bookmarkStart w:name="z8165" w:id="7993"/>
    <w:p>
      <w:pPr>
        <w:spacing w:after="0"/>
        <w:ind w:left="0"/>
        <w:jc w:val="both"/>
      </w:pPr>
      <w:r>
        <w:rPr>
          <w:rFonts w:ascii="Times New Roman"/>
          <w:b w:val="false"/>
          <w:i w:val="false"/>
          <w:color w:val="000000"/>
          <w:sz w:val="28"/>
        </w:rPr>
        <w:t>
      382. Требования данного раздела применимы к неинтервенционным ПРИБ, инициированным, контролируемым или финансируемым держателем регистрационного удостоверения на территории Республики Казахстан добровольно или в соответствии с обязательствами, налагаемыми на него уполномоченным органом. ПРИБ включают исследования, в процессе которых собираются данные от пациентов и работников системы здравоохранения, а также исследования, которые повторно используют данные, полученные ранее для другой цели и хранящиеся в медицинских картах пациентов или других (в том числе электронных) формах хранения данных.</w:t>
      </w:r>
    </w:p>
    <w:bookmarkEnd w:id="7993"/>
    <w:bookmarkStart w:name="z8166" w:id="7994"/>
    <w:p>
      <w:pPr>
        <w:spacing w:after="0"/>
        <w:ind w:left="0"/>
        <w:jc w:val="both"/>
      </w:pPr>
      <w:r>
        <w:rPr>
          <w:rFonts w:ascii="Times New Roman"/>
          <w:b w:val="false"/>
          <w:i w:val="false"/>
          <w:color w:val="000000"/>
          <w:sz w:val="28"/>
        </w:rPr>
        <w:t>
      Если ПРИБ представляет собой клиническое испытание, при его проведении выполняются соответствующие требования действующего законодательства к организации и проведению клинических исследований (испытаний).</w:t>
      </w:r>
    </w:p>
    <w:bookmarkEnd w:id="7994"/>
    <w:bookmarkStart w:name="z8167" w:id="7995"/>
    <w:p>
      <w:pPr>
        <w:spacing w:after="0"/>
        <w:ind w:left="0"/>
        <w:jc w:val="both"/>
      </w:pPr>
      <w:r>
        <w:rPr>
          <w:rFonts w:ascii="Times New Roman"/>
          <w:b w:val="false"/>
          <w:i w:val="false"/>
          <w:color w:val="000000"/>
          <w:sz w:val="28"/>
        </w:rPr>
        <w:t>
      383. Терминология:</w:t>
      </w:r>
    </w:p>
    <w:bookmarkEnd w:id="7995"/>
    <w:bookmarkStart w:name="z8168" w:id="7996"/>
    <w:p>
      <w:pPr>
        <w:spacing w:after="0"/>
        <w:ind w:left="0"/>
        <w:jc w:val="both"/>
      </w:pPr>
      <w:r>
        <w:rPr>
          <w:rFonts w:ascii="Times New Roman"/>
          <w:b w:val="false"/>
          <w:i w:val="false"/>
          <w:color w:val="000000"/>
          <w:sz w:val="28"/>
        </w:rPr>
        <w:t>
      1) дата начала исследования - дата начала сбора данных;</w:t>
      </w:r>
    </w:p>
    <w:bookmarkEnd w:id="7996"/>
    <w:bookmarkStart w:name="z8169" w:id="7997"/>
    <w:p>
      <w:pPr>
        <w:spacing w:after="0"/>
        <w:ind w:left="0"/>
        <w:jc w:val="both"/>
      </w:pPr>
      <w:r>
        <w:rPr>
          <w:rFonts w:ascii="Times New Roman"/>
          <w:b w:val="false"/>
          <w:i w:val="false"/>
          <w:color w:val="000000"/>
          <w:sz w:val="28"/>
        </w:rPr>
        <w:t>
      2) начало сбора данных - дата регистрации данных по первому пациенту, включенному в исследование (испытание), в форме (базе) сбора данных исследования (испытания), в случае повторного использования данных - дата начала извлечения данных;</w:t>
      </w:r>
    </w:p>
    <w:bookmarkEnd w:id="7997"/>
    <w:bookmarkStart w:name="z8170" w:id="7998"/>
    <w:p>
      <w:pPr>
        <w:spacing w:after="0"/>
        <w:ind w:left="0"/>
        <w:jc w:val="both"/>
      </w:pPr>
      <w:r>
        <w:rPr>
          <w:rFonts w:ascii="Times New Roman"/>
          <w:b w:val="false"/>
          <w:i w:val="false"/>
          <w:color w:val="000000"/>
          <w:sz w:val="28"/>
        </w:rPr>
        <w:t>
      3) конец сбора данных - дата, когда впервые полностью доступна аналитическая база данных.</w:t>
      </w:r>
    </w:p>
    <w:bookmarkEnd w:id="7998"/>
    <w:bookmarkStart w:name="z8171" w:id="7999"/>
    <w:p>
      <w:pPr>
        <w:spacing w:after="0"/>
        <w:ind w:left="0"/>
        <w:jc w:val="left"/>
      </w:pPr>
      <w:r>
        <w:rPr>
          <w:rFonts w:ascii="Times New Roman"/>
          <w:b/>
          <w:i w:val="false"/>
          <w:color w:val="000000"/>
        </w:rPr>
        <w:t xml:space="preserve"> Параграф 2. Общие принципы и задачи</w:t>
      </w:r>
    </w:p>
    <w:bookmarkEnd w:id="7999"/>
    <w:bookmarkStart w:name="z8172" w:id="8000"/>
    <w:p>
      <w:pPr>
        <w:spacing w:after="0"/>
        <w:ind w:left="0"/>
        <w:jc w:val="both"/>
      </w:pPr>
      <w:r>
        <w:rPr>
          <w:rFonts w:ascii="Times New Roman"/>
          <w:b w:val="false"/>
          <w:i w:val="false"/>
          <w:color w:val="000000"/>
          <w:sz w:val="28"/>
        </w:rPr>
        <w:t>
      384. Главной целью неинтервенционного ПРИБ является получение научных данных, имеющих потенциальную клиническую значимость или важность для здоровья населения.</w:t>
      </w:r>
    </w:p>
    <w:bookmarkEnd w:id="8000"/>
    <w:bookmarkStart w:name="z8173" w:id="8001"/>
    <w:p>
      <w:pPr>
        <w:spacing w:after="0"/>
        <w:ind w:left="0"/>
        <w:jc w:val="both"/>
      </w:pPr>
      <w:r>
        <w:rPr>
          <w:rFonts w:ascii="Times New Roman"/>
          <w:b w:val="false"/>
          <w:i w:val="false"/>
          <w:color w:val="000000"/>
          <w:sz w:val="28"/>
        </w:rPr>
        <w:t>
      Такие исследования не проводятся, если их проведение способствует продвижению лекарственного препарата на рынке.</w:t>
      </w:r>
    </w:p>
    <w:bookmarkEnd w:id="8001"/>
    <w:bookmarkStart w:name="z8174" w:id="8002"/>
    <w:p>
      <w:pPr>
        <w:spacing w:after="0"/>
        <w:ind w:left="0"/>
        <w:jc w:val="both"/>
      </w:pPr>
      <w:r>
        <w:rPr>
          <w:rFonts w:ascii="Times New Roman"/>
          <w:b w:val="false"/>
          <w:i w:val="false"/>
          <w:color w:val="000000"/>
          <w:sz w:val="28"/>
        </w:rPr>
        <w:t>
      Задачи ПРИБ включают:</w:t>
      </w:r>
    </w:p>
    <w:bookmarkEnd w:id="8002"/>
    <w:bookmarkStart w:name="z8175" w:id="8003"/>
    <w:p>
      <w:pPr>
        <w:spacing w:after="0"/>
        <w:ind w:left="0"/>
        <w:jc w:val="both"/>
      </w:pPr>
      <w:r>
        <w:rPr>
          <w:rFonts w:ascii="Times New Roman"/>
          <w:b w:val="false"/>
          <w:i w:val="false"/>
          <w:color w:val="000000"/>
          <w:sz w:val="28"/>
        </w:rPr>
        <w:t>
      1) количественная оценка потенциальных или идентифицированных рисков (оценка частоты возникновения, относительных рисков по сравнению с популяцией, не применявшей данный лекарственный препарат или популяцией, применявшей другой лекарственный препарат или класс лекарственных препаратов), а также изучение факторов риска и факторов, модифицирующих действие лекарственного препарата;</w:t>
      </w:r>
    </w:p>
    <w:bookmarkEnd w:id="8003"/>
    <w:bookmarkStart w:name="z8176" w:id="8004"/>
    <w:p>
      <w:pPr>
        <w:spacing w:after="0"/>
        <w:ind w:left="0"/>
        <w:jc w:val="both"/>
      </w:pPr>
      <w:r>
        <w:rPr>
          <w:rFonts w:ascii="Times New Roman"/>
          <w:b w:val="false"/>
          <w:i w:val="false"/>
          <w:color w:val="000000"/>
          <w:sz w:val="28"/>
        </w:rPr>
        <w:t>
      2) оценка рисков лекарственного препарата, применяемого по одобренным показаниям у групп пациентов, которые не изучались или были недостаточно изучены на дорегистрационном этапе (беременные женщины, особые возрастные группы, пациенты с почечной или печеночной недостаточностью);</w:t>
      </w:r>
    </w:p>
    <w:bookmarkEnd w:id="8004"/>
    <w:bookmarkStart w:name="z8177" w:id="8005"/>
    <w:p>
      <w:pPr>
        <w:spacing w:after="0"/>
        <w:ind w:left="0"/>
        <w:jc w:val="both"/>
      </w:pPr>
      <w:r>
        <w:rPr>
          <w:rFonts w:ascii="Times New Roman"/>
          <w:b w:val="false"/>
          <w:i w:val="false"/>
          <w:color w:val="000000"/>
          <w:sz w:val="28"/>
        </w:rPr>
        <w:t>
      3) оценка риска, связанного с длительным применением лекарственного препарата;</w:t>
      </w:r>
    </w:p>
    <w:bookmarkEnd w:id="8005"/>
    <w:bookmarkStart w:name="z8178" w:id="8006"/>
    <w:p>
      <w:pPr>
        <w:spacing w:after="0"/>
        <w:ind w:left="0"/>
        <w:jc w:val="both"/>
      </w:pPr>
      <w:r>
        <w:rPr>
          <w:rFonts w:ascii="Times New Roman"/>
          <w:b w:val="false"/>
          <w:i w:val="false"/>
          <w:color w:val="000000"/>
          <w:sz w:val="28"/>
        </w:rPr>
        <w:t>
      4) подтверждение отсутствия рисков лекарственных препаратов;</w:t>
      </w:r>
    </w:p>
    <w:bookmarkEnd w:id="8006"/>
    <w:bookmarkStart w:name="z8179" w:id="8007"/>
    <w:p>
      <w:pPr>
        <w:spacing w:after="0"/>
        <w:ind w:left="0"/>
        <w:jc w:val="both"/>
      </w:pPr>
      <w:r>
        <w:rPr>
          <w:rFonts w:ascii="Times New Roman"/>
          <w:b w:val="false"/>
          <w:i w:val="false"/>
          <w:color w:val="000000"/>
          <w:sz w:val="28"/>
        </w:rPr>
        <w:t>
      5) оценка стандартной клинической практики назначения лекарственных препаратов с получением дополнительных сведений о безопасности медицинской продукции (показания к применению, дозировки, сопутствующая терапия, медицинские ошибки);</w:t>
      </w:r>
    </w:p>
    <w:bookmarkEnd w:id="8007"/>
    <w:bookmarkStart w:name="z8180" w:id="8008"/>
    <w:p>
      <w:pPr>
        <w:spacing w:after="0"/>
        <w:ind w:left="0"/>
        <w:jc w:val="both"/>
      </w:pPr>
      <w:r>
        <w:rPr>
          <w:rFonts w:ascii="Times New Roman"/>
          <w:b w:val="false"/>
          <w:i w:val="false"/>
          <w:color w:val="000000"/>
          <w:sz w:val="28"/>
        </w:rPr>
        <w:t>
      6) оценка эффективности мер по минимизации риска (изучение аспектов использования лекарственного препарата, опрос пациентов или медицинских работников).</w:t>
      </w:r>
    </w:p>
    <w:bookmarkEnd w:id="8008"/>
    <w:bookmarkStart w:name="z8181" w:id="8009"/>
    <w:p>
      <w:pPr>
        <w:spacing w:after="0"/>
        <w:ind w:left="0"/>
        <w:jc w:val="both"/>
      </w:pPr>
      <w:r>
        <w:rPr>
          <w:rFonts w:ascii="Times New Roman"/>
          <w:b w:val="false"/>
          <w:i w:val="false"/>
          <w:color w:val="000000"/>
          <w:sz w:val="28"/>
        </w:rPr>
        <w:t xml:space="preserve">
      При разработке протоколов исследований, проведении исследований и составления отчетов об исследованиях держателями регистрационных удостоверений учитываются соответствующие научные руководства. Уполномоченной организацией для оценки протоколов исследований и отчетов об исследованиях используются действующие научные руководства, методические руководства по фармакоэпидемиологии. </w:t>
      </w:r>
    </w:p>
    <w:bookmarkEnd w:id="8009"/>
    <w:bookmarkStart w:name="z8182" w:id="8010"/>
    <w:p>
      <w:pPr>
        <w:spacing w:after="0"/>
        <w:ind w:left="0"/>
        <w:jc w:val="both"/>
      </w:pPr>
      <w:r>
        <w:rPr>
          <w:rFonts w:ascii="Times New Roman"/>
          <w:b w:val="false"/>
          <w:i w:val="false"/>
          <w:color w:val="000000"/>
          <w:sz w:val="28"/>
        </w:rPr>
        <w:t xml:space="preserve">
      Для ПРИБ, спонсируемых держателем регистрационного удостоверения, и разрабатываемых, проводимых и анализируемых полностью или частично исследователями, не являющимися наемными работниками держателя регистрационного удостоверения, держатель регистрационного удостоверения гарантирует, что исследователи обладают необходимой квалификацией в области образования, подготовки и опыта для выполнения своих обязанностей. </w:t>
      </w:r>
    </w:p>
    <w:bookmarkEnd w:id="8010"/>
    <w:bookmarkStart w:name="z8183" w:id="8011"/>
    <w:p>
      <w:pPr>
        <w:spacing w:after="0"/>
        <w:ind w:left="0"/>
        <w:jc w:val="left"/>
      </w:pPr>
      <w:r>
        <w:rPr>
          <w:rFonts w:ascii="Times New Roman"/>
          <w:b/>
          <w:i w:val="false"/>
          <w:color w:val="000000"/>
        </w:rPr>
        <w:t xml:space="preserve"> Параграф 3. Протокол исследования</w:t>
      </w:r>
    </w:p>
    <w:bookmarkEnd w:id="8011"/>
    <w:bookmarkStart w:name="z8184" w:id="8012"/>
    <w:p>
      <w:pPr>
        <w:spacing w:after="0"/>
        <w:ind w:left="0"/>
        <w:jc w:val="both"/>
      </w:pPr>
      <w:r>
        <w:rPr>
          <w:rFonts w:ascii="Times New Roman"/>
          <w:b w:val="false"/>
          <w:i w:val="false"/>
          <w:color w:val="000000"/>
          <w:sz w:val="28"/>
        </w:rPr>
        <w:t xml:space="preserve">
      385. Все ПРИБ выполняются согласно научно обоснованному протоколу исследования, разработанному лицами с соответствующей научной подготовкой и опытом. </w:t>
      </w:r>
    </w:p>
    <w:bookmarkEnd w:id="8012"/>
    <w:bookmarkStart w:name="z8185" w:id="8013"/>
    <w:p>
      <w:pPr>
        <w:spacing w:after="0"/>
        <w:ind w:left="0"/>
        <w:jc w:val="both"/>
      </w:pPr>
      <w:r>
        <w:rPr>
          <w:rFonts w:ascii="Times New Roman"/>
          <w:b w:val="false"/>
          <w:i w:val="false"/>
          <w:color w:val="000000"/>
          <w:sz w:val="28"/>
        </w:rPr>
        <w:t xml:space="preserve">
      Для добровольно инициированных ПРИБ держатель регистрационного удостоверения передает протокол исследования до начала сбора данных в уполномоченную организацию. </w:t>
      </w:r>
    </w:p>
    <w:bookmarkEnd w:id="8013"/>
    <w:bookmarkStart w:name="z8186" w:id="8014"/>
    <w:p>
      <w:pPr>
        <w:spacing w:after="0"/>
        <w:ind w:left="0"/>
        <w:jc w:val="both"/>
      </w:pPr>
      <w:r>
        <w:rPr>
          <w:rFonts w:ascii="Times New Roman"/>
          <w:b w:val="false"/>
          <w:i w:val="false"/>
          <w:color w:val="000000"/>
          <w:sz w:val="28"/>
        </w:rPr>
        <w:t>
      Для ПРИБ, инициированных держателем регистрационного удостоверения в соответствии обязательством, наложенным уполномоченным органом, держатель регистрационного удостоверения обеспечивает представление информации об исследовании, включая протокол исследования, в уполномоченный орган. В случае проведения ПРИБ на территории других стран, обеспечивается информирование уполномоченного органа с представлением краткого описания протокола исследования.</w:t>
      </w:r>
    </w:p>
    <w:bookmarkEnd w:id="8014"/>
    <w:bookmarkStart w:name="z8187" w:id="8015"/>
    <w:p>
      <w:pPr>
        <w:spacing w:after="0"/>
        <w:ind w:left="0"/>
        <w:jc w:val="both"/>
      </w:pPr>
      <w:r>
        <w:rPr>
          <w:rFonts w:ascii="Times New Roman"/>
          <w:b w:val="false"/>
          <w:i w:val="false"/>
          <w:color w:val="000000"/>
          <w:sz w:val="28"/>
        </w:rPr>
        <w:t>
      В целях выполнения держателем регистрационного удостоверения своих обязательств по осуществлению деятельности по фармаконадзору, уполномоченное лицо по фармаконадзору вовлекается в процедуру рассмотрения и утверждения протоколов исследований. Контактное лицо по осуществлению фармаконадзора на территории Республики Казахстан информируется о любом ПРИБ, проводимом на территории Республики Казахстан, а также обеспечивается копией протокола исследования.</w:t>
      </w:r>
    </w:p>
    <w:bookmarkEnd w:id="8015"/>
    <w:bookmarkStart w:name="z8188" w:id="8016"/>
    <w:p>
      <w:pPr>
        <w:spacing w:after="0"/>
        <w:ind w:left="0"/>
        <w:jc w:val="both"/>
      </w:pPr>
      <w:r>
        <w:rPr>
          <w:rFonts w:ascii="Times New Roman"/>
          <w:b w:val="false"/>
          <w:i w:val="false"/>
          <w:color w:val="000000"/>
          <w:sz w:val="28"/>
        </w:rPr>
        <w:t>
      386. Протокол исследования соответствует следующему формату:</w:t>
      </w:r>
    </w:p>
    <w:bookmarkEnd w:id="8016"/>
    <w:bookmarkStart w:name="z8189" w:id="8017"/>
    <w:p>
      <w:pPr>
        <w:spacing w:after="0"/>
        <w:ind w:left="0"/>
        <w:jc w:val="both"/>
      </w:pPr>
      <w:r>
        <w:rPr>
          <w:rFonts w:ascii="Times New Roman"/>
          <w:b w:val="false"/>
          <w:i w:val="false"/>
          <w:color w:val="000000"/>
          <w:sz w:val="28"/>
        </w:rPr>
        <w:t>
      1) название ПРИБ: информативное название, включающее общеупотребительную терминологию, определяющее дизайн исследования и исследуемый лекарственный препарат или группу исследуемого лекарственного препарата, а также подзаголовок с указанием редакции и даты последней редакции;</w:t>
      </w:r>
    </w:p>
    <w:bookmarkEnd w:id="8017"/>
    <w:bookmarkStart w:name="z8190" w:id="8018"/>
    <w:p>
      <w:pPr>
        <w:spacing w:after="0"/>
        <w:ind w:left="0"/>
        <w:jc w:val="both"/>
      </w:pPr>
      <w:r>
        <w:rPr>
          <w:rFonts w:ascii="Times New Roman"/>
          <w:b w:val="false"/>
          <w:i w:val="false"/>
          <w:color w:val="000000"/>
          <w:sz w:val="28"/>
        </w:rPr>
        <w:t>
      2) держатель регистрационного удостоверения: наименование и адрес держателя регистрационного удостоверения;</w:t>
      </w:r>
    </w:p>
    <w:bookmarkEnd w:id="8018"/>
    <w:bookmarkStart w:name="z8191" w:id="8019"/>
    <w:p>
      <w:pPr>
        <w:spacing w:after="0"/>
        <w:ind w:left="0"/>
        <w:jc w:val="both"/>
      </w:pPr>
      <w:r>
        <w:rPr>
          <w:rFonts w:ascii="Times New Roman"/>
          <w:b w:val="false"/>
          <w:i w:val="false"/>
          <w:color w:val="000000"/>
          <w:sz w:val="28"/>
        </w:rPr>
        <w:t>
      3) стороны: имена, должности, квалификация, адреса и сведения по всем сторонам, включая первого автора протокола, главных исследователей, исследователей - координаторов каждой страны и исследовательских центров, в которых проводится исследование. По запросу уполномоченной организации предоставляется перечень всех вовлеченных в исследование учреждений и исследователей;</w:t>
      </w:r>
    </w:p>
    <w:bookmarkEnd w:id="8019"/>
    <w:bookmarkStart w:name="z8192" w:id="8020"/>
    <w:p>
      <w:pPr>
        <w:spacing w:after="0"/>
        <w:ind w:left="0"/>
        <w:jc w:val="both"/>
      </w:pPr>
      <w:r>
        <w:rPr>
          <w:rFonts w:ascii="Times New Roman"/>
          <w:b w:val="false"/>
          <w:i w:val="false"/>
          <w:color w:val="000000"/>
          <w:sz w:val="28"/>
        </w:rPr>
        <w:t>
      4) краткое описание: отдельное резюме протокола исследования, включающее следующие подразделы:</w:t>
      </w:r>
    </w:p>
    <w:bookmarkEnd w:id="8020"/>
    <w:bookmarkStart w:name="z8193" w:id="8021"/>
    <w:p>
      <w:pPr>
        <w:spacing w:after="0"/>
        <w:ind w:left="0"/>
        <w:jc w:val="both"/>
      </w:pPr>
      <w:r>
        <w:rPr>
          <w:rFonts w:ascii="Times New Roman"/>
          <w:b w:val="false"/>
          <w:i w:val="false"/>
          <w:color w:val="000000"/>
          <w:sz w:val="28"/>
        </w:rPr>
        <w:t>
      название исследования с подзаголовками, включая версию редакции и дату протокола, а также имя и сведения об основном месте работы первого автора протокола;</w:t>
      </w:r>
    </w:p>
    <w:bookmarkEnd w:id="8021"/>
    <w:bookmarkStart w:name="z8194" w:id="8022"/>
    <w:p>
      <w:pPr>
        <w:spacing w:after="0"/>
        <w:ind w:left="0"/>
        <w:jc w:val="both"/>
      </w:pPr>
      <w:r>
        <w:rPr>
          <w:rFonts w:ascii="Times New Roman"/>
          <w:b w:val="false"/>
          <w:i w:val="false"/>
          <w:color w:val="000000"/>
          <w:sz w:val="28"/>
        </w:rPr>
        <w:t>
      обоснование и предпосылки проведения;</w:t>
      </w:r>
    </w:p>
    <w:bookmarkEnd w:id="8022"/>
    <w:bookmarkStart w:name="z8195" w:id="8023"/>
    <w:p>
      <w:pPr>
        <w:spacing w:after="0"/>
        <w:ind w:left="0"/>
        <w:jc w:val="both"/>
      </w:pPr>
      <w:r>
        <w:rPr>
          <w:rFonts w:ascii="Times New Roman"/>
          <w:b w:val="false"/>
          <w:i w:val="false"/>
          <w:color w:val="000000"/>
          <w:sz w:val="28"/>
        </w:rPr>
        <w:t>
      цель и задачи исследования;</w:t>
      </w:r>
    </w:p>
    <w:bookmarkEnd w:id="8023"/>
    <w:bookmarkStart w:name="z8196" w:id="8024"/>
    <w:p>
      <w:pPr>
        <w:spacing w:after="0"/>
        <w:ind w:left="0"/>
        <w:jc w:val="both"/>
      </w:pPr>
      <w:r>
        <w:rPr>
          <w:rFonts w:ascii="Times New Roman"/>
          <w:b w:val="false"/>
          <w:i w:val="false"/>
          <w:color w:val="000000"/>
          <w:sz w:val="28"/>
        </w:rPr>
        <w:t>
      дизайн исследования;</w:t>
      </w:r>
    </w:p>
    <w:bookmarkEnd w:id="8024"/>
    <w:bookmarkStart w:name="z8197" w:id="8025"/>
    <w:p>
      <w:pPr>
        <w:spacing w:after="0"/>
        <w:ind w:left="0"/>
        <w:jc w:val="both"/>
      </w:pPr>
      <w:r>
        <w:rPr>
          <w:rFonts w:ascii="Times New Roman"/>
          <w:b w:val="false"/>
          <w:i w:val="false"/>
          <w:color w:val="000000"/>
          <w:sz w:val="28"/>
        </w:rPr>
        <w:t>
      исследуемая популяция;</w:t>
      </w:r>
    </w:p>
    <w:bookmarkEnd w:id="8025"/>
    <w:bookmarkStart w:name="z8198" w:id="8026"/>
    <w:p>
      <w:pPr>
        <w:spacing w:after="0"/>
        <w:ind w:left="0"/>
        <w:jc w:val="both"/>
      </w:pPr>
      <w:r>
        <w:rPr>
          <w:rFonts w:ascii="Times New Roman"/>
          <w:b w:val="false"/>
          <w:i w:val="false"/>
          <w:color w:val="000000"/>
          <w:sz w:val="28"/>
        </w:rPr>
        <w:t>
      мониторируемые показатели;</w:t>
      </w:r>
    </w:p>
    <w:bookmarkEnd w:id="8026"/>
    <w:bookmarkStart w:name="z8199" w:id="8027"/>
    <w:p>
      <w:pPr>
        <w:spacing w:after="0"/>
        <w:ind w:left="0"/>
        <w:jc w:val="both"/>
      </w:pPr>
      <w:r>
        <w:rPr>
          <w:rFonts w:ascii="Times New Roman"/>
          <w:b w:val="false"/>
          <w:i w:val="false"/>
          <w:color w:val="000000"/>
          <w:sz w:val="28"/>
        </w:rPr>
        <w:t>
      источники данных;</w:t>
      </w:r>
    </w:p>
    <w:bookmarkEnd w:id="8027"/>
    <w:bookmarkStart w:name="z8200" w:id="8028"/>
    <w:p>
      <w:pPr>
        <w:spacing w:after="0"/>
        <w:ind w:left="0"/>
        <w:jc w:val="both"/>
      </w:pPr>
      <w:r>
        <w:rPr>
          <w:rFonts w:ascii="Times New Roman"/>
          <w:b w:val="false"/>
          <w:i w:val="false"/>
          <w:color w:val="000000"/>
          <w:sz w:val="28"/>
        </w:rPr>
        <w:t>
      размер исследования (объем выборки);</w:t>
      </w:r>
    </w:p>
    <w:bookmarkEnd w:id="8028"/>
    <w:bookmarkStart w:name="z8201" w:id="8029"/>
    <w:p>
      <w:pPr>
        <w:spacing w:after="0"/>
        <w:ind w:left="0"/>
        <w:jc w:val="both"/>
      </w:pPr>
      <w:r>
        <w:rPr>
          <w:rFonts w:ascii="Times New Roman"/>
          <w:b w:val="false"/>
          <w:i w:val="false"/>
          <w:color w:val="000000"/>
          <w:sz w:val="28"/>
        </w:rPr>
        <w:t>
      анализ данных;</w:t>
      </w:r>
    </w:p>
    <w:bookmarkEnd w:id="8029"/>
    <w:bookmarkStart w:name="z8202" w:id="8030"/>
    <w:p>
      <w:pPr>
        <w:spacing w:after="0"/>
        <w:ind w:left="0"/>
        <w:jc w:val="both"/>
      </w:pPr>
      <w:r>
        <w:rPr>
          <w:rFonts w:ascii="Times New Roman"/>
          <w:b w:val="false"/>
          <w:i w:val="false"/>
          <w:color w:val="000000"/>
          <w:sz w:val="28"/>
        </w:rPr>
        <w:t>
      основные этапы.</w:t>
      </w:r>
    </w:p>
    <w:bookmarkEnd w:id="8030"/>
    <w:bookmarkStart w:name="z8203" w:id="8031"/>
    <w:p>
      <w:pPr>
        <w:spacing w:after="0"/>
        <w:ind w:left="0"/>
        <w:jc w:val="both"/>
      </w:pPr>
      <w:r>
        <w:rPr>
          <w:rFonts w:ascii="Times New Roman"/>
          <w:b w:val="false"/>
          <w:i w:val="false"/>
          <w:color w:val="000000"/>
          <w:sz w:val="28"/>
        </w:rPr>
        <w:t>
      5) изменения и обновления: внесение любого существенного изменения и обновления в протокол испытаний после начала сбора данных, включая обоснование каждого изменения или обновления, даты каждого изменения и ссылку на раздел протокола, в который внесено изменение;</w:t>
      </w:r>
    </w:p>
    <w:bookmarkEnd w:id="8031"/>
    <w:bookmarkStart w:name="z8204" w:id="8032"/>
    <w:p>
      <w:pPr>
        <w:spacing w:after="0"/>
        <w:ind w:left="0"/>
        <w:jc w:val="both"/>
      </w:pPr>
      <w:r>
        <w:rPr>
          <w:rFonts w:ascii="Times New Roman"/>
          <w:b w:val="false"/>
          <w:i w:val="false"/>
          <w:color w:val="000000"/>
          <w:sz w:val="28"/>
        </w:rPr>
        <w:t>
      6) основные этапы: данные в табличной форме с запланированными датами по выполнению следующих основных этапов исследования:</w:t>
      </w:r>
    </w:p>
    <w:bookmarkEnd w:id="8032"/>
    <w:bookmarkStart w:name="z8205" w:id="8033"/>
    <w:p>
      <w:pPr>
        <w:spacing w:after="0"/>
        <w:ind w:left="0"/>
        <w:jc w:val="both"/>
      </w:pPr>
      <w:r>
        <w:rPr>
          <w:rFonts w:ascii="Times New Roman"/>
          <w:b w:val="false"/>
          <w:i w:val="false"/>
          <w:color w:val="000000"/>
          <w:sz w:val="28"/>
        </w:rPr>
        <w:t>
      начало сбора данных;</w:t>
      </w:r>
    </w:p>
    <w:bookmarkEnd w:id="8033"/>
    <w:bookmarkStart w:name="z8206" w:id="8034"/>
    <w:p>
      <w:pPr>
        <w:spacing w:after="0"/>
        <w:ind w:left="0"/>
        <w:jc w:val="both"/>
      </w:pPr>
      <w:r>
        <w:rPr>
          <w:rFonts w:ascii="Times New Roman"/>
          <w:b w:val="false"/>
          <w:i w:val="false"/>
          <w:color w:val="000000"/>
          <w:sz w:val="28"/>
        </w:rPr>
        <w:t>
      окончание сбора данных;</w:t>
      </w:r>
    </w:p>
    <w:bookmarkEnd w:id="8034"/>
    <w:bookmarkStart w:name="z8207" w:id="8035"/>
    <w:p>
      <w:pPr>
        <w:spacing w:after="0"/>
        <w:ind w:left="0"/>
        <w:jc w:val="both"/>
      </w:pPr>
      <w:r>
        <w:rPr>
          <w:rFonts w:ascii="Times New Roman"/>
          <w:b w:val="false"/>
          <w:i w:val="false"/>
          <w:color w:val="000000"/>
          <w:sz w:val="28"/>
        </w:rPr>
        <w:t>
      отчет о ходе выполнения исследования;</w:t>
      </w:r>
    </w:p>
    <w:bookmarkEnd w:id="8035"/>
    <w:bookmarkStart w:name="z8208" w:id="8036"/>
    <w:p>
      <w:pPr>
        <w:spacing w:after="0"/>
        <w:ind w:left="0"/>
        <w:jc w:val="both"/>
      </w:pPr>
      <w:r>
        <w:rPr>
          <w:rFonts w:ascii="Times New Roman"/>
          <w:b w:val="false"/>
          <w:i w:val="false"/>
          <w:color w:val="000000"/>
          <w:sz w:val="28"/>
        </w:rPr>
        <w:t>
      промежуточный отчет о результатах исследования, если это применимо;</w:t>
      </w:r>
    </w:p>
    <w:bookmarkEnd w:id="8036"/>
    <w:bookmarkStart w:name="z8209" w:id="8037"/>
    <w:p>
      <w:pPr>
        <w:spacing w:after="0"/>
        <w:ind w:left="0"/>
        <w:jc w:val="both"/>
      </w:pPr>
      <w:r>
        <w:rPr>
          <w:rFonts w:ascii="Times New Roman"/>
          <w:b w:val="false"/>
          <w:i w:val="false"/>
          <w:color w:val="000000"/>
          <w:sz w:val="28"/>
        </w:rPr>
        <w:t>
      итоговый отчет о результатах исследования.</w:t>
      </w:r>
    </w:p>
    <w:bookmarkEnd w:id="8037"/>
    <w:bookmarkStart w:name="z8210" w:id="8038"/>
    <w:p>
      <w:pPr>
        <w:spacing w:after="0"/>
        <w:ind w:left="0"/>
        <w:jc w:val="both"/>
      </w:pPr>
      <w:r>
        <w:rPr>
          <w:rFonts w:ascii="Times New Roman"/>
          <w:b w:val="false"/>
          <w:i w:val="false"/>
          <w:color w:val="000000"/>
          <w:sz w:val="28"/>
        </w:rPr>
        <w:t>
      Представляются данные по любым другим этапам проведения исследования.</w:t>
      </w:r>
    </w:p>
    <w:bookmarkEnd w:id="8038"/>
    <w:bookmarkStart w:name="z8211" w:id="8039"/>
    <w:p>
      <w:pPr>
        <w:spacing w:after="0"/>
        <w:ind w:left="0"/>
        <w:jc w:val="both"/>
      </w:pPr>
      <w:r>
        <w:rPr>
          <w:rFonts w:ascii="Times New Roman"/>
          <w:b w:val="false"/>
          <w:i w:val="false"/>
          <w:color w:val="000000"/>
          <w:sz w:val="28"/>
        </w:rPr>
        <w:t>
      7) обоснование и предпосылки проведения: описание проблемы по безопасности, профиля безопасности или мер по управлению рисками, которые привели к инициации исследования, а также критический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знаний по безопасности, на получение которых направлено исследование. Обзор включает в себя результаты соответствующих экспериментов на животных, клинических исследований, статистические популяционные данные и данные предыдущих эпидемиологических исследований. Обзор содержит ссылки на результаты схожих исследований и ожидаемый вклад данного исследования;</w:t>
      </w:r>
    </w:p>
    <w:bookmarkEnd w:id="8039"/>
    <w:bookmarkStart w:name="z8212" w:id="8040"/>
    <w:p>
      <w:pPr>
        <w:spacing w:after="0"/>
        <w:ind w:left="0"/>
        <w:jc w:val="both"/>
      </w:pPr>
      <w:r>
        <w:rPr>
          <w:rFonts w:ascii="Times New Roman"/>
          <w:b w:val="false"/>
          <w:i w:val="false"/>
          <w:color w:val="000000"/>
          <w:sz w:val="28"/>
        </w:rPr>
        <w:t>
      8) задача и цели исследования: задача исследования, объясняющая, каким образом исследование будет способствовать решению вопроса, который привел к его инициации, а также цели исследования, включая любые предварительные гипотезы и основные тезисы, описывающие сведения или информацию, которые получены в результате проведения исследования;</w:t>
      </w:r>
    </w:p>
    <w:bookmarkEnd w:id="8040"/>
    <w:bookmarkStart w:name="z8213" w:id="8041"/>
    <w:p>
      <w:pPr>
        <w:spacing w:after="0"/>
        <w:ind w:left="0"/>
        <w:jc w:val="both"/>
      </w:pPr>
      <w:r>
        <w:rPr>
          <w:rFonts w:ascii="Times New Roman"/>
          <w:b w:val="false"/>
          <w:i w:val="false"/>
          <w:color w:val="000000"/>
          <w:sz w:val="28"/>
        </w:rPr>
        <w:t>
      9) методы исследования: описание методов исследования, включая:</w:t>
      </w:r>
    </w:p>
    <w:bookmarkEnd w:id="8041"/>
    <w:bookmarkStart w:name="z8214" w:id="8042"/>
    <w:p>
      <w:pPr>
        <w:spacing w:after="0"/>
        <w:ind w:left="0"/>
        <w:jc w:val="both"/>
      </w:pPr>
      <w:r>
        <w:rPr>
          <w:rFonts w:ascii="Times New Roman"/>
          <w:b w:val="false"/>
          <w:i w:val="false"/>
          <w:color w:val="000000"/>
          <w:sz w:val="28"/>
        </w:rPr>
        <w:t>
      дизайн исследования: описание дизайна исследования и обоснование его выбора;</w:t>
      </w:r>
    </w:p>
    <w:bookmarkEnd w:id="8042"/>
    <w:bookmarkStart w:name="z8215" w:id="8043"/>
    <w:p>
      <w:pPr>
        <w:spacing w:after="0"/>
        <w:ind w:left="0"/>
        <w:jc w:val="both"/>
      </w:pPr>
      <w:r>
        <w:rPr>
          <w:rFonts w:ascii="Times New Roman"/>
          <w:b w:val="false"/>
          <w:i w:val="false"/>
          <w:color w:val="000000"/>
          <w:sz w:val="28"/>
        </w:rPr>
        <w:t>
      условия: популяция исследования, определяемая в категориях лиц, места, периода времени и критериев выборки. Необходимо наличие объективного обоснования всех критериев включения и не включения и описания их влияния на количество субъектов исследования, доступных для последующего анализа. Если проводится любая выборка из целевой популяции, необходимо наличие описания целевой популяции и подробности методов выборки. Если дизайн исследования представляет собой систематический обзор или мета-анализ, осуществляется объяснение критериев выбора и пригодности исследований;</w:t>
      </w:r>
    </w:p>
    <w:bookmarkEnd w:id="8043"/>
    <w:bookmarkStart w:name="z8216" w:id="8044"/>
    <w:p>
      <w:pPr>
        <w:spacing w:after="0"/>
        <w:ind w:left="0"/>
        <w:jc w:val="both"/>
      </w:pPr>
      <w:r>
        <w:rPr>
          <w:rFonts w:ascii="Times New Roman"/>
          <w:b w:val="false"/>
          <w:i w:val="false"/>
          <w:color w:val="000000"/>
          <w:sz w:val="28"/>
        </w:rPr>
        <w:t>
      переменные: исходы, воздействия и другие переменные, в том числе измеряемые факторы риска, потенциальные факторы, искажающие результаты, и факторы, модифицирующие эффект, включая операционные определения;</w:t>
      </w:r>
    </w:p>
    <w:bookmarkEnd w:id="8044"/>
    <w:bookmarkStart w:name="z8217" w:id="8045"/>
    <w:p>
      <w:pPr>
        <w:spacing w:after="0"/>
        <w:ind w:left="0"/>
        <w:jc w:val="both"/>
      </w:pPr>
      <w:r>
        <w:rPr>
          <w:rFonts w:ascii="Times New Roman"/>
          <w:b w:val="false"/>
          <w:i w:val="false"/>
          <w:color w:val="000000"/>
          <w:sz w:val="28"/>
        </w:rPr>
        <w:t>
      источники данных: стратегия и источники данных для определения воздействий, исходов и всех других переменных, значимых для целей исследования, таких как потенциальные факторы, искажающие результаты, и факторы, модифицирующие эффект. Если используются валидированные источники данных, инструменты и измерения, необходимо описание метода валидации. Если методы получения данных или инструментов испытывают в пилотном исследовании, то необходимо представление планов проведения пилотного исследования. Представляется описание всех задействованных организаций и процедур оценки, которые будут использованы для валидации диагнозов. В случае использования в исследовании существующего источника данных, такого как электронные медицинские карты, указывается любая информация в отношении валидности записей и кодирования данных. В случае систематического обзора или мета-анализа необходимо наличие описания стратегии и процессов поиска, а также любых методов для подтверждения данных исследователей;</w:t>
      </w:r>
    </w:p>
    <w:bookmarkEnd w:id="8045"/>
    <w:bookmarkStart w:name="z8218" w:id="8046"/>
    <w:p>
      <w:pPr>
        <w:spacing w:after="0"/>
        <w:ind w:left="0"/>
        <w:jc w:val="both"/>
      </w:pPr>
      <w:r>
        <w:rPr>
          <w:rFonts w:ascii="Times New Roman"/>
          <w:b w:val="false"/>
          <w:i w:val="false"/>
          <w:color w:val="000000"/>
          <w:sz w:val="28"/>
        </w:rPr>
        <w:t>
      объем выборки: планируемый объем выборки, планируемая точность результатов исследования и расчет объема выборки, которые минимально определяют предварительно заданный риск с предварительно заданной мощностью;</w:t>
      </w:r>
    </w:p>
    <w:bookmarkEnd w:id="8046"/>
    <w:bookmarkStart w:name="z8219" w:id="8047"/>
    <w:p>
      <w:pPr>
        <w:spacing w:after="0"/>
        <w:ind w:left="0"/>
        <w:jc w:val="both"/>
      </w:pPr>
      <w:r>
        <w:rPr>
          <w:rFonts w:ascii="Times New Roman"/>
          <w:b w:val="false"/>
          <w:i w:val="false"/>
          <w:color w:val="000000"/>
          <w:sz w:val="28"/>
        </w:rPr>
        <w:t>
      управление данными: управление данными и статистическое программное и аппаратное обеспечение, которое используется в ходе исследования. Процедуры сбора, восстановления и подготовки данных;</w:t>
      </w:r>
    </w:p>
    <w:bookmarkEnd w:id="8047"/>
    <w:bookmarkStart w:name="z8220" w:id="8048"/>
    <w:p>
      <w:pPr>
        <w:spacing w:after="0"/>
        <w:ind w:left="0"/>
        <w:jc w:val="both"/>
      </w:pPr>
      <w:r>
        <w:rPr>
          <w:rFonts w:ascii="Times New Roman"/>
          <w:b w:val="false"/>
          <w:i w:val="false"/>
          <w:color w:val="000000"/>
          <w:sz w:val="28"/>
        </w:rPr>
        <w:t>
      анализ данных: все важные этапы от необработанных данных до получения итогового результата, включая методы, используемые для корректировки несоответствий или ошибок, недостоверных значений, модификации необработанных данных, категоризации, анализа и представления результатов, а также процедуры для контроля источников погрешностей и их влияния на результаты; любые статистические процедуры, применимые к данным для получения точечной оценки и доверительных интервалов измерений частоты возникновения или взаимосвязи и любого анализа чувствительности;</w:t>
      </w:r>
    </w:p>
    <w:bookmarkEnd w:id="8048"/>
    <w:bookmarkStart w:name="z8221" w:id="8049"/>
    <w:p>
      <w:pPr>
        <w:spacing w:after="0"/>
        <w:ind w:left="0"/>
        <w:jc w:val="both"/>
      </w:pPr>
      <w:r>
        <w:rPr>
          <w:rFonts w:ascii="Times New Roman"/>
          <w:b w:val="false"/>
          <w:i w:val="false"/>
          <w:color w:val="000000"/>
          <w:sz w:val="28"/>
        </w:rPr>
        <w:t>
      контроль качества: описание механизмов и процедур для обеспечения качества и целостности данных, включая точность и читаемость полученных данных и первичной документации, хранение записей и архивирование статистических программ; описание доступных данных по валидации процедур верификации записей и валидации конечных точек. Включаются данные по сертификации и (или) квалификации любой вспомогательной лаборатории или исследовательских групп, если это применимо;</w:t>
      </w:r>
    </w:p>
    <w:bookmarkEnd w:id="8049"/>
    <w:bookmarkStart w:name="z8222" w:id="8050"/>
    <w:p>
      <w:pPr>
        <w:spacing w:after="0"/>
        <w:ind w:left="0"/>
        <w:jc w:val="both"/>
      </w:pPr>
      <w:r>
        <w:rPr>
          <w:rFonts w:ascii="Times New Roman"/>
          <w:b w:val="false"/>
          <w:i w:val="false"/>
          <w:color w:val="000000"/>
          <w:sz w:val="28"/>
        </w:rPr>
        <w:t>
      ограничения методов исследования: любые потенциальные ограничения дизайна исследования, источников данных и аналитических методов, включая проблемы искажения результатов, ошибок, генерализации и случайной погрешности. Осуществляется обсуждение вероятности успеха мер, направленных на уменьшение количества ошибок;</w:t>
      </w:r>
    </w:p>
    <w:bookmarkEnd w:id="8050"/>
    <w:bookmarkStart w:name="z8223" w:id="8051"/>
    <w:p>
      <w:pPr>
        <w:spacing w:after="0"/>
        <w:ind w:left="0"/>
        <w:jc w:val="both"/>
      </w:pPr>
      <w:r>
        <w:rPr>
          <w:rFonts w:ascii="Times New Roman"/>
          <w:b w:val="false"/>
          <w:i w:val="false"/>
          <w:color w:val="000000"/>
          <w:sz w:val="28"/>
        </w:rPr>
        <w:t>
      защита субъектов исследования: меры безопасности участников неинтервенционных пострегистрационных исследований безопасности;</w:t>
      </w:r>
    </w:p>
    <w:bookmarkEnd w:id="8051"/>
    <w:bookmarkStart w:name="z8224" w:id="8052"/>
    <w:p>
      <w:pPr>
        <w:spacing w:after="0"/>
        <w:ind w:left="0"/>
        <w:jc w:val="both"/>
      </w:pPr>
      <w:r>
        <w:rPr>
          <w:rFonts w:ascii="Times New Roman"/>
          <w:b w:val="false"/>
          <w:i w:val="false"/>
          <w:color w:val="000000"/>
          <w:sz w:val="28"/>
        </w:rPr>
        <w:t xml:space="preserve">
      управление данными и представление информации о нежелательных явлениях (нежелательных реакциях): процедуры сбора, управления и представления сообщений об отдельных случаях нежелательных реакций и любой новой информации, которая оказывает влияние на оценку соотношения польза-риск лекарственного препарата при проведении исследования; </w:t>
      </w:r>
    </w:p>
    <w:bookmarkEnd w:id="8052"/>
    <w:bookmarkStart w:name="z8225" w:id="8053"/>
    <w:p>
      <w:pPr>
        <w:spacing w:after="0"/>
        <w:ind w:left="0"/>
        <w:jc w:val="both"/>
      </w:pPr>
      <w:r>
        <w:rPr>
          <w:rFonts w:ascii="Times New Roman"/>
          <w:b w:val="false"/>
          <w:i w:val="false"/>
          <w:color w:val="000000"/>
          <w:sz w:val="28"/>
        </w:rPr>
        <w:t>
      планы по распространению полученных данных и сообщению результатов исследования, включая планы подачи текущих отчетов, итоговых отчетов и публикации;</w:t>
      </w:r>
    </w:p>
    <w:bookmarkEnd w:id="8053"/>
    <w:bookmarkStart w:name="z8226" w:id="8054"/>
    <w:p>
      <w:pPr>
        <w:spacing w:after="0"/>
        <w:ind w:left="0"/>
        <w:jc w:val="both"/>
      </w:pPr>
      <w:r>
        <w:rPr>
          <w:rFonts w:ascii="Times New Roman"/>
          <w:b w:val="false"/>
          <w:i w:val="false"/>
          <w:color w:val="000000"/>
          <w:sz w:val="28"/>
        </w:rPr>
        <w:t>
      ссылки:</w:t>
      </w:r>
    </w:p>
    <w:bookmarkEnd w:id="8054"/>
    <w:bookmarkStart w:name="z8227" w:id="8055"/>
    <w:p>
      <w:pPr>
        <w:spacing w:after="0"/>
        <w:ind w:left="0"/>
        <w:jc w:val="both"/>
      </w:pPr>
      <w:r>
        <w:rPr>
          <w:rFonts w:ascii="Times New Roman"/>
          <w:b w:val="false"/>
          <w:i w:val="false"/>
          <w:color w:val="000000"/>
          <w:sz w:val="28"/>
        </w:rPr>
        <w:t>
      Раздел включает любую дополнительную или вспомогательную информацию о специфических аспектах, которые ранее не рассматривались (анкеты, формы репортирования).</w:t>
      </w:r>
    </w:p>
    <w:bookmarkEnd w:id="8055"/>
    <w:bookmarkStart w:name="z8228" w:id="8056"/>
    <w:p>
      <w:pPr>
        <w:spacing w:after="0"/>
        <w:ind w:left="0"/>
        <w:jc w:val="both"/>
      </w:pPr>
      <w:r>
        <w:rPr>
          <w:rFonts w:ascii="Times New Roman"/>
          <w:b w:val="false"/>
          <w:i w:val="false"/>
          <w:color w:val="000000"/>
          <w:sz w:val="28"/>
        </w:rPr>
        <w:t>
      Исследования по оценке выполнимости, проведенные для подтверждения разработки протокола, тестирование анкет или опросников, или простые подсчеты медицинских явлений или назначений по базе данных с целью определения статистической точности исследования, размещаются в соответствующем разделе протокола исследования с кратким описанием методов и результатов. Исследования по оценке выполнимости, являющиеся частью исследовательского процесса, полностью описываются в протоколе (пилотная оценка используемого опросника для пациентов).</w:t>
      </w:r>
    </w:p>
    <w:bookmarkEnd w:id="8056"/>
    <w:bookmarkStart w:name="z8229" w:id="8057"/>
    <w:p>
      <w:pPr>
        <w:spacing w:after="0"/>
        <w:ind w:left="0"/>
        <w:jc w:val="both"/>
      </w:pPr>
      <w:r>
        <w:rPr>
          <w:rFonts w:ascii="Times New Roman"/>
          <w:b w:val="false"/>
          <w:i w:val="false"/>
          <w:color w:val="000000"/>
          <w:sz w:val="28"/>
        </w:rPr>
        <w:t>
      387. Контроль за внесением изменений в протокол исследования.</w:t>
      </w:r>
    </w:p>
    <w:bookmarkEnd w:id="8057"/>
    <w:bookmarkStart w:name="z8230" w:id="8058"/>
    <w:p>
      <w:pPr>
        <w:spacing w:after="0"/>
        <w:ind w:left="0"/>
        <w:jc w:val="both"/>
      </w:pPr>
      <w:r>
        <w:rPr>
          <w:rFonts w:ascii="Times New Roman"/>
          <w:b w:val="false"/>
          <w:i w:val="false"/>
          <w:color w:val="000000"/>
          <w:sz w:val="28"/>
        </w:rPr>
        <w:t>
      Внесение изменений и обновлений в протокол исследования осуществляется по мере необходимости в ходе исследования. Внесение любых существенных изменений в протокол после начала исследования фиксируется в протоколе таким образом, чтобы его можно было отследить и проверить, включая даты внесения изменений. Если внесения изменений в протокол привели к тому, что исследование было признано интервенционным клиническим исследованием (испытанием), в дальнейшем исследование проводится в соответствии с требованиями действующего законодательства к организации и проведению клинических исследований (испытаний).</w:t>
      </w:r>
    </w:p>
    <w:bookmarkEnd w:id="8058"/>
    <w:bookmarkStart w:name="z8231" w:id="8059"/>
    <w:p>
      <w:pPr>
        <w:spacing w:after="0"/>
        <w:ind w:left="0"/>
        <w:jc w:val="both"/>
      </w:pPr>
      <w:r>
        <w:rPr>
          <w:rFonts w:ascii="Times New Roman"/>
          <w:b w:val="false"/>
          <w:i w:val="false"/>
          <w:color w:val="000000"/>
          <w:sz w:val="28"/>
        </w:rPr>
        <w:t xml:space="preserve">
      Для добровольно инициированных ПРИБ, держателю регистрационного удостоверения рекомендуется передать протокол исследования с изменениями или обновлениями в уполномоченный орган. </w:t>
      </w:r>
    </w:p>
    <w:bookmarkEnd w:id="8059"/>
    <w:bookmarkStart w:name="z8232" w:id="8060"/>
    <w:p>
      <w:pPr>
        <w:spacing w:after="0"/>
        <w:ind w:left="0"/>
        <w:jc w:val="both"/>
      </w:pPr>
      <w:r>
        <w:rPr>
          <w:rFonts w:ascii="Times New Roman"/>
          <w:b w:val="false"/>
          <w:i w:val="false"/>
          <w:color w:val="000000"/>
          <w:sz w:val="28"/>
        </w:rPr>
        <w:t xml:space="preserve">
      Для ПРИБ, инициированных держателем регистрационного удостоверения в соответствии с обязательством, наложенным уполномоченным органом, держатель регистрационного удостоверения обеспечивает представление информации о внесении любых существенных изменении в протокол исследования в уполномоченный орган, которым были наложены обязательства по проведению ПРИБ, до момента их введения. </w:t>
      </w:r>
    </w:p>
    <w:bookmarkEnd w:id="8060"/>
    <w:bookmarkStart w:name="z8233" w:id="8061"/>
    <w:p>
      <w:pPr>
        <w:spacing w:after="0"/>
        <w:ind w:left="0"/>
        <w:jc w:val="left"/>
      </w:pPr>
      <w:r>
        <w:rPr>
          <w:rFonts w:ascii="Times New Roman"/>
          <w:b/>
          <w:i w:val="false"/>
          <w:color w:val="000000"/>
        </w:rPr>
        <w:t xml:space="preserve"> Параграф 4. Представление данных по фармаконадзору в уполномоченную организацию</w:t>
      </w:r>
    </w:p>
    <w:bookmarkEnd w:id="8061"/>
    <w:bookmarkStart w:name="z8234" w:id="8062"/>
    <w:p>
      <w:pPr>
        <w:spacing w:after="0"/>
        <w:ind w:left="0"/>
        <w:jc w:val="both"/>
      </w:pPr>
      <w:r>
        <w:rPr>
          <w:rFonts w:ascii="Times New Roman"/>
          <w:b w:val="false"/>
          <w:i w:val="false"/>
          <w:color w:val="000000"/>
          <w:sz w:val="28"/>
        </w:rPr>
        <w:t>
      388. Данные значимые для оценки соотношения польза-риск лекарственного препарата.</w:t>
      </w:r>
    </w:p>
    <w:bookmarkEnd w:id="8062"/>
    <w:bookmarkStart w:name="z8235" w:id="8063"/>
    <w:p>
      <w:pPr>
        <w:spacing w:after="0"/>
        <w:ind w:left="0"/>
        <w:jc w:val="both"/>
      </w:pPr>
      <w:r>
        <w:rPr>
          <w:rFonts w:ascii="Times New Roman"/>
          <w:b w:val="false"/>
          <w:i w:val="false"/>
          <w:color w:val="000000"/>
          <w:sz w:val="28"/>
        </w:rPr>
        <w:t>
      Держатель регистрационного удостоверения выполняет контроль данных, получаемых при проведении исследования, и оценивает их влияние на соотношение польза-риск соответствующего лекарственного препарата. Любая новая информация, которая влияет на оценку соотношения польза-риск лекарственного препарата, незамедлительно сообщается в уполномоченную организацию. Данные, оказывающие влияние на оценку соотношения польза-риск лекарственного препарата, включают данные, получаемые в результате анализа информации о подозреваемых нежелательных реакциях или результаты промежуточного анализа обобщенных данных по безопасности.</w:t>
      </w:r>
    </w:p>
    <w:bookmarkEnd w:id="8063"/>
    <w:bookmarkStart w:name="z8236" w:id="8064"/>
    <w:p>
      <w:pPr>
        <w:spacing w:after="0"/>
        <w:ind w:left="0"/>
        <w:jc w:val="both"/>
      </w:pPr>
      <w:r>
        <w:rPr>
          <w:rFonts w:ascii="Times New Roman"/>
          <w:b w:val="false"/>
          <w:i w:val="false"/>
          <w:color w:val="000000"/>
          <w:sz w:val="28"/>
        </w:rPr>
        <w:t>
      Данное информирование не влияет на информацию о результатах исследований, которая представляется в рамках ПОБ и в обновлениях плана управления рисками, если это применимо.</w:t>
      </w:r>
    </w:p>
    <w:bookmarkEnd w:id="8064"/>
    <w:bookmarkStart w:name="z8237" w:id="8065"/>
    <w:p>
      <w:pPr>
        <w:spacing w:after="0"/>
        <w:ind w:left="0"/>
        <w:jc w:val="both"/>
      </w:pPr>
      <w:r>
        <w:rPr>
          <w:rFonts w:ascii="Times New Roman"/>
          <w:b w:val="false"/>
          <w:i w:val="false"/>
          <w:color w:val="000000"/>
          <w:sz w:val="28"/>
        </w:rPr>
        <w:t>
      389. Подозреваемые нежелательные реакции и иная информация по безопасности, подлежащая срочному представлению.</w:t>
      </w:r>
    </w:p>
    <w:bookmarkEnd w:id="8065"/>
    <w:bookmarkStart w:name="z8238" w:id="8066"/>
    <w:p>
      <w:pPr>
        <w:spacing w:after="0"/>
        <w:ind w:left="0"/>
        <w:jc w:val="both"/>
      </w:pPr>
      <w:r>
        <w:rPr>
          <w:rFonts w:ascii="Times New Roman"/>
          <w:b w:val="false"/>
          <w:i w:val="false"/>
          <w:color w:val="000000"/>
          <w:sz w:val="28"/>
        </w:rPr>
        <w:t>
      Информация по серьезным непредвиденным нежелательным реакциям и иная информация по безопасности представляется в срочном порядке в уполномоченный орган в соответствии с требованиями настоящего Стандарта. Процедуры сбора информации по нежелательным реакциям, управления данными (включая обзор и оценку, выполняемую держателем регистрационного удостоверения, если это применимо) и представления сообщений о подозреваемых нежелательных реакциях выполняются в центрах проведения клинических исследований и в краткой форме излагаются в протоколе исследования.</w:t>
      </w:r>
    </w:p>
    <w:bookmarkEnd w:id="8066"/>
    <w:bookmarkStart w:name="z8239" w:id="8067"/>
    <w:p>
      <w:pPr>
        <w:spacing w:after="0"/>
        <w:ind w:left="0"/>
        <w:jc w:val="left"/>
      </w:pPr>
      <w:r>
        <w:rPr>
          <w:rFonts w:ascii="Times New Roman"/>
          <w:b/>
          <w:i w:val="false"/>
          <w:color w:val="000000"/>
        </w:rPr>
        <w:t xml:space="preserve"> Глава 43. Отчеты об исследованиях</w:t>
      </w:r>
    </w:p>
    <w:bookmarkEnd w:id="8067"/>
    <w:bookmarkStart w:name="z8240" w:id="8068"/>
    <w:p>
      <w:pPr>
        <w:spacing w:after="0"/>
        <w:ind w:left="0"/>
        <w:jc w:val="left"/>
      </w:pPr>
      <w:r>
        <w:rPr>
          <w:rFonts w:ascii="Times New Roman"/>
          <w:b/>
          <w:i w:val="false"/>
          <w:color w:val="000000"/>
        </w:rPr>
        <w:t xml:space="preserve"> Параграф 1. Промежуточная отчетность</w:t>
      </w:r>
    </w:p>
    <w:bookmarkEnd w:id="8068"/>
    <w:bookmarkStart w:name="z8241" w:id="8069"/>
    <w:p>
      <w:pPr>
        <w:spacing w:after="0"/>
        <w:ind w:left="0"/>
        <w:jc w:val="both"/>
      </w:pPr>
      <w:r>
        <w:rPr>
          <w:rFonts w:ascii="Times New Roman"/>
          <w:b w:val="false"/>
          <w:i w:val="false"/>
          <w:color w:val="000000"/>
          <w:sz w:val="28"/>
        </w:rPr>
        <w:t>
      390. Уполномоченная организация запрашивает представление промежуточного отчета по выполняемому ПРИБ на лекарственные препараты, зарегистрированные на территории Республики Казахстан. Запросы на представление промежуточных отчетов делаются до начала исследования или в любое время в ходе проведения исследования. Причиной запроса является информация в отношении профиля эффективности и (или) безопасности, возникающая в ходе исследования, либо необходимость получения информации о ходе выполнения исследования в контексте уполномоченных процедур, а также важная информация по безопасности лекарственного препарата.</w:t>
      </w:r>
    </w:p>
    <w:bookmarkEnd w:id="8069"/>
    <w:bookmarkStart w:name="z8242" w:id="8070"/>
    <w:p>
      <w:pPr>
        <w:spacing w:after="0"/>
        <w:ind w:left="0"/>
        <w:jc w:val="both"/>
      </w:pPr>
      <w:r>
        <w:rPr>
          <w:rFonts w:ascii="Times New Roman"/>
          <w:b w:val="false"/>
          <w:i w:val="false"/>
          <w:color w:val="000000"/>
          <w:sz w:val="28"/>
        </w:rPr>
        <w:t>
      Время представления промежуточных отчетов согласовывается с уполномоченной организацией и указывается в протоколе исследований. Ход выполнения ПРИБ соответствующим образом отражается в периодических отчетах по безопасности и в обновлениях плана управления рисками, если это применимо.</w:t>
      </w:r>
    </w:p>
    <w:bookmarkEnd w:id="8070"/>
    <w:bookmarkStart w:name="z8243" w:id="8071"/>
    <w:p>
      <w:pPr>
        <w:spacing w:after="0"/>
        <w:ind w:left="0"/>
        <w:jc w:val="both"/>
      </w:pPr>
      <w:r>
        <w:rPr>
          <w:rFonts w:ascii="Times New Roman"/>
          <w:b w:val="false"/>
          <w:i w:val="false"/>
          <w:color w:val="000000"/>
          <w:sz w:val="28"/>
        </w:rPr>
        <w:t>
      Содержание промежуточного отчета соответствует логической последовательности и включает все доступные данные, признанные имеющими отношение к ходу выполнения исследования: число включенных исследование пациентов, число пациентов, подвергшихся воздействию лекарственного препарата, или число пациентов, у которых зафиксирован мониторируемый исход, сложности в выполнении исследования и отклонения от ожидаемого плана. После рассмотрения отчета уполномоченным органом запрашивается дополнительная информация.</w:t>
      </w:r>
    </w:p>
    <w:bookmarkEnd w:id="8071"/>
    <w:bookmarkStart w:name="z8244" w:id="8072"/>
    <w:p>
      <w:pPr>
        <w:spacing w:after="0"/>
        <w:ind w:left="0"/>
        <w:jc w:val="left"/>
      </w:pPr>
      <w:r>
        <w:rPr>
          <w:rFonts w:ascii="Times New Roman"/>
          <w:b/>
          <w:i w:val="false"/>
          <w:color w:val="000000"/>
        </w:rPr>
        <w:t xml:space="preserve"> Параграф 2. Итоговый отчет исследования</w:t>
      </w:r>
    </w:p>
    <w:bookmarkEnd w:id="8072"/>
    <w:bookmarkStart w:name="z8245" w:id="8073"/>
    <w:p>
      <w:pPr>
        <w:spacing w:after="0"/>
        <w:ind w:left="0"/>
        <w:jc w:val="both"/>
      </w:pPr>
      <w:r>
        <w:rPr>
          <w:rFonts w:ascii="Times New Roman"/>
          <w:b w:val="false"/>
          <w:i w:val="false"/>
          <w:color w:val="000000"/>
          <w:sz w:val="28"/>
        </w:rPr>
        <w:t>
      391. Итоговый отчет ПРИБ подается в уполномоченную организацию сразу после его завершения и в течение 12 месяцев от даты окончания сбора данных. Держатель регистрационного удостоверения подает итоговый отчет ПРИБ в уполномоченную организацию.</w:t>
      </w:r>
    </w:p>
    <w:bookmarkEnd w:id="8073"/>
    <w:bookmarkStart w:name="z8246" w:id="8074"/>
    <w:p>
      <w:pPr>
        <w:spacing w:after="0"/>
        <w:ind w:left="0"/>
        <w:jc w:val="both"/>
      </w:pPr>
      <w:r>
        <w:rPr>
          <w:rFonts w:ascii="Times New Roman"/>
          <w:b w:val="false"/>
          <w:i w:val="false"/>
          <w:color w:val="000000"/>
          <w:sz w:val="28"/>
        </w:rPr>
        <w:t>
      Для ПРИБ, добровольно инициированных держателем регистрационного удостоверения итоговый отчет об исследовании передается уполномоченную организацию.</w:t>
      </w:r>
    </w:p>
    <w:bookmarkEnd w:id="8074"/>
    <w:bookmarkStart w:name="z8247" w:id="8075"/>
    <w:p>
      <w:pPr>
        <w:spacing w:after="0"/>
        <w:ind w:left="0"/>
        <w:jc w:val="both"/>
      </w:pPr>
      <w:r>
        <w:rPr>
          <w:rFonts w:ascii="Times New Roman"/>
          <w:b w:val="false"/>
          <w:i w:val="false"/>
          <w:color w:val="000000"/>
          <w:sz w:val="28"/>
        </w:rPr>
        <w:t xml:space="preserve">
      Для ПРИБ, инициированных держателем регистрационного удостоверения в соответствии с обязательством, налагаемым со стороны уполномоченного органа, если не было предоставлено разрешение на отступление от требований, держатель регистрационного удостоверения в течение 12 месяцев по окончании сбора данных предоставляет итоговый отчет об исследовании, включая резюме исследования для публикации. </w:t>
      </w:r>
    </w:p>
    <w:bookmarkEnd w:id="8075"/>
    <w:bookmarkStart w:name="z8248" w:id="8076"/>
    <w:p>
      <w:pPr>
        <w:spacing w:after="0"/>
        <w:ind w:left="0"/>
        <w:jc w:val="both"/>
      </w:pPr>
      <w:r>
        <w:rPr>
          <w:rFonts w:ascii="Times New Roman"/>
          <w:b w:val="false"/>
          <w:i w:val="false"/>
          <w:color w:val="000000"/>
          <w:sz w:val="28"/>
        </w:rPr>
        <w:t>
      В случае остановки исследования подается итоговый отчет и объяснения причины остановки исследования.</w:t>
      </w:r>
    </w:p>
    <w:bookmarkEnd w:id="8076"/>
    <w:bookmarkStart w:name="z8249" w:id="8077"/>
    <w:p>
      <w:pPr>
        <w:spacing w:after="0"/>
        <w:ind w:left="0"/>
        <w:jc w:val="both"/>
      </w:pPr>
      <w:r>
        <w:rPr>
          <w:rFonts w:ascii="Times New Roman"/>
          <w:b w:val="false"/>
          <w:i w:val="false"/>
          <w:color w:val="000000"/>
          <w:sz w:val="28"/>
        </w:rPr>
        <w:t>
      392. Итоговый отчет ПРИБ включает следующие разделы и информацию:</w:t>
      </w:r>
    </w:p>
    <w:bookmarkEnd w:id="8077"/>
    <w:bookmarkStart w:name="z8250" w:id="8078"/>
    <w:p>
      <w:pPr>
        <w:spacing w:after="0"/>
        <w:ind w:left="0"/>
        <w:jc w:val="both"/>
      </w:pPr>
      <w:r>
        <w:rPr>
          <w:rFonts w:ascii="Times New Roman"/>
          <w:b w:val="false"/>
          <w:i w:val="false"/>
          <w:color w:val="000000"/>
          <w:sz w:val="28"/>
        </w:rPr>
        <w:t>
      1. название: название, включающее общеупотребительную терминологию, указывающую дизайн исследования; подзаголовки с датой итогового отчета, именем и сведениями об основном авторе отчета;</w:t>
      </w:r>
    </w:p>
    <w:bookmarkEnd w:id="8078"/>
    <w:bookmarkStart w:name="z8251" w:id="8079"/>
    <w:p>
      <w:pPr>
        <w:spacing w:after="0"/>
        <w:ind w:left="0"/>
        <w:jc w:val="both"/>
      </w:pPr>
      <w:r>
        <w:rPr>
          <w:rFonts w:ascii="Times New Roman"/>
          <w:b w:val="false"/>
          <w:i w:val="false"/>
          <w:color w:val="000000"/>
          <w:sz w:val="28"/>
        </w:rPr>
        <w:t>
      2. краткое содержание: отдельное резюме в представленном ниже формате;</w:t>
      </w:r>
    </w:p>
    <w:bookmarkEnd w:id="8079"/>
    <w:bookmarkStart w:name="z8252" w:id="8080"/>
    <w:p>
      <w:pPr>
        <w:spacing w:after="0"/>
        <w:ind w:left="0"/>
        <w:jc w:val="both"/>
      </w:pPr>
      <w:r>
        <w:rPr>
          <w:rFonts w:ascii="Times New Roman"/>
          <w:b w:val="false"/>
          <w:i w:val="false"/>
          <w:color w:val="000000"/>
          <w:sz w:val="28"/>
        </w:rPr>
        <w:t>
      3. держатель регистрационного удостоверения: наименование и адрес держателя регистрационного удостоверения;</w:t>
      </w:r>
    </w:p>
    <w:bookmarkEnd w:id="8080"/>
    <w:bookmarkStart w:name="z8253" w:id="8081"/>
    <w:p>
      <w:pPr>
        <w:spacing w:after="0"/>
        <w:ind w:left="0"/>
        <w:jc w:val="both"/>
      </w:pPr>
      <w:r>
        <w:rPr>
          <w:rFonts w:ascii="Times New Roman"/>
          <w:b w:val="false"/>
          <w:i w:val="false"/>
          <w:color w:val="000000"/>
          <w:sz w:val="28"/>
        </w:rPr>
        <w:t>
      4. исследователи: имена, титулы, ученые степени, адреса и сведения обо всех исследователях, а также перечень всех вовлеченные в исследование организаций и мест выполнения исследования;</w:t>
      </w:r>
    </w:p>
    <w:bookmarkEnd w:id="8081"/>
    <w:bookmarkStart w:name="z8254" w:id="8082"/>
    <w:p>
      <w:pPr>
        <w:spacing w:after="0"/>
        <w:ind w:left="0"/>
        <w:jc w:val="both"/>
      </w:pPr>
      <w:r>
        <w:rPr>
          <w:rFonts w:ascii="Times New Roman"/>
          <w:b w:val="false"/>
          <w:i w:val="false"/>
          <w:color w:val="000000"/>
          <w:sz w:val="28"/>
        </w:rPr>
        <w:t>
      5. контрольные точки: запланированные и фактические даты по следующим контрольным точкам выполнения исследования:</w:t>
      </w:r>
    </w:p>
    <w:bookmarkEnd w:id="8082"/>
    <w:bookmarkStart w:name="z8255" w:id="8083"/>
    <w:p>
      <w:pPr>
        <w:spacing w:after="0"/>
        <w:ind w:left="0"/>
        <w:jc w:val="both"/>
      </w:pPr>
      <w:r>
        <w:rPr>
          <w:rFonts w:ascii="Times New Roman"/>
          <w:b w:val="false"/>
          <w:i w:val="false"/>
          <w:color w:val="000000"/>
          <w:sz w:val="28"/>
        </w:rPr>
        <w:t>
      1) начало сбора данных;</w:t>
      </w:r>
    </w:p>
    <w:bookmarkEnd w:id="8083"/>
    <w:bookmarkStart w:name="z8256" w:id="8084"/>
    <w:p>
      <w:pPr>
        <w:spacing w:after="0"/>
        <w:ind w:left="0"/>
        <w:jc w:val="both"/>
      </w:pPr>
      <w:r>
        <w:rPr>
          <w:rFonts w:ascii="Times New Roman"/>
          <w:b w:val="false"/>
          <w:i w:val="false"/>
          <w:color w:val="000000"/>
          <w:sz w:val="28"/>
        </w:rPr>
        <w:t>
      2) конец сбора данных;</w:t>
      </w:r>
    </w:p>
    <w:bookmarkEnd w:id="8084"/>
    <w:bookmarkStart w:name="z8257" w:id="8085"/>
    <w:p>
      <w:pPr>
        <w:spacing w:after="0"/>
        <w:ind w:left="0"/>
        <w:jc w:val="both"/>
      </w:pPr>
      <w:r>
        <w:rPr>
          <w:rFonts w:ascii="Times New Roman"/>
          <w:b w:val="false"/>
          <w:i w:val="false"/>
          <w:color w:val="000000"/>
          <w:sz w:val="28"/>
        </w:rPr>
        <w:t>
      3) отчетность о ходе исследования, запрошенная уполномоченным органом;</w:t>
      </w:r>
    </w:p>
    <w:bookmarkEnd w:id="8085"/>
    <w:bookmarkStart w:name="z8258" w:id="8086"/>
    <w:p>
      <w:pPr>
        <w:spacing w:after="0"/>
        <w:ind w:left="0"/>
        <w:jc w:val="both"/>
      </w:pPr>
      <w:r>
        <w:rPr>
          <w:rFonts w:ascii="Times New Roman"/>
          <w:b w:val="false"/>
          <w:i w:val="false"/>
          <w:color w:val="000000"/>
          <w:sz w:val="28"/>
        </w:rPr>
        <w:t>
      4) промежуточная отчетность о результатах исследования, если это применимо;</w:t>
      </w:r>
    </w:p>
    <w:bookmarkEnd w:id="8086"/>
    <w:bookmarkStart w:name="z8259" w:id="8087"/>
    <w:p>
      <w:pPr>
        <w:spacing w:after="0"/>
        <w:ind w:left="0"/>
        <w:jc w:val="both"/>
      </w:pPr>
      <w:r>
        <w:rPr>
          <w:rFonts w:ascii="Times New Roman"/>
          <w:b w:val="false"/>
          <w:i w:val="false"/>
          <w:color w:val="000000"/>
          <w:sz w:val="28"/>
        </w:rPr>
        <w:t>
      5) итоговый отчет о результатах исследования;</w:t>
      </w:r>
    </w:p>
    <w:bookmarkEnd w:id="8087"/>
    <w:bookmarkStart w:name="z8260" w:id="8088"/>
    <w:p>
      <w:pPr>
        <w:spacing w:after="0"/>
        <w:ind w:left="0"/>
        <w:jc w:val="both"/>
      </w:pPr>
      <w:r>
        <w:rPr>
          <w:rFonts w:ascii="Times New Roman"/>
          <w:b w:val="false"/>
          <w:i w:val="false"/>
          <w:color w:val="000000"/>
          <w:sz w:val="28"/>
        </w:rPr>
        <w:t>
      6) любые иные важные контрольные точки, применимые к исследованию, включая дату утверждения протокола комитетом по этике, если это применимо, и дату регистрации исследования в электронном реестре исследований.</w:t>
      </w:r>
    </w:p>
    <w:bookmarkEnd w:id="8088"/>
    <w:bookmarkStart w:name="z8261" w:id="8089"/>
    <w:p>
      <w:pPr>
        <w:spacing w:after="0"/>
        <w:ind w:left="0"/>
        <w:jc w:val="both"/>
      </w:pPr>
      <w:r>
        <w:rPr>
          <w:rFonts w:ascii="Times New Roman"/>
          <w:b w:val="false"/>
          <w:i w:val="false"/>
          <w:color w:val="000000"/>
          <w:sz w:val="28"/>
        </w:rPr>
        <w:t xml:space="preserve">
      6. обоснование и предпосылки проведения исследования: описание проблемы по безопасности, которая привела к инициации исследования, а также критический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знаний по безопасности, на получение которых было направлено исследование; </w:t>
      </w:r>
    </w:p>
    <w:bookmarkEnd w:id="8089"/>
    <w:bookmarkStart w:name="z8262" w:id="8090"/>
    <w:p>
      <w:pPr>
        <w:spacing w:after="0"/>
        <w:ind w:left="0"/>
        <w:jc w:val="both"/>
      </w:pPr>
      <w:r>
        <w:rPr>
          <w:rFonts w:ascii="Times New Roman"/>
          <w:b w:val="false"/>
          <w:i w:val="false"/>
          <w:color w:val="000000"/>
          <w:sz w:val="28"/>
        </w:rPr>
        <w:t>
      7. цель и задачи исследования: цель исследования и задачи исследования, включая любые предварительные гипотезы, как указано в протоколе испытаний;</w:t>
      </w:r>
    </w:p>
    <w:bookmarkEnd w:id="8090"/>
    <w:bookmarkStart w:name="z8263" w:id="8091"/>
    <w:p>
      <w:pPr>
        <w:spacing w:after="0"/>
        <w:ind w:left="0"/>
        <w:jc w:val="both"/>
      </w:pPr>
      <w:r>
        <w:rPr>
          <w:rFonts w:ascii="Times New Roman"/>
          <w:b w:val="false"/>
          <w:i w:val="false"/>
          <w:color w:val="000000"/>
          <w:sz w:val="28"/>
        </w:rPr>
        <w:t>
      8. изменения и обновления: перечень любых существенных изменений и обновлений первоначального протокола испытаний после начала сбора данных, включая обоснование каждого изменения или обновления;</w:t>
      </w:r>
    </w:p>
    <w:bookmarkEnd w:id="8091"/>
    <w:bookmarkStart w:name="z8264" w:id="8092"/>
    <w:p>
      <w:pPr>
        <w:spacing w:after="0"/>
        <w:ind w:left="0"/>
        <w:jc w:val="both"/>
      </w:pPr>
      <w:r>
        <w:rPr>
          <w:rFonts w:ascii="Times New Roman"/>
          <w:b w:val="false"/>
          <w:i w:val="false"/>
          <w:color w:val="000000"/>
          <w:sz w:val="28"/>
        </w:rPr>
        <w:t>
      9. методы исследования:</w:t>
      </w:r>
    </w:p>
    <w:bookmarkEnd w:id="8092"/>
    <w:bookmarkStart w:name="z8265" w:id="8093"/>
    <w:p>
      <w:pPr>
        <w:spacing w:after="0"/>
        <w:ind w:left="0"/>
        <w:jc w:val="both"/>
      </w:pPr>
      <w:r>
        <w:rPr>
          <w:rFonts w:ascii="Times New Roman"/>
          <w:b w:val="false"/>
          <w:i w:val="false"/>
          <w:color w:val="000000"/>
          <w:sz w:val="28"/>
        </w:rPr>
        <w:t>
      Дизайн исследования: ключевые элементы дизайна исследования и обоснование выбранного дизайна.</w:t>
      </w:r>
    </w:p>
    <w:bookmarkEnd w:id="8093"/>
    <w:bookmarkStart w:name="z8266" w:id="8094"/>
    <w:p>
      <w:pPr>
        <w:spacing w:after="0"/>
        <w:ind w:left="0"/>
        <w:jc w:val="both"/>
      </w:pPr>
      <w:r>
        <w:rPr>
          <w:rFonts w:ascii="Times New Roman"/>
          <w:b w:val="false"/>
          <w:i w:val="false"/>
          <w:color w:val="000000"/>
          <w:sz w:val="28"/>
        </w:rPr>
        <w:t>
      Условия: условия, места и соответствующие даты проведения исследования, включая периоды набора пациентов, последующего наблюдения и сбора данных. В случае систематического обзора или мета-анализа - характеристики исследований, используемые в качестве критериев приемлемости, с их обоснованием.</w:t>
      </w:r>
    </w:p>
    <w:bookmarkEnd w:id="8094"/>
    <w:bookmarkStart w:name="z8267" w:id="8095"/>
    <w:p>
      <w:pPr>
        <w:spacing w:after="0"/>
        <w:ind w:left="0"/>
        <w:jc w:val="both"/>
      </w:pPr>
      <w:r>
        <w:rPr>
          <w:rFonts w:ascii="Times New Roman"/>
          <w:b w:val="false"/>
          <w:i w:val="false"/>
          <w:color w:val="000000"/>
          <w:sz w:val="28"/>
        </w:rPr>
        <w:t>
      Пациенты: любая целевая популяция и критерии включения пациентов в исследование.</w:t>
      </w:r>
    </w:p>
    <w:bookmarkEnd w:id="8095"/>
    <w:bookmarkStart w:name="z8268" w:id="8096"/>
    <w:p>
      <w:pPr>
        <w:spacing w:after="0"/>
        <w:ind w:left="0"/>
        <w:jc w:val="both"/>
      </w:pPr>
      <w:r>
        <w:rPr>
          <w:rFonts w:ascii="Times New Roman"/>
          <w:b w:val="false"/>
          <w:i w:val="false"/>
          <w:color w:val="000000"/>
          <w:sz w:val="28"/>
        </w:rPr>
        <w:t>
      Указываются источники и методы подбора участников, включая, где это применимо, методы индивидуализации случаев, а также количество и причины исключения из исследования.</w:t>
      </w:r>
    </w:p>
    <w:bookmarkEnd w:id="8096"/>
    <w:bookmarkStart w:name="z8269" w:id="8097"/>
    <w:p>
      <w:pPr>
        <w:spacing w:after="0"/>
        <w:ind w:left="0"/>
        <w:jc w:val="both"/>
      </w:pPr>
      <w:r>
        <w:rPr>
          <w:rFonts w:ascii="Times New Roman"/>
          <w:b w:val="false"/>
          <w:i w:val="false"/>
          <w:color w:val="000000"/>
          <w:sz w:val="28"/>
        </w:rPr>
        <w:t>
      Переменные: все результаты, воздействие, прогностические факторы, потенциальные искажающие факторы и факторы, модифицирующие эффект, включая операционные определения. Если это применимо, представляются диагностические критерии.</w:t>
      </w:r>
    </w:p>
    <w:bookmarkEnd w:id="8097"/>
    <w:bookmarkStart w:name="z8270" w:id="8098"/>
    <w:p>
      <w:pPr>
        <w:spacing w:after="0"/>
        <w:ind w:left="0"/>
        <w:jc w:val="both"/>
      </w:pPr>
      <w:r>
        <w:rPr>
          <w:rFonts w:ascii="Times New Roman"/>
          <w:b w:val="false"/>
          <w:i w:val="false"/>
          <w:color w:val="000000"/>
          <w:sz w:val="28"/>
        </w:rPr>
        <w:t>
      Источники данных и измерение: для каждой рассматриваемой переменной указываются источники данных и подробное описание методов оценки и измерения (если это применимо), а также сопоставимость методов оценки, если их более одного. Если исследование использовало существующий источник данных, такой как электронные медицинские карты, сообщается любая информация о валидности записей и кодировании данных. В случае систематического обзора или мета-анализа описываются все источники информации, стратегия поиска, методы для выбора исследований, методы извлечения данных и любые процессы для получения и подтверждения данных исследователей.</w:t>
      </w:r>
    </w:p>
    <w:bookmarkEnd w:id="8098"/>
    <w:bookmarkStart w:name="z8271" w:id="8099"/>
    <w:p>
      <w:pPr>
        <w:spacing w:after="0"/>
        <w:ind w:left="0"/>
        <w:jc w:val="both"/>
      </w:pPr>
      <w:r>
        <w:rPr>
          <w:rFonts w:ascii="Times New Roman"/>
          <w:b w:val="false"/>
          <w:i w:val="false"/>
          <w:color w:val="000000"/>
          <w:sz w:val="28"/>
        </w:rPr>
        <w:t>
      Ошибки: описание предпринятых действий (мер) по обращению с потенциальными источниками ошибок.</w:t>
      </w:r>
    </w:p>
    <w:bookmarkEnd w:id="8099"/>
    <w:bookmarkStart w:name="z8272" w:id="8100"/>
    <w:p>
      <w:pPr>
        <w:spacing w:after="0"/>
        <w:ind w:left="0"/>
        <w:jc w:val="both"/>
      </w:pPr>
      <w:r>
        <w:rPr>
          <w:rFonts w:ascii="Times New Roman"/>
          <w:b w:val="false"/>
          <w:i w:val="false"/>
          <w:color w:val="000000"/>
          <w:sz w:val="28"/>
        </w:rPr>
        <w:t>
      Объем выборки: объем выборки и обоснование любого вычисления размера выборки и метода достижения предполагаемого размера выборки.</w:t>
      </w:r>
    </w:p>
    <w:bookmarkEnd w:id="8100"/>
    <w:bookmarkStart w:name="z8273" w:id="8101"/>
    <w:p>
      <w:pPr>
        <w:spacing w:after="0"/>
        <w:ind w:left="0"/>
        <w:jc w:val="both"/>
      </w:pPr>
      <w:r>
        <w:rPr>
          <w:rFonts w:ascii="Times New Roman"/>
          <w:b w:val="false"/>
          <w:i w:val="false"/>
          <w:color w:val="000000"/>
          <w:sz w:val="28"/>
        </w:rPr>
        <w:t>
      Преобразование данных: преобразования, вычисления или операции с данными, включая методы обработки количественных данных при выполнении анализа, обоснование выбранных методов группирования данных.</w:t>
      </w:r>
    </w:p>
    <w:bookmarkEnd w:id="8101"/>
    <w:bookmarkStart w:name="z8274" w:id="8102"/>
    <w:p>
      <w:pPr>
        <w:spacing w:after="0"/>
        <w:ind w:left="0"/>
        <w:jc w:val="both"/>
      </w:pPr>
      <w:r>
        <w:rPr>
          <w:rFonts w:ascii="Times New Roman"/>
          <w:b w:val="false"/>
          <w:i w:val="false"/>
          <w:color w:val="000000"/>
          <w:sz w:val="28"/>
        </w:rPr>
        <w:t>
      Статистические методы: описание по следующим аспектам:</w:t>
      </w:r>
    </w:p>
    <w:bookmarkEnd w:id="8102"/>
    <w:bookmarkStart w:name="z8275" w:id="8103"/>
    <w:p>
      <w:pPr>
        <w:spacing w:after="0"/>
        <w:ind w:left="0"/>
        <w:jc w:val="both"/>
      </w:pPr>
      <w:r>
        <w:rPr>
          <w:rFonts w:ascii="Times New Roman"/>
          <w:b w:val="false"/>
          <w:i w:val="false"/>
          <w:color w:val="000000"/>
          <w:sz w:val="28"/>
        </w:rPr>
        <w:t>
      основные методы обобщения;</w:t>
      </w:r>
    </w:p>
    <w:bookmarkEnd w:id="8103"/>
    <w:bookmarkStart w:name="z8276" w:id="8104"/>
    <w:p>
      <w:pPr>
        <w:spacing w:after="0"/>
        <w:ind w:left="0"/>
        <w:jc w:val="both"/>
      </w:pPr>
      <w:r>
        <w:rPr>
          <w:rFonts w:ascii="Times New Roman"/>
          <w:b w:val="false"/>
          <w:i w:val="false"/>
          <w:color w:val="000000"/>
          <w:sz w:val="28"/>
        </w:rPr>
        <w:t>
      все статистические методы, которые применялись в исследовании, включая методы для контроля искажений и, что касается мета-анализов, методы комбинирования результатов исследований;</w:t>
      </w:r>
    </w:p>
    <w:bookmarkEnd w:id="8104"/>
    <w:bookmarkStart w:name="z8277" w:id="8105"/>
    <w:p>
      <w:pPr>
        <w:spacing w:after="0"/>
        <w:ind w:left="0"/>
        <w:jc w:val="both"/>
      </w:pPr>
      <w:r>
        <w:rPr>
          <w:rFonts w:ascii="Times New Roman"/>
          <w:b w:val="false"/>
          <w:i w:val="false"/>
          <w:color w:val="000000"/>
          <w:sz w:val="28"/>
        </w:rPr>
        <w:t>
      любые методы, используемые для изучения подгрупп и взаимодействий;</w:t>
      </w:r>
    </w:p>
    <w:bookmarkEnd w:id="8105"/>
    <w:bookmarkStart w:name="z8278" w:id="8106"/>
    <w:p>
      <w:pPr>
        <w:spacing w:after="0"/>
        <w:ind w:left="0"/>
        <w:jc w:val="both"/>
      </w:pPr>
      <w:r>
        <w:rPr>
          <w:rFonts w:ascii="Times New Roman"/>
          <w:b w:val="false"/>
          <w:i w:val="false"/>
          <w:color w:val="000000"/>
          <w:sz w:val="28"/>
        </w:rPr>
        <w:t>
      подход к решению проблемы по недоступным данным;</w:t>
      </w:r>
    </w:p>
    <w:bookmarkEnd w:id="8106"/>
    <w:bookmarkStart w:name="z8279" w:id="8107"/>
    <w:p>
      <w:pPr>
        <w:spacing w:after="0"/>
        <w:ind w:left="0"/>
        <w:jc w:val="both"/>
      </w:pPr>
      <w:r>
        <w:rPr>
          <w:rFonts w:ascii="Times New Roman"/>
          <w:b w:val="false"/>
          <w:i w:val="false"/>
          <w:color w:val="000000"/>
          <w:sz w:val="28"/>
        </w:rPr>
        <w:t>
      оценка чувствительности исследования;</w:t>
      </w:r>
    </w:p>
    <w:bookmarkEnd w:id="8107"/>
    <w:bookmarkStart w:name="z8280" w:id="8108"/>
    <w:p>
      <w:pPr>
        <w:spacing w:after="0"/>
        <w:ind w:left="0"/>
        <w:jc w:val="both"/>
      </w:pPr>
      <w:r>
        <w:rPr>
          <w:rFonts w:ascii="Times New Roman"/>
          <w:b w:val="false"/>
          <w:i w:val="false"/>
          <w:color w:val="000000"/>
          <w:sz w:val="28"/>
        </w:rPr>
        <w:t>
      все изменения плана анализа данных, предусмотренного протоколом исследования, с обоснованием изменений.</w:t>
      </w:r>
    </w:p>
    <w:bookmarkEnd w:id="8108"/>
    <w:bookmarkStart w:name="z8281" w:id="8109"/>
    <w:p>
      <w:pPr>
        <w:spacing w:after="0"/>
        <w:ind w:left="0"/>
        <w:jc w:val="both"/>
      </w:pPr>
      <w:r>
        <w:rPr>
          <w:rFonts w:ascii="Times New Roman"/>
          <w:b w:val="false"/>
          <w:i w:val="false"/>
          <w:color w:val="000000"/>
          <w:sz w:val="28"/>
        </w:rPr>
        <w:t>
      Контроль качества: механизмы и процедуры обеспечения качества и целостности данных.</w:t>
      </w:r>
    </w:p>
    <w:bookmarkEnd w:id="8109"/>
    <w:bookmarkStart w:name="z8282" w:id="8110"/>
    <w:p>
      <w:pPr>
        <w:spacing w:after="0"/>
        <w:ind w:left="0"/>
        <w:jc w:val="both"/>
      </w:pPr>
      <w:r>
        <w:rPr>
          <w:rFonts w:ascii="Times New Roman"/>
          <w:b w:val="false"/>
          <w:i w:val="false"/>
          <w:color w:val="000000"/>
          <w:sz w:val="28"/>
        </w:rPr>
        <w:t>
      Результаты: представление таблиц, графиков и иллюстраций для отображения полученных данных и проведенного анализа. Представляются как адаптированные, так и неадаптированные результаты. Оценка точности данных выполняется количественно с указанием доверительных интервалов. Этот раздел включает следующие подразделы:</w:t>
      </w:r>
    </w:p>
    <w:bookmarkEnd w:id="8110"/>
    <w:bookmarkStart w:name="z8283" w:id="8111"/>
    <w:p>
      <w:pPr>
        <w:spacing w:after="0"/>
        <w:ind w:left="0"/>
        <w:jc w:val="both"/>
      </w:pPr>
      <w:r>
        <w:rPr>
          <w:rFonts w:ascii="Times New Roman"/>
          <w:b w:val="false"/>
          <w:i w:val="false"/>
          <w:color w:val="000000"/>
          <w:sz w:val="28"/>
        </w:rPr>
        <w:t>
      участники: количество пациентов на каждом этапе исследования (число потенциально соответствующих, прошедших процедуру скринирования, подтвержденных как соответствующие, включенных в исследование, завершающих последующее наблюдение и проанализированных, а также причины выбытия из исследования на любом этапе). В случае систематического обзора или мета-анализа - количество скринированных, оцененных на соответствие и включенных в обзор исследований с указанием причин исключения на каждом этапе;</w:t>
      </w:r>
    </w:p>
    <w:bookmarkEnd w:id="8111"/>
    <w:bookmarkStart w:name="z8284" w:id="8112"/>
    <w:p>
      <w:pPr>
        <w:spacing w:after="0"/>
        <w:ind w:left="0"/>
        <w:jc w:val="both"/>
      </w:pPr>
      <w:r>
        <w:rPr>
          <w:rFonts w:ascii="Times New Roman"/>
          <w:b w:val="false"/>
          <w:i w:val="false"/>
          <w:color w:val="000000"/>
          <w:sz w:val="28"/>
        </w:rPr>
        <w:t>
      описательные данные: характеристики участников исследования, информация по воздействию и потенциальных искажающих факторах, а также количество участников с отсутствующими данными для каждой рассматриваемой переменной. В случае систематического обзора или мета-анализа - характеристика каждого исследования, данные которого были использованы (объем выборки, последующее наблюдение);</w:t>
      </w:r>
    </w:p>
    <w:bookmarkEnd w:id="8112"/>
    <w:bookmarkStart w:name="z8285" w:id="8113"/>
    <w:p>
      <w:pPr>
        <w:spacing w:after="0"/>
        <w:ind w:left="0"/>
        <w:jc w:val="both"/>
      </w:pPr>
      <w:r>
        <w:rPr>
          <w:rFonts w:ascii="Times New Roman"/>
          <w:b w:val="false"/>
          <w:i w:val="false"/>
          <w:color w:val="000000"/>
          <w:sz w:val="28"/>
        </w:rPr>
        <w:t>
      данные о результатах: количество участников по категориям основных результатов;</w:t>
      </w:r>
    </w:p>
    <w:bookmarkEnd w:id="8113"/>
    <w:bookmarkStart w:name="z8286" w:id="8114"/>
    <w:p>
      <w:pPr>
        <w:spacing w:after="0"/>
        <w:ind w:left="0"/>
        <w:jc w:val="both"/>
      </w:pPr>
      <w:r>
        <w:rPr>
          <w:rFonts w:ascii="Times New Roman"/>
          <w:b w:val="false"/>
          <w:i w:val="false"/>
          <w:color w:val="000000"/>
          <w:sz w:val="28"/>
        </w:rPr>
        <w:t>
      основные результаты: результаты неадаптированной оценки и, если это применимо, адаптированной оценки с учетом искажающих факторов и их точность (95% доверительный интервал). Оценка относительного риска переводится в абсолютный риск для значимого периода времени;</w:t>
      </w:r>
    </w:p>
    <w:bookmarkEnd w:id="8114"/>
    <w:bookmarkStart w:name="z8287" w:id="8115"/>
    <w:p>
      <w:pPr>
        <w:spacing w:after="0"/>
        <w:ind w:left="0"/>
        <w:jc w:val="both"/>
      </w:pPr>
      <w:r>
        <w:rPr>
          <w:rFonts w:ascii="Times New Roman"/>
          <w:b w:val="false"/>
          <w:i w:val="false"/>
          <w:color w:val="000000"/>
          <w:sz w:val="28"/>
        </w:rPr>
        <w:t>
      другие виды анализа: другие проведенные анализы (анализы подгрупп и взаимодействия, а также анализы чувствительности);</w:t>
      </w:r>
    </w:p>
    <w:bookmarkEnd w:id="8115"/>
    <w:bookmarkStart w:name="z8288" w:id="8116"/>
    <w:p>
      <w:pPr>
        <w:spacing w:after="0"/>
        <w:ind w:left="0"/>
        <w:jc w:val="both"/>
      </w:pPr>
      <w:r>
        <w:rPr>
          <w:rFonts w:ascii="Times New Roman"/>
          <w:b w:val="false"/>
          <w:i w:val="false"/>
          <w:color w:val="000000"/>
          <w:sz w:val="28"/>
        </w:rPr>
        <w:t>
      нежелательные явления (нежелательные реакции): управление данными и представление информации о нежелательных явлениях (нежелательных реакциях) в уполномоченные органы.</w:t>
      </w:r>
    </w:p>
    <w:bookmarkEnd w:id="8116"/>
    <w:bookmarkStart w:name="z8289" w:id="8117"/>
    <w:p>
      <w:pPr>
        <w:spacing w:after="0"/>
        <w:ind w:left="0"/>
        <w:jc w:val="both"/>
      </w:pPr>
      <w:r>
        <w:rPr>
          <w:rFonts w:ascii="Times New Roman"/>
          <w:b w:val="false"/>
          <w:i w:val="false"/>
          <w:color w:val="000000"/>
          <w:sz w:val="28"/>
        </w:rPr>
        <w:t>
      Для определенных дизайнов исследований, таких как случай-контроль или ретроспективные когортные исследования, особенно включающих анализ данных электронных медицинских карт, систематические пересмотры и мета-анализы, указывается, если невозможно было провести оценку степени достоверности причинно-следственной связи на уровне индивидуальных случаев.</w:t>
      </w:r>
    </w:p>
    <w:bookmarkEnd w:id="8117"/>
    <w:bookmarkStart w:name="z8290" w:id="8118"/>
    <w:p>
      <w:pPr>
        <w:spacing w:after="0"/>
        <w:ind w:left="0"/>
        <w:jc w:val="both"/>
      </w:pPr>
      <w:r>
        <w:rPr>
          <w:rFonts w:ascii="Times New Roman"/>
          <w:b w:val="false"/>
          <w:i w:val="false"/>
          <w:color w:val="000000"/>
          <w:sz w:val="28"/>
        </w:rPr>
        <w:t>
      Обсуждение:</w:t>
      </w:r>
    </w:p>
    <w:bookmarkEnd w:id="8118"/>
    <w:bookmarkStart w:name="z8291" w:id="8119"/>
    <w:p>
      <w:pPr>
        <w:spacing w:after="0"/>
        <w:ind w:left="0"/>
        <w:jc w:val="both"/>
      </w:pPr>
      <w:r>
        <w:rPr>
          <w:rFonts w:ascii="Times New Roman"/>
          <w:b w:val="false"/>
          <w:i w:val="false"/>
          <w:color w:val="000000"/>
          <w:sz w:val="28"/>
        </w:rPr>
        <w:t>
      ключевые результаты: ключевые результаты, имеющие отношение к задачам исследования; ранее проведенное исследование, результаты которого согласуются или противоречат полученным текущим результатам; влияние результатов на соотношение польза-риск лекарственного препарата, если это применимо;</w:t>
      </w:r>
    </w:p>
    <w:bookmarkEnd w:id="8119"/>
    <w:bookmarkStart w:name="z8292" w:id="8120"/>
    <w:p>
      <w:pPr>
        <w:spacing w:after="0"/>
        <w:ind w:left="0"/>
        <w:jc w:val="both"/>
      </w:pPr>
      <w:r>
        <w:rPr>
          <w:rFonts w:ascii="Times New Roman"/>
          <w:b w:val="false"/>
          <w:i w:val="false"/>
          <w:color w:val="000000"/>
          <w:sz w:val="28"/>
        </w:rPr>
        <w:t>
      ограничения: ограничения исследования, принимающие во внимание обстоятельства, которые могли повлиять на качество и целостность данных, ограничения подхода и методов, которые были использованы для минимизации их влияния (отсутствующие или неполные данные, примененные оценочные значения), источники потенциальных ошибок и неточностей и валидности явлений.</w:t>
      </w:r>
    </w:p>
    <w:bookmarkEnd w:id="8120"/>
    <w:bookmarkStart w:name="z8293" w:id="8121"/>
    <w:p>
      <w:pPr>
        <w:spacing w:after="0"/>
        <w:ind w:left="0"/>
        <w:jc w:val="both"/>
      </w:pPr>
      <w:r>
        <w:rPr>
          <w:rFonts w:ascii="Times New Roman"/>
          <w:b w:val="false"/>
          <w:i w:val="false"/>
          <w:color w:val="000000"/>
          <w:sz w:val="28"/>
        </w:rPr>
        <w:t>
      Необходимо обсуждение как направления, так и масштаба потенциальных ошибок;</w:t>
      </w:r>
    </w:p>
    <w:bookmarkEnd w:id="8121"/>
    <w:bookmarkStart w:name="z8294" w:id="8122"/>
    <w:p>
      <w:pPr>
        <w:spacing w:after="0"/>
        <w:ind w:left="0"/>
        <w:jc w:val="both"/>
      </w:pPr>
      <w:r>
        <w:rPr>
          <w:rFonts w:ascii="Times New Roman"/>
          <w:b w:val="false"/>
          <w:i w:val="false"/>
          <w:color w:val="000000"/>
          <w:sz w:val="28"/>
        </w:rPr>
        <w:t>
      интерпретация: интерпретация результатов исследований с учетом задач, ограничений, множественности анализа, результатов схожих исследований и других соответствующих подтверждений;</w:t>
      </w:r>
    </w:p>
    <w:bookmarkEnd w:id="8122"/>
    <w:bookmarkStart w:name="z8295" w:id="8123"/>
    <w:p>
      <w:pPr>
        <w:spacing w:after="0"/>
        <w:ind w:left="0"/>
        <w:jc w:val="both"/>
      </w:pPr>
      <w:r>
        <w:rPr>
          <w:rFonts w:ascii="Times New Roman"/>
          <w:b w:val="false"/>
          <w:i w:val="false"/>
          <w:color w:val="000000"/>
          <w:sz w:val="28"/>
        </w:rPr>
        <w:t>
      обобщаемость: обобщаемость (внешняя валидность) результатов исследования;</w:t>
      </w:r>
    </w:p>
    <w:bookmarkEnd w:id="8123"/>
    <w:bookmarkStart w:name="z8296" w:id="8124"/>
    <w:p>
      <w:pPr>
        <w:spacing w:after="0"/>
        <w:ind w:left="0"/>
        <w:jc w:val="both"/>
      </w:pPr>
      <w:r>
        <w:rPr>
          <w:rFonts w:ascii="Times New Roman"/>
          <w:b w:val="false"/>
          <w:i w:val="false"/>
          <w:color w:val="000000"/>
          <w:sz w:val="28"/>
        </w:rPr>
        <w:t>
      ссылки;</w:t>
      </w:r>
    </w:p>
    <w:bookmarkEnd w:id="8124"/>
    <w:bookmarkStart w:name="z8297" w:id="8125"/>
    <w:p>
      <w:pPr>
        <w:spacing w:after="0"/>
        <w:ind w:left="0"/>
        <w:jc w:val="both"/>
      </w:pPr>
      <w:r>
        <w:rPr>
          <w:rFonts w:ascii="Times New Roman"/>
          <w:b w:val="false"/>
          <w:i w:val="false"/>
          <w:color w:val="000000"/>
          <w:sz w:val="28"/>
        </w:rPr>
        <w:t>
      другая информация: любая дополнительная или вспомогательная информация о специфических аспектах исследования, не рассматривавшихся ранее.</w:t>
      </w:r>
    </w:p>
    <w:bookmarkEnd w:id="8125"/>
    <w:bookmarkStart w:name="z8298" w:id="8126"/>
    <w:p>
      <w:pPr>
        <w:spacing w:after="0"/>
        <w:ind w:left="0"/>
        <w:jc w:val="both"/>
      </w:pPr>
      <w:r>
        <w:rPr>
          <w:rFonts w:ascii="Times New Roman"/>
          <w:b w:val="false"/>
          <w:i w:val="false"/>
          <w:color w:val="000000"/>
          <w:sz w:val="28"/>
        </w:rPr>
        <w:t>
      Резюме итогового отчета исследования включает обобщенную информацию о методах и результатах исследования, представленную в следующем формате:</w:t>
      </w:r>
    </w:p>
    <w:bookmarkEnd w:id="8126"/>
    <w:bookmarkStart w:name="z8299" w:id="8127"/>
    <w:p>
      <w:pPr>
        <w:spacing w:after="0"/>
        <w:ind w:left="0"/>
        <w:jc w:val="both"/>
      </w:pPr>
      <w:r>
        <w:rPr>
          <w:rFonts w:ascii="Times New Roman"/>
          <w:b w:val="false"/>
          <w:i w:val="false"/>
          <w:color w:val="000000"/>
          <w:sz w:val="28"/>
        </w:rPr>
        <w:t>
      1) название с подзаголовками, включая дату составления резюме, имя и сведения по первому автору;</w:t>
      </w:r>
    </w:p>
    <w:bookmarkEnd w:id="8127"/>
    <w:bookmarkStart w:name="z8300" w:id="8128"/>
    <w:p>
      <w:pPr>
        <w:spacing w:after="0"/>
        <w:ind w:left="0"/>
        <w:jc w:val="both"/>
      </w:pPr>
      <w:r>
        <w:rPr>
          <w:rFonts w:ascii="Times New Roman"/>
          <w:b w:val="false"/>
          <w:i w:val="false"/>
          <w:color w:val="000000"/>
          <w:sz w:val="28"/>
        </w:rPr>
        <w:t>
      2) ключевые слова (не более пяти ключевых слов, отображающих основные характеристики исследования);</w:t>
      </w:r>
    </w:p>
    <w:bookmarkEnd w:id="8128"/>
    <w:bookmarkStart w:name="z8301" w:id="8129"/>
    <w:p>
      <w:pPr>
        <w:spacing w:after="0"/>
        <w:ind w:left="0"/>
        <w:jc w:val="both"/>
      </w:pPr>
      <w:r>
        <w:rPr>
          <w:rFonts w:ascii="Times New Roman"/>
          <w:b w:val="false"/>
          <w:i w:val="false"/>
          <w:color w:val="000000"/>
          <w:sz w:val="28"/>
        </w:rPr>
        <w:t>
      3) обоснование и предпосылки;</w:t>
      </w:r>
    </w:p>
    <w:bookmarkEnd w:id="8129"/>
    <w:bookmarkStart w:name="z8302" w:id="8130"/>
    <w:p>
      <w:pPr>
        <w:spacing w:after="0"/>
        <w:ind w:left="0"/>
        <w:jc w:val="both"/>
      </w:pPr>
      <w:r>
        <w:rPr>
          <w:rFonts w:ascii="Times New Roman"/>
          <w:b w:val="false"/>
          <w:i w:val="false"/>
          <w:color w:val="000000"/>
          <w:sz w:val="28"/>
        </w:rPr>
        <w:t>
      4) цель и задачи исследования;</w:t>
      </w:r>
    </w:p>
    <w:bookmarkEnd w:id="8130"/>
    <w:bookmarkStart w:name="z8303" w:id="8131"/>
    <w:p>
      <w:pPr>
        <w:spacing w:after="0"/>
        <w:ind w:left="0"/>
        <w:jc w:val="both"/>
      </w:pPr>
      <w:r>
        <w:rPr>
          <w:rFonts w:ascii="Times New Roman"/>
          <w:b w:val="false"/>
          <w:i w:val="false"/>
          <w:color w:val="000000"/>
          <w:sz w:val="28"/>
        </w:rPr>
        <w:t>
      5) план исследования;</w:t>
      </w:r>
    </w:p>
    <w:bookmarkEnd w:id="8131"/>
    <w:bookmarkStart w:name="z8304" w:id="8132"/>
    <w:p>
      <w:pPr>
        <w:spacing w:after="0"/>
        <w:ind w:left="0"/>
        <w:jc w:val="both"/>
      </w:pPr>
      <w:r>
        <w:rPr>
          <w:rFonts w:ascii="Times New Roman"/>
          <w:b w:val="false"/>
          <w:i w:val="false"/>
          <w:color w:val="000000"/>
          <w:sz w:val="28"/>
        </w:rPr>
        <w:t>
      6) условия;</w:t>
      </w:r>
    </w:p>
    <w:bookmarkEnd w:id="8132"/>
    <w:bookmarkStart w:name="z8305" w:id="8133"/>
    <w:p>
      <w:pPr>
        <w:spacing w:after="0"/>
        <w:ind w:left="0"/>
        <w:jc w:val="both"/>
      </w:pPr>
      <w:r>
        <w:rPr>
          <w:rFonts w:ascii="Times New Roman"/>
          <w:b w:val="false"/>
          <w:i w:val="false"/>
          <w:color w:val="000000"/>
          <w:sz w:val="28"/>
        </w:rPr>
        <w:t>
      7) пациенты и объем выборки;</w:t>
      </w:r>
    </w:p>
    <w:bookmarkEnd w:id="8133"/>
    <w:bookmarkStart w:name="z8306" w:id="8134"/>
    <w:p>
      <w:pPr>
        <w:spacing w:after="0"/>
        <w:ind w:left="0"/>
        <w:jc w:val="both"/>
      </w:pPr>
      <w:r>
        <w:rPr>
          <w:rFonts w:ascii="Times New Roman"/>
          <w:b w:val="false"/>
          <w:i w:val="false"/>
          <w:color w:val="000000"/>
          <w:sz w:val="28"/>
        </w:rPr>
        <w:t>
      8) переменные и источники данных;</w:t>
      </w:r>
    </w:p>
    <w:bookmarkEnd w:id="8134"/>
    <w:bookmarkStart w:name="z8307" w:id="8135"/>
    <w:p>
      <w:pPr>
        <w:spacing w:after="0"/>
        <w:ind w:left="0"/>
        <w:jc w:val="both"/>
      </w:pPr>
      <w:r>
        <w:rPr>
          <w:rFonts w:ascii="Times New Roman"/>
          <w:b w:val="false"/>
          <w:i w:val="false"/>
          <w:color w:val="000000"/>
          <w:sz w:val="28"/>
        </w:rPr>
        <w:t>
      9) результаты;</w:t>
      </w:r>
    </w:p>
    <w:bookmarkEnd w:id="8135"/>
    <w:bookmarkStart w:name="z8308" w:id="8136"/>
    <w:p>
      <w:pPr>
        <w:spacing w:after="0"/>
        <w:ind w:left="0"/>
        <w:jc w:val="both"/>
      </w:pPr>
      <w:r>
        <w:rPr>
          <w:rFonts w:ascii="Times New Roman"/>
          <w:b w:val="false"/>
          <w:i w:val="false"/>
          <w:color w:val="000000"/>
          <w:sz w:val="28"/>
        </w:rPr>
        <w:t>
      10) обсуждение (включая, если это применимо, оценку влияния результатов исследования на соотношение польза-риск лекарственного препарат1);</w:t>
      </w:r>
    </w:p>
    <w:bookmarkEnd w:id="8136"/>
    <w:bookmarkStart w:name="z8309" w:id="8137"/>
    <w:p>
      <w:pPr>
        <w:spacing w:after="0"/>
        <w:ind w:left="0"/>
        <w:jc w:val="both"/>
      </w:pPr>
      <w:r>
        <w:rPr>
          <w:rFonts w:ascii="Times New Roman"/>
          <w:b w:val="false"/>
          <w:i w:val="false"/>
          <w:color w:val="000000"/>
          <w:sz w:val="28"/>
        </w:rPr>
        <w:t>
      11) держатель регистрационного удостоверения;</w:t>
      </w:r>
    </w:p>
    <w:bookmarkEnd w:id="8137"/>
    <w:bookmarkStart w:name="z8310" w:id="8138"/>
    <w:p>
      <w:pPr>
        <w:spacing w:after="0"/>
        <w:ind w:left="0"/>
        <w:jc w:val="both"/>
      </w:pPr>
      <w:r>
        <w:rPr>
          <w:rFonts w:ascii="Times New Roman"/>
          <w:b w:val="false"/>
          <w:i w:val="false"/>
          <w:color w:val="000000"/>
          <w:sz w:val="28"/>
        </w:rPr>
        <w:t>
      12) имя и сведения по главному исследователю.</w:t>
      </w:r>
    </w:p>
    <w:bookmarkEnd w:id="8138"/>
    <w:bookmarkStart w:name="z8311" w:id="8139"/>
    <w:p>
      <w:pPr>
        <w:spacing w:after="0"/>
        <w:ind w:left="0"/>
        <w:jc w:val="left"/>
      </w:pPr>
      <w:r>
        <w:rPr>
          <w:rFonts w:ascii="Times New Roman"/>
          <w:b/>
          <w:i w:val="false"/>
          <w:color w:val="000000"/>
        </w:rPr>
        <w:t xml:space="preserve"> Параграф 3. Публикация результатов исследования авторами</w:t>
      </w:r>
    </w:p>
    <w:bookmarkEnd w:id="8139"/>
    <w:bookmarkStart w:name="z8312" w:id="8140"/>
    <w:p>
      <w:pPr>
        <w:spacing w:after="0"/>
        <w:ind w:left="0"/>
        <w:jc w:val="both"/>
      </w:pPr>
      <w:r>
        <w:rPr>
          <w:rFonts w:ascii="Times New Roman"/>
          <w:b w:val="false"/>
          <w:i w:val="false"/>
          <w:color w:val="000000"/>
          <w:sz w:val="28"/>
        </w:rPr>
        <w:t>
      393. Держатель регистрационного удостоверения заранее согласовывает стратегию публикаций с главным исследователем в случае, если исследование проводится и анализируется полностью или частично исследователями, не являющимися сотрудниками держателя регистрационного удостоверения. Рекомендуется определять стратегию публикаций таким образом, чтобы главный исследователь имел возможность самостоятельно готовить публикации по результатам исследования, вне зависимости от авторства данных. В этом случае держатель регистрационного удостоверения уполномочен просматривать результаты и их интерпретацию, включенные в рукопись, и представлять комментарии до передачи рукописи в печать, избегая необоснованных задержек публикации. Запросы на внесение изменений в рукопись научно обосновывать. Держатель регистрационного удостоверения имеет полномочия запросить удаление конфиденциальной информации.</w:t>
      </w:r>
    </w:p>
    <w:bookmarkEnd w:id="8140"/>
    <w:bookmarkStart w:name="z8313" w:id="8141"/>
    <w:p>
      <w:pPr>
        <w:spacing w:after="0"/>
        <w:ind w:left="0"/>
        <w:jc w:val="both"/>
      </w:pPr>
      <w:r>
        <w:rPr>
          <w:rFonts w:ascii="Times New Roman"/>
          <w:b w:val="false"/>
          <w:i w:val="false"/>
          <w:color w:val="000000"/>
          <w:sz w:val="28"/>
        </w:rPr>
        <w:t>
      394. Держателю регистрационного удостоверения рекомендуется передать итоговую рукопись статьи в уполномоченный орган в течение двух недель после приема публикации в издательстве.</w:t>
      </w:r>
    </w:p>
    <w:bookmarkEnd w:id="8141"/>
    <w:bookmarkStart w:name="z8314" w:id="8142"/>
    <w:p>
      <w:pPr>
        <w:spacing w:after="0"/>
        <w:ind w:left="0"/>
        <w:jc w:val="left"/>
      </w:pPr>
      <w:r>
        <w:rPr>
          <w:rFonts w:ascii="Times New Roman"/>
          <w:b/>
          <w:i w:val="false"/>
          <w:color w:val="000000"/>
        </w:rPr>
        <w:t xml:space="preserve"> Параграф 4. Защита данных</w:t>
      </w:r>
    </w:p>
    <w:bookmarkEnd w:id="8142"/>
    <w:bookmarkStart w:name="z8315" w:id="8143"/>
    <w:p>
      <w:pPr>
        <w:spacing w:after="0"/>
        <w:ind w:left="0"/>
        <w:jc w:val="both"/>
      </w:pPr>
      <w:r>
        <w:rPr>
          <w:rFonts w:ascii="Times New Roman"/>
          <w:b w:val="false"/>
          <w:i w:val="false"/>
          <w:color w:val="000000"/>
          <w:sz w:val="28"/>
        </w:rPr>
        <w:t>
      395. Держатели регистрационных удостоверений и исследователи соблюдают защиту личных данных пациентов. Держатель регистрационных удостоверений обеспечивает обращение и хранение всей информации по исследованию таким образом, чтобы ее можно было точно сообщать, интерпретировать и верифицировать, в то время как конфиденциальность данных медицинских карт пациентов нарушению не подлежит.</w:t>
      </w:r>
    </w:p>
    <w:bookmarkEnd w:id="8143"/>
    <w:bookmarkStart w:name="z8316" w:id="8144"/>
    <w:p>
      <w:pPr>
        <w:spacing w:after="0"/>
        <w:ind w:left="0"/>
        <w:jc w:val="left"/>
      </w:pPr>
      <w:r>
        <w:rPr>
          <w:rFonts w:ascii="Times New Roman"/>
          <w:b/>
          <w:i w:val="false"/>
          <w:color w:val="000000"/>
        </w:rPr>
        <w:t xml:space="preserve"> Параграф 5. Системы качества, аудиты и проверки</w:t>
      </w:r>
    </w:p>
    <w:bookmarkEnd w:id="8144"/>
    <w:bookmarkStart w:name="z8317" w:id="8145"/>
    <w:p>
      <w:pPr>
        <w:spacing w:after="0"/>
        <w:ind w:left="0"/>
        <w:jc w:val="both"/>
      </w:pPr>
      <w:r>
        <w:rPr>
          <w:rFonts w:ascii="Times New Roman"/>
          <w:b w:val="false"/>
          <w:i w:val="false"/>
          <w:color w:val="000000"/>
          <w:sz w:val="28"/>
        </w:rPr>
        <w:t>
      396. Держатель регистрационного удостоверения обеспечивает выполнение своих обязательств по фармаконадзору в отношении выполнения исследования, а также обеспечить возможность аудита, проверки и верификации данной деятельности. Любое изменение в данных фиксировать, чтобы обеспечить прослеживаемость. Держатель регистрационного удостоверения обеспечивает поддержание в электронном формате аналитических наборов данных и статистических программ, используемых для генерации данных, включенных в итоговый отчет по исследованию, а также их доступность для аудита и проверки.</w:t>
      </w:r>
    </w:p>
    <w:bookmarkEnd w:id="8145"/>
    <w:bookmarkStart w:name="z8318" w:id="8146"/>
    <w:p>
      <w:pPr>
        <w:spacing w:after="0"/>
        <w:ind w:left="0"/>
        <w:jc w:val="left"/>
      </w:pPr>
      <w:r>
        <w:rPr>
          <w:rFonts w:ascii="Times New Roman"/>
          <w:b/>
          <w:i w:val="false"/>
          <w:color w:val="000000"/>
        </w:rPr>
        <w:t xml:space="preserve"> Параграф 6. Влияние на систему управления рисками</w:t>
      </w:r>
    </w:p>
    <w:bookmarkEnd w:id="8146"/>
    <w:bookmarkStart w:name="z8319" w:id="8147"/>
    <w:p>
      <w:pPr>
        <w:spacing w:after="0"/>
        <w:ind w:left="0"/>
        <w:jc w:val="both"/>
      </w:pPr>
      <w:r>
        <w:rPr>
          <w:rFonts w:ascii="Times New Roman"/>
          <w:b w:val="false"/>
          <w:i w:val="false"/>
          <w:color w:val="000000"/>
          <w:sz w:val="28"/>
        </w:rPr>
        <w:t xml:space="preserve">
      397. Неинтервенционные ПРИБ (и, в целом, любое интервенционное или неинтервенционное ПРИБ), проводимые для изучения проблем по безопасности, как описано в плане управления рисками (ПУР), включаются в ПУР. Протокол исследования прилагается к ПУР. </w:t>
      </w:r>
    </w:p>
    <w:bookmarkEnd w:id="8147"/>
    <w:bookmarkStart w:name="z8320" w:id="8148"/>
    <w:p>
      <w:pPr>
        <w:spacing w:after="0"/>
        <w:ind w:left="0"/>
        <w:jc w:val="both"/>
      </w:pPr>
      <w:r>
        <w:rPr>
          <w:rFonts w:ascii="Times New Roman"/>
          <w:b w:val="false"/>
          <w:i w:val="false"/>
          <w:color w:val="000000"/>
          <w:sz w:val="28"/>
        </w:rPr>
        <w:t>
      В случае если ПУР отсутствует, разрабатывается новый ПУР, включающий данные ПРИБ. Во все соответствующие разделы (модули) ПУР вносятся соответствующие изменения с учетом проведения исследования, включая спецификацию безопасности, план фармаконадзора и план минимизации рисков, а также обзор мер минимизации риска.</w:t>
      </w:r>
    </w:p>
    <w:bookmarkEnd w:id="8148"/>
    <w:bookmarkStart w:name="z8321" w:id="8149"/>
    <w:p>
      <w:pPr>
        <w:spacing w:after="0"/>
        <w:ind w:left="0"/>
        <w:jc w:val="left"/>
      </w:pPr>
      <w:r>
        <w:rPr>
          <w:rFonts w:ascii="Times New Roman"/>
          <w:b/>
          <w:i w:val="false"/>
          <w:color w:val="000000"/>
        </w:rPr>
        <w:t xml:space="preserve"> Параграф 7. Процедура обязательных ПРИБ</w:t>
      </w:r>
    </w:p>
    <w:bookmarkEnd w:id="8149"/>
    <w:bookmarkStart w:name="z8322" w:id="8150"/>
    <w:p>
      <w:pPr>
        <w:spacing w:after="0"/>
        <w:ind w:left="0"/>
        <w:jc w:val="both"/>
      </w:pPr>
      <w:r>
        <w:rPr>
          <w:rFonts w:ascii="Times New Roman"/>
          <w:b w:val="false"/>
          <w:i w:val="false"/>
          <w:color w:val="000000"/>
          <w:sz w:val="28"/>
        </w:rPr>
        <w:t>
      398. В Республике Казахстан проведение ПРИБ является обязательным при оценке первоначальной заявки на государственную регистрацию или на пострегистрационном этапе, если есть опасения в отношении профиля безопасности зарегистрированного лекарственного препарата. Данное требование уполномоченного органа надлежащим образом обосновывается данными оценки профиля безопасности и эффективности, фиксируется в письменном виде и включает задачи и временные рамки подачи и проведения исследования.</w:t>
      </w:r>
    </w:p>
    <w:bookmarkEnd w:id="8150"/>
    <w:bookmarkStart w:name="z8323" w:id="8151"/>
    <w:p>
      <w:pPr>
        <w:spacing w:after="0"/>
        <w:ind w:left="0"/>
        <w:jc w:val="both"/>
      </w:pPr>
      <w:r>
        <w:rPr>
          <w:rFonts w:ascii="Times New Roman"/>
          <w:b w:val="false"/>
          <w:i w:val="false"/>
          <w:color w:val="000000"/>
          <w:sz w:val="28"/>
        </w:rPr>
        <w:t>
      Требование включает также рекомендации по ключевым характеристикам исследования (дизайн исследования, условия, воздействие, исходы, целевая популяция). В число рекомендуемых методов входят методы активного мониторинга (мониторинг на определенных клинических базах, рецептурный мониторинг, регистры), сравнительные наблюдательные неинтервенционные исследования (когортное исследование (мониторини), исследование типа случай-контроль, исследование серии случаев и иные), клинические исследования, исследования потребления, фармакоэпидемиологические исследования.</w:t>
      </w:r>
    </w:p>
    <w:bookmarkEnd w:id="8151"/>
    <w:bookmarkStart w:name="z8324" w:id="8152"/>
    <w:p>
      <w:pPr>
        <w:spacing w:after="0"/>
        <w:ind w:left="0"/>
        <w:jc w:val="both"/>
      </w:pPr>
      <w:r>
        <w:rPr>
          <w:rFonts w:ascii="Times New Roman"/>
          <w:b w:val="false"/>
          <w:i w:val="false"/>
          <w:color w:val="000000"/>
          <w:sz w:val="28"/>
        </w:rPr>
        <w:t>
      При назначении проведения ПРИБ на пострегистрационном этапе в течение 30 дней по получении письменного уведомления о данном обязательстве держатель регистрационного удостоверения запрошивает возможность представления письменного обоснования в ответ на наложение обязательства. Уполномоченный орган определяет временные рамки для представления таких обоснований. На основании письменного обоснования, представленных держателем регистрационного удостоверения, уполномоченный орган отзывает или подтверждает обязательство.</w:t>
      </w:r>
    </w:p>
    <w:bookmarkEnd w:id="8152"/>
    <w:bookmarkStart w:name="z8325" w:id="8153"/>
    <w:p>
      <w:pPr>
        <w:spacing w:after="0"/>
        <w:ind w:left="0"/>
        <w:jc w:val="left"/>
      </w:pPr>
      <w:r>
        <w:rPr>
          <w:rFonts w:ascii="Times New Roman"/>
          <w:b/>
          <w:i w:val="false"/>
          <w:color w:val="000000"/>
        </w:rPr>
        <w:t xml:space="preserve"> Параграф 8. Контроль за неинтервенционными ПРИБ</w:t>
      </w:r>
    </w:p>
    <w:bookmarkEnd w:id="8153"/>
    <w:bookmarkStart w:name="z8326" w:id="8154"/>
    <w:p>
      <w:pPr>
        <w:spacing w:after="0"/>
        <w:ind w:left="0"/>
        <w:jc w:val="both"/>
      </w:pPr>
      <w:r>
        <w:rPr>
          <w:rFonts w:ascii="Times New Roman"/>
          <w:b w:val="false"/>
          <w:i w:val="false"/>
          <w:color w:val="000000"/>
          <w:sz w:val="28"/>
        </w:rPr>
        <w:t xml:space="preserve">
      399. Держатель регистрационного удостоверения обеспечивает соответствие исследования критериям неинтервенционного исследования. </w:t>
      </w:r>
    </w:p>
    <w:bookmarkEnd w:id="8154"/>
    <w:bookmarkStart w:name="z8327" w:id="8155"/>
    <w:p>
      <w:pPr>
        <w:spacing w:after="0"/>
        <w:ind w:left="0"/>
        <w:jc w:val="both"/>
      </w:pPr>
      <w:r>
        <w:rPr>
          <w:rFonts w:ascii="Times New Roman"/>
          <w:b w:val="false"/>
          <w:i w:val="false"/>
          <w:color w:val="000000"/>
          <w:sz w:val="28"/>
        </w:rPr>
        <w:t>
      Держатель регистрационного удостоверения в отношении ПРИБ обеспечивает выполнение своих обязательств по фармаконадзору, а также возможность его аудита, проверки и верификации.</w:t>
      </w:r>
    </w:p>
    <w:bookmarkEnd w:id="8155"/>
    <w:bookmarkStart w:name="z8328" w:id="8156"/>
    <w:p>
      <w:pPr>
        <w:spacing w:after="0"/>
        <w:ind w:left="0"/>
        <w:jc w:val="both"/>
      </w:pPr>
      <w:r>
        <w:rPr>
          <w:rFonts w:ascii="Times New Roman"/>
          <w:b w:val="false"/>
          <w:i w:val="false"/>
          <w:color w:val="000000"/>
          <w:sz w:val="28"/>
        </w:rPr>
        <w:t>
      400. После наложения обязательства провести неинтервенционное ПРИБ держатель регистрационного удостоверения разрабатывает протокол исследования и представляет его в уполномоченную организацию на рассмотрение. В течение 60 дней от даты представления проекта протокола уполномоченная организация составляет ответ, утверждающий проект протокола, рекомендующий внесение требуемых изменений, отказывающий в согласовании или уведомляющий держателя регистрационного удостоверения, что исследование является клиническим исследованием, подпадающим под область действия соответствующего законодательства в области клинических исследований. Отказ включает подробное обоснование причин несоответствия в любом из следующих случаев:</w:t>
      </w:r>
    </w:p>
    <w:bookmarkEnd w:id="8156"/>
    <w:bookmarkStart w:name="z8329" w:id="8157"/>
    <w:p>
      <w:pPr>
        <w:spacing w:after="0"/>
        <w:ind w:left="0"/>
        <w:jc w:val="both"/>
      </w:pPr>
      <w:r>
        <w:rPr>
          <w:rFonts w:ascii="Times New Roman"/>
          <w:b w:val="false"/>
          <w:i w:val="false"/>
          <w:color w:val="000000"/>
          <w:sz w:val="28"/>
        </w:rPr>
        <w:t xml:space="preserve">
      проведение исследование способствует продвижению лекарственного препарата; </w:t>
      </w:r>
    </w:p>
    <w:bookmarkEnd w:id="8157"/>
    <w:bookmarkStart w:name="z8330" w:id="8158"/>
    <w:p>
      <w:pPr>
        <w:spacing w:after="0"/>
        <w:ind w:left="0"/>
        <w:jc w:val="both"/>
      </w:pPr>
      <w:r>
        <w:rPr>
          <w:rFonts w:ascii="Times New Roman"/>
          <w:b w:val="false"/>
          <w:i w:val="false"/>
          <w:color w:val="000000"/>
          <w:sz w:val="28"/>
        </w:rPr>
        <w:t>
      план исследования не выполняет задачи исследования.</w:t>
      </w:r>
    </w:p>
    <w:bookmarkEnd w:id="8158"/>
    <w:bookmarkStart w:name="z8331" w:id="8159"/>
    <w:p>
      <w:pPr>
        <w:spacing w:after="0"/>
        <w:ind w:left="0"/>
        <w:jc w:val="both"/>
      </w:pPr>
      <w:r>
        <w:rPr>
          <w:rFonts w:ascii="Times New Roman"/>
          <w:b w:val="false"/>
          <w:i w:val="false"/>
          <w:color w:val="000000"/>
          <w:sz w:val="28"/>
        </w:rPr>
        <w:t xml:space="preserve">
      Исследование начинается только после выдачи письменного утверждения протокола уполномоченным органом. </w:t>
      </w:r>
    </w:p>
    <w:bookmarkEnd w:id="8159"/>
    <w:bookmarkStart w:name="z8332" w:id="8160"/>
    <w:p>
      <w:pPr>
        <w:spacing w:after="0"/>
        <w:ind w:left="0"/>
        <w:jc w:val="both"/>
      </w:pPr>
      <w:r>
        <w:rPr>
          <w:rFonts w:ascii="Times New Roman"/>
          <w:b w:val="false"/>
          <w:i w:val="false"/>
          <w:color w:val="000000"/>
          <w:sz w:val="28"/>
        </w:rPr>
        <w:t xml:space="preserve">
      После начала исследования любые существенные изменения в протокол подаются в уполномоченный орган до их введения. Уполномоченная организация в течение 30 дней после подачи выполняет оценку изменений и сообщает держателю регистрационного удостоверения об их утверждении или отклонении. </w:t>
      </w:r>
    </w:p>
    <w:bookmarkEnd w:id="8160"/>
    <w:bookmarkStart w:name="z8333" w:id="8161"/>
    <w:p>
      <w:pPr>
        <w:spacing w:after="0"/>
        <w:ind w:left="0"/>
        <w:jc w:val="both"/>
      </w:pPr>
      <w:r>
        <w:rPr>
          <w:rFonts w:ascii="Times New Roman"/>
          <w:b w:val="false"/>
          <w:i w:val="false"/>
          <w:color w:val="000000"/>
          <w:sz w:val="28"/>
        </w:rPr>
        <w:t>
      По завершении исследования держатель регистрационного удостоверения представляет итоговый отчет об исследовании, включая резюме исследования для публикации, в уполномоченную организацию не позднее 12 месяцев после окончания сбора данных, если уполномоченным органом не было предоставлено письменное разрешение на отступление от требований по времени представления отчета. Уполномоченной организацией выполняется рассмотрение итогового отчета с последующим представлением держателю регистрационного удостоверения результатов оценки отчета. По результату рассмотрения отчета и оценки возможного влияния полученных данных на соотношение польза-риск лекарственного препарата уполномоченная организация определяет необходимость рекомендаций по внесению изменений в регуляторный статус лекарственного препарата, рекомендации по его применению либо принятие иных надлежащих мер с целью обеспечения применения лекарственных препаратов при превышении пользы над риском.</w:t>
      </w:r>
    </w:p>
    <w:bookmarkEnd w:id="8161"/>
    <w:bookmarkStart w:name="z8334" w:id="8162"/>
    <w:p>
      <w:pPr>
        <w:spacing w:after="0"/>
        <w:ind w:left="0"/>
        <w:jc w:val="left"/>
      </w:pPr>
      <w:r>
        <w:rPr>
          <w:rFonts w:ascii="Times New Roman"/>
          <w:b/>
          <w:i w:val="false"/>
          <w:color w:val="000000"/>
        </w:rPr>
        <w:t xml:space="preserve"> Глава 44. Информирование по безопасности</w:t>
      </w:r>
    </w:p>
    <w:bookmarkEnd w:id="8162"/>
    <w:bookmarkStart w:name="z8335" w:id="8163"/>
    <w:p>
      <w:pPr>
        <w:spacing w:after="0"/>
        <w:ind w:left="0"/>
        <w:jc w:val="left"/>
      </w:pPr>
      <w:r>
        <w:rPr>
          <w:rFonts w:ascii="Times New Roman"/>
          <w:b/>
          <w:i w:val="false"/>
          <w:color w:val="000000"/>
        </w:rPr>
        <w:t xml:space="preserve"> Параграф 1. Структуры, процессы и задачи информирования по безопасности</w:t>
      </w:r>
    </w:p>
    <w:bookmarkEnd w:id="8163"/>
    <w:bookmarkStart w:name="z8336" w:id="8164"/>
    <w:p>
      <w:pPr>
        <w:spacing w:after="0"/>
        <w:ind w:left="0"/>
        <w:jc w:val="both"/>
      </w:pPr>
      <w:r>
        <w:rPr>
          <w:rFonts w:ascii="Times New Roman"/>
          <w:b w:val="false"/>
          <w:i w:val="false"/>
          <w:color w:val="000000"/>
          <w:sz w:val="28"/>
        </w:rPr>
        <w:t>
      401. Информирование по безопасности направлено на:</w:t>
      </w:r>
    </w:p>
    <w:bookmarkEnd w:id="8164"/>
    <w:bookmarkStart w:name="z8337" w:id="8165"/>
    <w:p>
      <w:pPr>
        <w:spacing w:after="0"/>
        <w:ind w:left="0"/>
        <w:jc w:val="both"/>
      </w:pPr>
      <w:r>
        <w:rPr>
          <w:rFonts w:ascii="Times New Roman"/>
          <w:b w:val="false"/>
          <w:i w:val="false"/>
          <w:color w:val="000000"/>
          <w:sz w:val="28"/>
        </w:rPr>
        <w:t>
      1) представление своевременной, научно обоснованной информации по безопасному и эффективному использованию лекарственных препаратов;</w:t>
      </w:r>
    </w:p>
    <w:bookmarkEnd w:id="8165"/>
    <w:bookmarkStart w:name="z8338" w:id="8166"/>
    <w:p>
      <w:pPr>
        <w:spacing w:after="0"/>
        <w:ind w:left="0"/>
        <w:jc w:val="both"/>
      </w:pPr>
      <w:r>
        <w:rPr>
          <w:rFonts w:ascii="Times New Roman"/>
          <w:b w:val="false"/>
          <w:i w:val="false"/>
          <w:color w:val="000000"/>
          <w:sz w:val="28"/>
        </w:rPr>
        <w:t>
      2) содействие оптимизации медицинской практики (в том числе практики самолечения) в случаях, где это необходимо;</w:t>
      </w:r>
    </w:p>
    <w:bookmarkEnd w:id="8166"/>
    <w:bookmarkStart w:name="z8339" w:id="8167"/>
    <w:p>
      <w:pPr>
        <w:spacing w:after="0"/>
        <w:ind w:left="0"/>
        <w:jc w:val="both"/>
      </w:pPr>
      <w:r>
        <w:rPr>
          <w:rFonts w:ascii="Times New Roman"/>
          <w:b w:val="false"/>
          <w:i w:val="false"/>
          <w:color w:val="000000"/>
          <w:sz w:val="28"/>
        </w:rPr>
        <w:t>
      3) изменение подходов, сложившейся практики и характера использования лекарственных препаратов;</w:t>
      </w:r>
    </w:p>
    <w:bookmarkEnd w:id="8167"/>
    <w:bookmarkStart w:name="z8340" w:id="8168"/>
    <w:p>
      <w:pPr>
        <w:spacing w:after="0"/>
        <w:ind w:left="0"/>
        <w:jc w:val="both"/>
      </w:pPr>
      <w:r>
        <w:rPr>
          <w:rFonts w:ascii="Times New Roman"/>
          <w:b w:val="false"/>
          <w:i w:val="false"/>
          <w:color w:val="000000"/>
          <w:sz w:val="28"/>
        </w:rPr>
        <w:t>
      4) поддержку деятельности по минимизации рисков;</w:t>
      </w:r>
    </w:p>
    <w:bookmarkEnd w:id="8168"/>
    <w:bookmarkStart w:name="z8341" w:id="8169"/>
    <w:p>
      <w:pPr>
        <w:spacing w:after="0"/>
        <w:ind w:left="0"/>
        <w:jc w:val="both"/>
      </w:pPr>
      <w:r>
        <w:rPr>
          <w:rFonts w:ascii="Times New Roman"/>
          <w:b w:val="false"/>
          <w:i w:val="false"/>
          <w:color w:val="000000"/>
          <w:sz w:val="28"/>
        </w:rPr>
        <w:t>
      5) содействие принятию обоснованных решений по рациональному использованию лекарственных препаратов.</w:t>
      </w:r>
    </w:p>
    <w:bookmarkEnd w:id="8169"/>
    <w:bookmarkStart w:name="z8342" w:id="8170"/>
    <w:p>
      <w:pPr>
        <w:spacing w:after="0"/>
        <w:ind w:left="0"/>
        <w:jc w:val="both"/>
      </w:pPr>
      <w:r>
        <w:rPr>
          <w:rFonts w:ascii="Times New Roman"/>
          <w:b w:val="false"/>
          <w:i w:val="false"/>
          <w:color w:val="000000"/>
          <w:sz w:val="28"/>
        </w:rPr>
        <w:t>
      402. Принципы информирования по безопасности. Применяет следующие принципы информирования по безопасности:</w:t>
      </w:r>
    </w:p>
    <w:bookmarkEnd w:id="8170"/>
    <w:bookmarkStart w:name="z8343" w:id="8171"/>
    <w:p>
      <w:pPr>
        <w:spacing w:after="0"/>
        <w:ind w:left="0"/>
        <w:jc w:val="both"/>
      </w:pPr>
      <w:r>
        <w:rPr>
          <w:rFonts w:ascii="Times New Roman"/>
          <w:b w:val="false"/>
          <w:i w:val="false"/>
          <w:color w:val="000000"/>
          <w:sz w:val="28"/>
        </w:rPr>
        <w:t>
      Необходимость информирования по безопасности рассматривается при выполнении деятельности по фармаконадзору и управления рисками, что являться частью процесса оценки риска.</w:t>
      </w:r>
    </w:p>
    <w:bookmarkEnd w:id="8171"/>
    <w:bookmarkStart w:name="z8344" w:id="8172"/>
    <w:p>
      <w:pPr>
        <w:spacing w:after="0"/>
        <w:ind w:left="0"/>
        <w:jc w:val="both"/>
      </w:pPr>
      <w:r>
        <w:rPr>
          <w:rFonts w:ascii="Times New Roman"/>
          <w:b w:val="false"/>
          <w:i w:val="false"/>
          <w:color w:val="000000"/>
          <w:sz w:val="28"/>
        </w:rPr>
        <w:t>
      Обеспечение надлежащей координации деятельности и взаимодействия между различными сторонами, участвующими в создании и обмене информацией по безопасности (уполномоченный орган, уполномоченная организация, государственные органы и держатели регистрационных удостоверений).</w:t>
      </w:r>
    </w:p>
    <w:bookmarkEnd w:id="8172"/>
    <w:bookmarkStart w:name="z8345" w:id="8173"/>
    <w:p>
      <w:pPr>
        <w:spacing w:after="0"/>
        <w:ind w:left="0"/>
        <w:jc w:val="both"/>
      </w:pPr>
      <w:r>
        <w:rPr>
          <w:rFonts w:ascii="Times New Roman"/>
          <w:b w:val="false"/>
          <w:i w:val="false"/>
          <w:color w:val="000000"/>
          <w:sz w:val="28"/>
        </w:rPr>
        <w:t>
      Информация по безопасности содержит актуальные, достоверные и корректные сведения и передается целевой аудитории для обеспечения возможности принятия соответствующих мер.</w:t>
      </w:r>
    </w:p>
    <w:bookmarkEnd w:id="8173"/>
    <w:bookmarkStart w:name="z8346" w:id="8174"/>
    <w:p>
      <w:pPr>
        <w:spacing w:after="0"/>
        <w:ind w:left="0"/>
        <w:jc w:val="both"/>
      </w:pPr>
      <w:r>
        <w:rPr>
          <w:rFonts w:ascii="Times New Roman"/>
          <w:b w:val="false"/>
          <w:i w:val="false"/>
          <w:color w:val="000000"/>
          <w:sz w:val="28"/>
        </w:rPr>
        <w:t>
      Информация по безопасности адаптируется для различных целевых аудиторий (пациентов, работников сферы здравоохранения), путем использования соответствующего языка и с учетом различных уровней знаний и потребности в информации, сохраняя при этом точность и соответствие передаваемой информации.</w:t>
      </w:r>
    </w:p>
    <w:bookmarkEnd w:id="8174"/>
    <w:bookmarkStart w:name="z8347" w:id="8175"/>
    <w:p>
      <w:pPr>
        <w:spacing w:after="0"/>
        <w:ind w:left="0"/>
        <w:jc w:val="both"/>
      </w:pPr>
      <w:r>
        <w:rPr>
          <w:rFonts w:ascii="Times New Roman"/>
          <w:b w:val="false"/>
          <w:i w:val="false"/>
          <w:color w:val="000000"/>
          <w:sz w:val="28"/>
        </w:rPr>
        <w:t>
      Информация о рисках представляется с учетом общей оценки пользы лекарственного препарата и включает в себя доступные и актуальные сведения о серьезности, степени тяжести, частоте нежелательных реакций, факторах риска их развития, времени начала, обратимости и, если возможно, о предполагаемом периоде восстановления.</w:t>
      </w:r>
    </w:p>
    <w:bookmarkEnd w:id="8175"/>
    <w:bookmarkStart w:name="z8348" w:id="8176"/>
    <w:p>
      <w:pPr>
        <w:spacing w:after="0"/>
        <w:ind w:left="0"/>
        <w:jc w:val="both"/>
      </w:pPr>
      <w:r>
        <w:rPr>
          <w:rFonts w:ascii="Times New Roman"/>
          <w:b w:val="false"/>
          <w:i w:val="false"/>
          <w:color w:val="000000"/>
          <w:sz w:val="28"/>
        </w:rPr>
        <w:t>
      В определенных случаях при представлении информации по безопасности учитываются конкурирующие риски (риск отказа от лечения).</w:t>
      </w:r>
    </w:p>
    <w:bookmarkEnd w:id="8176"/>
    <w:bookmarkStart w:name="z8349" w:id="8177"/>
    <w:p>
      <w:pPr>
        <w:spacing w:after="0"/>
        <w:ind w:left="0"/>
        <w:jc w:val="both"/>
      </w:pPr>
      <w:r>
        <w:rPr>
          <w:rFonts w:ascii="Times New Roman"/>
          <w:b w:val="false"/>
          <w:i w:val="false"/>
          <w:color w:val="000000"/>
          <w:sz w:val="28"/>
        </w:rPr>
        <w:t>
      При описании и сравнении рисков используются наиболее обоснованные количественные показатели (показатель не только относительных рисков, но и абсолютных рисков); для сравнения рисков используются группы сходные по своим характеристикам. Также используются другие способы представления информации, такие как графическое представление оценки рисков и (или) соотношения польза-риск.</w:t>
      </w:r>
    </w:p>
    <w:bookmarkEnd w:id="8177"/>
    <w:bookmarkStart w:name="z8350" w:id="8178"/>
    <w:p>
      <w:pPr>
        <w:spacing w:after="0"/>
        <w:ind w:left="0"/>
        <w:jc w:val="both"/>
      </w:pPr>
      <w:r>
        <w:rPr>
          <w:rFonts w:ascii="Times New Roman"/>
          <w:b w:val="false"/>
          <w:i w:val="false"/>
          <w:color w:val="000000"/>
          <w:sz w:val="28"/>
        </w:rPr>
        <w:t>
      При подготовке информации по безопасности проводится предварительное консультирование или тестирование медицинских работников или пациентов, в особенности в случае подготовки информации по сложным проблемам по безопасности.</w:t>
      </w:r>
    </w:p>
    <w:bookmarkEnd w:id="8178"/>
    <w:bookmarkStart w:name="z8351" w:id="8179"/>
    <w:p>
      <w:pPr>
        <w:spacing w:after="0"/>
        <w:ind w:left="0"/>
        <w:jc w:val="both"/>
      </w:pPr>
      <w:r>
        <w:rPr>
          <w:rFonts w:ascii="Times New Roman"/>
          <w:b w:val="false"/>
          <w:i w:val="false"/>
          <w:color w:val="000000"/>
          <w:sz w:val="28"/>
        </w:rPr>
        <w:t>
      Информирование по безопасности содержит сведения о последующей информации: последующих изменениях в рекомендациях, разрешения проблемы по безопасности.</w:t>
      </w:r>
    </w:p>
    <w:bookmarkEnd w:id="8179"/>
    <w:bookmarkStart w:name="z8352" w:id="8180"/>
    <w:p>
      <w:pPr>
        <w:spacing w:after="0"/>
        <w:ind w:left="0"/>
        <w:jc w:val="both"/>
      </w:pPr>
      <w:r>
        <w:rPr>
          <w:rFonts w:ascii="Times New Roman"/>
          <w:b w:val="false"/>
          <w:i w:val="false"/>
          <w:color w:val="000000"/>
          <w:sz w:val="28"/>
        </w:rPr>
        <w:t>
      Выполняет оценку эффективности информирования по безопасности, где это представляется целесообразным и возможным.</w:t>
      </w:r>
    </w:p>
    <w:bookmarkEnd w:id="8180"/>
    <w:bookmarkStart w:name="z8353" w:id="8181"/>
    <w:p>
      <w:pPr>
        <w:spacing w:after="0"/>
        <w:ind w:left="0"/>
        <w:jc w:val="both"/>
      </w:pPr>
      <w:r>
        <w:rPr>
          <w:rFonts w:ascii="Times New Roman"/>
          <w:b w:val="false"/>
          <w:i w:val="false"/>
          <w:color w:val="000000"/>
          <w:sz w:val="28"/>
        </w:rPr>
        <w:t>
      Информация по безопасности предоставляется в соответствии с требованиями о защите персональных данных.</w:t>
      </w:r>
    </w:p>
    <w:bookmarkEnd w:id="8181"/>
    <w:bookmarkStart w:name="z8354" w:id="8182"/>
    <w:p>
      <w:pPr>
        <w:spacing w:after="0"/>
        <w:ind w:left="0"/>
        <w:jc w:val="left"/>
      </w:pPr>
      <w:r>
        <w:rPr>
          <w:rFonts w:ascii="Times New Roman"/>
          <w:b/>
          <w:i w:val="false"/>
          <w:color w:val="000000"/>
        </w:rPr>
        <w:t xml:space="preserve"> Параграф 2. Целевые аудитории</w:t>
      </w:r>
    </w:p>
    <w:bookmarkEnd w:id="8182"/>
    <w:bookmarkStart w:name="z8355" w:id="8183"/>
    <w:p>
      <w:pPr>
        <w:spacing w:after="0"/>
        <w:ind w:left="0"/>
        <w:jc w:val="both"/>
      </w:pPr>
      <w:r>
        <w:rPr>
          <w:rFonts w:ascii="Times New Roman"/>
          <w:b w:val="false"/>
          <w:i w:val="false"/>
          <w:color w:val="000000"/>
          <w:sz w:val="28"/>
        </w:rPr>
        <w:t>
      403. Основной целевой аудиторией, на которую направлено информирование по безопасности, осуществляемое уполномоченным органом и держателями регистрационных удостоверений, являются работники системы здравоохранения и пациенты, которые используют лекарственные препараты.</w:t>
      </w:r>
    </w:p>
    <w:bookmarkEnd w:id="8183"/>
    <w:bookmarkStart w:name="z8356" w:id="8184"/>
    <w:p>
      <w:pPr>
        <w:spacing w:after="0"/>
        <w:ind w:left="0"/>
        <w:jc w:val="both"/>
      </w:pPr>
      <w:r>
        <w:rPr>
          <w:rFonts w:ascii="Times New Roman"/>
          <w:b w:val="false"/>
          <w:i w:val="false"/>
          <w:color w:val="000000"/>
          <w:sz w:val="28"/>
        </w:rPr>
        <w:t xml:space="preserve">
      Ключевую роль в основной целевой аудитории играют работники системы здравоохранения. Эффективное информирование по аспектам безопасности лекарственных препаратов позволяет им проводить фармакотерапию с учетом наиболее актуальных сведений по безопасности и выработанных рекомендаций, а также предоставлять понятные и полезные сведения пациентам, тем самым способствуя обеспечению безопасности пациентов и повышению их доверия к уполномоченной системе и системе здравоохранения. </w:t>
      </w:r>
    </w:p>
    <w:bookmarkEnd w:id="8184"/>
    <w:bookmarkStart w:name="z8357" w:id="8185"/>
    <w:p>
      <w:pPr>
        <w:spacing w:after="0"/>
        <w:ind w:left="0"/>
        <w:jc w:val="both"/>
      </w:pPr>
      <w:r>
        <w:rPr>
          <w:rFonts w:ascii="Times New Roman"/>
          <w:b w:val="false"/>
          <w:i w:val="false"/>
          <w:color w:val="000000"/>
          <w:sz w:val="28"/>
        </w:rPr>
        <w:t>
      Средства массовой информации также являются целевой аудиторией для информации по безопасности. Способность средств массовой информации охватывать пациентов, работников системы здравоохранения и широкие слои населения является важным фактором распространения новой и важной информации о лекарственных препаратах. Распространение информации по безопасности через СМИ оказывает влияние на общественное восприятие, и поэтому важно, чтобы СМИ получали информацию о безопасности непосредственно от уполномоченного органа в дополнение к той информации, которую они получают из других источников, в частности, от держателя регистрационного удостоверения.</w:t>
      </w:r>
    </w:p>
    <w:bookmarkEnd w:id="8185"/>
    <w:bookmarkStart w:name="z8358" w:id="8186"/>
    <w:p>
      <w:pPr>
        <w:spacing w:after="0"/>
        <w:ind w:left="0"/>
        <w:jc w:val="left"/>
      </w:pPr>
      <w:r>
        <w:rPr>
          <w:rFonts w:ascii="Times New Roman"/>
          <w:b/>
          <w:i w:val="false"/>
          <w:color w:val="000000"/>
        </w:rPr>
        <w:t xml:space="preserve"> Параграф 3. Содержание информации по безопасности</w:t>
      </w:r>
    </w:p>
    <w:bookmarkEnd w:id="8186"/>
    <w:bookmarkStart w:name="z8359" w:id="8187"/>
    <w:p>
      <w:pPr>
        <w:spacing w:after="0"/>
        <w:ind w:left="0"/>
        <w:jc w:val="both"/>
      </w:pPr>
      <w:r>
        <w:rPr>
          <w:rFonts w:ascii="Times New Roman"/>
          <w:b w:val="false"/>
          <w:i w:val="false"/>
          <w:color w:val="000000"/>
          <w:sz w:val="28"/>
        </w:rPr>
        <w:t>
      404. Согласно принципам, изложенным в пункте 402, информация о безопасности содержит:</w:t>
      </w:r>
    </w:p>
    <w:bookmarkEnd w:id="8187"/>
    <w:bookmarkStart w:name="z8360" w:id="8188"/>
    <w:p>
      <w:pPr>
        <w:spacing w:after="0"/>
        <w:ind w:left="0"/>
        <w:jc w:val="both"/>
      </w:pPr>
      <w:r>
        <w:rPr>
          <w:rFonts w:ascii="Times New Roman"/>
          <w:b w:val="false"/>
          <w:i w:val="false"/>
          <w:color w:val="000000"/>
          <w:sz w:val="28"/>
        </w:rPr>
        <w:t>
      1) появляющиеся важные сведения о любом зарегистрированном лекарственном препарате, которые оказывают влияние на соотношение польза-риск лекарственного препарата при любых условиях применения;</w:t>
      </w:r>
    </w:p>
    <w:bookmarkEnd w:id="8188"/>
    <w:bookmarkStart w:name="z8361" w:id="8189"/>
    <w:p>
      <w:pPr>
        <w:spacing w:after="0"/>
        <w:ind w:left="0"/>
        <w:jc w:val="both"/>
      </w:pPr>
      <w:r>
        <w:rPr>
          <w:rFonts w:ascii="Times New Roman"/>
          <w:b w:val="false"/>
          <w:i w:val="false"/>
          <w:color w:val="000000"/>
          <w:sz w:val="28"/>
        </w:rPr>
        <w:t>
      2) причины инициирования процедуры информирования по безопасности в понятной для целевой аудитории форме;</w:t>
      </w:r>
    </w:p>
    <w:bookmarkEnd w:id="8189"/>
    <w:bookmarkStart w:name="z8362" w:id="8190"/>
    <w:p>
      <w:pPr>
        <w:spacing w:after="0"/>
        <w:ind w:left="0"/>
        <w:jc w:val="both"/>
      </w:pPr>
      <w:r>
        <w:rPr>
          <w:rFonts w:ascii="Times New Roman"/>
          <w:b w:val="false"/>
          <w:i w:val="false"/>
          <w:color w:val="000000"/>
          <w:sz w:val="28"/>
        </w:rPr>
        <w:t>
      3) все необходимые рекомендации для работников системы здравоохранения и пациентов, связанные с проблемой по безопасности, в отношении которой выполняется информирование;</w:t>
      </w:r>
    </w:p>
    <w:bookmarkEnd w:id="8190"/>
    <w:bookmarkStart w:name="z8363" w:id="8191"/>
    <w:p>
      <w:pPr>
        <w:spacing w:after="0"/>
        <w:ind w:left="0"/>
        <w:jc w:val="both"/>
      </w:pPr>
      <w:r>
        <w:rPr>
          <w:rFonts w:ascii="Times New Roman"/>
          <w:b w:val="false"/>
          <w:i w:val="false"/>
          <w:color w:val="000000"/>
          <w:sz w:val="28"/>
        </w:rPr>
        <w:t>
      4) указание на соглашение между держателем регистрационного удостоверения и уполномоченным органом по представлению информации по безопасности в случаях, когда применимо;</w:t>
      </w:r>
    </w:p>
    <w:bookmarkEnd w:id="8191"/>
    <w:bookmarkStart w:name="z8364" w:id="8192"/>
    <w:p>
      <w:pPr>
        <w:spacing w:after="0"/>
        <w:ind w:left="0"/>
        <w:jc w:val="both"/>
      </w:pPr>
      <w:r>
        <w:rPr>
          <w:rFonts w:ascii="Times New Roman"/>
          <w:b w:val="false"/>
          <w:i w:val="false"/>
          <w:color w:val="000000"/>
          <w:sz w:val="28"/>
        </w:rPr>
        <w:t>
      5) сведения обо всех предложенных изменениях в информации о лекарственном препарате (в инструкции по медицинскому применению или в листке-вкладыше);</w:t>
      </w:r>
    </w:p>
    <w:bookmarkEnd w:id="8192"/>
    <w:bookmarkStart w:name="z8365" w:id="8193"/>
    <w:p>
      <w:pPr>
        <w:spacing w:after="0"/>
        <w:ind w:left="0"/>
        <w:jc w:val="both"/>
      </w:pPr>
      <w:r>
        <w:rPr>
          <w:rFonts w:ascii="Times New Roman"/>
          <w:b w:val="false"/>
          <w:i w:val="false"/>
          <w:color w:val="000000"/>
          <w:sz w:val="28"/>
        </w:rPr>
        <w:t>
      6) библиографический список или ссылки на источники, где можно найти более подробную информацию по информируемому аспекту безопасности;</w:t>
      </w:r>
    </w:p>
    <w:bookmarkEnd w:id="8193"/>
    <w:bookmarkStart w:name="z8366" w:id="8194"/>
    <w:p>
      <w:pPr>
        <w:spacing w:after="0"/>
        <w:ind w:left="0"/>
        <w:jc w:val="both"/>
      </w:pPr>
      <w:r>
        <w:rPr>
          <w:rFonts w:ascii="Times New Roman"/>
          <w:b w:val="false"/>
          <w:i w:val="false"/>
          <w:color w:val="000000"/>
          <w:sz w:val="28"/>
        </w:rPr>
        <w:t>
      7) в соответствующих случаях, напоминание о необходимости сообщать о подозреваемых нежелательных реакциях в уполномоченный орган через систему спонтанного репортирования.</w:t>
      </w:r>
    </w:p>
    <w:bookmarkEnd w:id="8194"/>
    <w:bookmarkStart w:name="z8367" w:id="8195"/>
    <w:p>
      <w:pPr>
        <w:spacing w:after="0"/>
        <w:ind w:left="0"/>
        <w:jc w:val="both"/>
      </w:pPr>
      <w:r>
        <w:rPr>
          <w:rFonts w:ascii="Times New Roman"/>
          <w:b w:val="false"/>
          <w:i w:val="false"/>
          <w:color w:val="000000"/>
          <w:sz w:val="28"/>
        </w:rPr>
        <w:t>
      Информация по безопасности не вводить в заблуждение и представлена объективно. В информации по безопасности не используются какие-либо материалы и сообщения, которые представляют собой рекламу и иную информацию, направленную на продвижение лекарственного препарата.</w:t>
      </w:r>
    </w:p>
    <w:bookmarkEnd w:id="8195"/>
    <w:bookmarkStart w:name="z8368" w:id="8196"/>
    <w:p>
      <w:pPr>
        <w:spacing w:after="0"/>
        <w:ind w:left="0"/>
        <w:jc w:val="left"/>
      </w:pPr>
      <w:r>
        <w:rPr>
          <w:rFonts w:ascii="Times New Roman"/>
          <w:b/>
          <w:i w:val="false"/>
          <w:color w:val="000000"/>
        </w:rPr>
        <w:t xml:space="preserve"> Параграф 4. Способы информирования по безопасности</w:t>
      </w:r>
    </w:p>
    <w:bookmarkEnd w:id="8196"/>
    <w:bookmarkStart w:name="z8369" w:id="8197"/>
    <w:p>
      <w:pPr>
        <w:spacing w:after="0"/>
        <w:ind w:left="0"/>
        <w:jc w:val="both"/>
      </w:pPr>
      <w:r>
        <w:rPr>
          <w:rFonts w:ascii="Times New Roman"/>
          <w:b w:val="false"/>
          <w:i w:val="false"/>
          <w:color w:val="000000"/>
          <w:sz w:val="28"/>
        </w:rPr>
        <w:t>
       405. При выполнении информирования по безопасности используется весь спектр разнообразных средств передачи информации для достижения целевых аудиторий и удовлетворения их растущих потребностей. Различные средства коммуникации и каналы передачи информации, которые могут быть использованы, подробно рассматриваются в пунктах 406 - 410.</w:t>
      </w:r>
    </w:p>
    <w:bookmarkEnd w:id="8197"/>
    <w:bookmarkStart w:name="z8370" w:id="8198"/>
    <w:p>
      <w:pPr>
        <w:spacing w:after="0"/>
        <w:ind w:left="0"/>
        <w:jc w:val="both"/>
      </w:pPr>
      <w:r>
        <w:rPr>
          <w:rFonts w:ascii="Times New Roman"/>
          <w:b w:val="false"/>
          <w:i w:val="false"/>
          <w:color w:val="000000"/>
          <w:sz w:val="28"/>
        </w:rPr>
        <w:t>
      406. Непосредственное обращение к работникам системы здравоохранения. Под непосредственным обращением к работникам системы здравоохранения в настоящем Стандарте подразумевается предоставление держателями регистрационных удостоверений или уполномоченным органом, уполномоченной организацией важной информации по безопасности напрямую работникам системы здравоохранения с целью сообщения им о необходимости совершения определенных действий или адаптации их практики в отношении лекарственного средства в соответствии с новыми данными по безопасности.</w:t>
      </w:r>
    </w:p>
    <w:bookmarkEnd w:id="8198"/>
    <w:bookmarkStart w:name="z8371" w:id="8199"/>
    <w:p>
      <w:pPr>
        <w:spacing w:after="0"/>
        <w:ind w:left="0"/>
        <w:jc w:val="both"/>
      </w:pPr>
      <w:r>
        <w:rPr>
          <w:rFonts w:ascii="Times New Roman"/>
          <w:b w:val="false"/>
          <w:i w:val="false"/>
          <w:color w:val="000000"/>
          <w:sz w:val="28"/>
        </w:rPr>
        <w:t>
      Непосредственное обращение к работникам системы здравоохранения не является ответами на вопросы работников системы здравоохранения, либо учебными материалами в рамках рутинной деятельности по минимизации рисков.</w:t>
      </w:r>
    </w:p>
    <w:bookmarkEnd w:id="8199"/>
    <w:bookmarkStart w:name="z8372" w:id="8200"/>
    <w:p>
      <w:pPr>
        <w:spacing w:after="0"/>
        <w:ind w:left="0"/>
        <w:jc w:val="both"/>
      </w:pPr>
      <w:r>
        <w:rPr>
          <w:rFonts w:ascii="Times New Roman"/>
          <w:b w:val="false"/>
          <w:i w:val="false"/>
          <w:color w:val="000000"/>
          <w:sz w:val="28"/>
        </w:rPr>
        <w:t>
      Разработка информационного материала для непосредственного обращения предполагает сотрудничество между держателем регистрационного удостоверения и уполномоченным органом.</w:t>
      </w:r>
    </w:p>
    <w:bookmarkEnd w:id="8200"/>
    <w:bookmarkStart w:name="z8373" w:id="8201"/>
    <w:p>
      <w:pPr>
        <w:spacing w:after="0"/>
        <w:ind w:left="0"/>
        <w:jc w:val="both"/>
      </w:pPr>
      <w:r>
        <w:rPr>
          <w:rFonts w:ascii="Times New Roman"/>
          <w:b w:val="false"/>
          <w:i w:val="false"/>
          <w:color w:val="000000"/>
          <w:sz w:val="28"/>
        </w:rPr>
        <w:t>
      Держатель регистрационного удостоверения получает одобрение уполномоченной организации в части содержания информационного материала для непосредственного обращения к работникам системы здравоохранения и плана информирования. Согласование между уполномоченной организацией и держателем регистрационного удостоверения проводится до начала распространения держателем регистрационного удостоверения информационных материалов. Одобрение уполномоченной организации получается в отношении содержания информации и плана информирования, включая целевую аудиторию и график распространения информации.</w:t>
      </w:r>
    </w:p>
    <w:bookmarkEnd w:id="8201"/>
    <w:bookmarkStart w:name="z8374" w:id="8202"/>
    <w:p>
      <w:pPr>
        <w:spacing w:after="0"/>
        <w:ind w:left="0"/>
        <w:jc w:val="both"/>
      </w:pPr>
      <w:r>
        <w:rPr>
          <w:rFonts w:ascii="Times New Roman"/>
          <w:b w:val="false"/>
          <w:i w:val="false"/>
          <w:color w:val="000000"/>
          <w:sz w:val="28"/>
        </w:rPr>
        <w:t xml:space="preserve">
      Держателю регистрационного удостоверения необходимо выделить не менее двух рабочих дней для представления комментариев на замечания уполномоченной организации в части содержания информационного материала или плана информирования. </w:t>
      </w:r>
    </w:p>
    <w:bookmarkEnd w:id="8202"/>
    <w:bookmarkStart w:name="z8375" w:id="8203"/>
    <w:p>
      <w:pPr>
        <w:spacing w:after="0"/>
        <w:ind w:left="0"/>
        <w:jc w:val="both"/>
      </w:pPr>
      <w:r>
        <w:rPr>
          <w:rFonts w:ascii="Times New Roman"/>
          <w:b w:val="false"/>
          <w:i w:val="false"/>
          <w:color w:val="000000"/>
          <w:sz w:val="28"/>
        </w:rPr>
        <w:t>
      При наличии нескольких держателей регистрационных удостоверений на одно и то же действующее вещество, для которого необходимо выпустить информацию для непосредственного обращения к работникам системы здравоохранения, сообщение носит единый согласованный характер.</w:t>
      </w:r>
    </w:p>
    <w:bookmarkEnd w:id="8203"/>
    <w:bookmarkStart w:name="z8376" w:id="8204"/>
    <w:p>
      <w:pPr>
        <w:spacing w:after="0"/>
        <w:ind w:left="0"/>
        <w:jc w:val="both"/>
      </w:pPr>
      <w:r>
        <w:rPr>
          <w:rFonts w:ascii="Times New Roman"/>
          <w:b w:val="false"/>
          <w:i w:val="false"/>
          <w:color w:val="000000"/>
          <w:sz w:val="28"/>
        </w:rPr>
        <w:t>
      При подготовке информации для непосредственного обращения, рекомендуется привлекать в соответствующих случаях организации здравоохранения или научные общества, чтобы гарантировать, что предоставляемая им информация будет полезной и адаптированной для целевой аудитории.</w:t>
      </w:r>
    </w:p>
    <w:bookmarkEnd w:id="8204"/>
    <w:bookmarkStart w:name="z8377" w:id="8205"/>
    <w:p>
      <w:pPr>
        <w:spacing w:after="0"/>
        <w:ind w:left="0"/>
        <w:jc w:val="both"/>
      </w:pPr>
      <w:r>
        <w:rPr>
          <w:rFonts w:ascii="Times New Roman"/>
          <w:b w:val="false"/>
          <w:i w:val="false"/>
          <w:color w:val="000000"/>
          <w:sz w:val="28"/>
        </w:rPr>
        <w:t>
      Непосредственное обращение к работникам системы здравоохранения выступает в качестве дополнительных мер минимизации рисков плана управления рисками.</w:t>
      </w:r>
    </w:p>
    <w:bookmarkEnd w:id="8205"/>
    <w:bookmarkStart w:name="z8378" w:id="8206"/>
    <w:p>
      <w:pPr>
        <w:spacing w:after="0"/>
        <w:ind w:left="0"/>
        <w:jc w:val="both"/>
      </w:pPr>
      <w:r>
        <w:rPr>
          <w:rFonts w:ascii="Times New Roman"/>
          <w:b w:val="false"/>
          <w:i w:val="false"/>
          <w:color w:val="000000"/>
          <w:sz w:val="28"/>
        </w:rPr>
        <w:t>
      Информация для непосредственного обращения к работникам системы здравоохранения распространяется в следующих ситуациях, когда возникает необходимость принятия неотложных мер или изменения существующей практики в отношении лекарственного препарата:</w:t>
      </w:r>
    </w:p>
    <w:bookmarkEnd w:id="8206"/>
    <w:bookmarkStart w:name="z8379" w:id="8207"/>
    <w:p>
      <w:pPr>
        <w:spacing w:after="0"/>
        <w:ind w:left="0"/>
        <w:jc w:val="both"/>
      </w:pPr>
      <w:r>
        <w:rPr>
          <w:rFonts w:ascii="Times New Roman"/>
          <w:b w:val="false"/>
          <w:i w:val="false"/>
          <w:color w:val="000000"/>
          <w:sz w:val="28"/>
        </w:rPr>
        <w:t>
      приостановка или аннулирование удостоверения о государственной регистрации, обусловленной изменениями профиля безопасности лекарственного препарата;</w:t>
      </w:r>
    </w:p>
    <w:bookmarkEnd w:id="8207"/>
    <w:bookmarkStart w:name="z8380" w:id="8208"/>
    <w:p>
      <w:pPr>
        <w:spacing w:after="0"/>
        <w:ind w:left="0"/>
        <w:jc w:val="both"/>
      </w:pPr>
      <w:r>
        <w:rPr>
          <w:rFonts w:ascii="Times New Roman"/>
          <w:b w:val="false"/>
          <w:i w:val="false"/>
          <w:color w:val="000000"/>
          <w:sz w:val="28"/>
        </w:rPr>
        <w:t>
      важное изменение в рекомендациях по применению лекарственного препарата по причине ограничения показаний к применению, нового противопоказания или изменения в рекомендуемых дозах, обусловленные изменением профиля безопасности лекарственного препарата;</w:t>
      </w:r>
    </w:p>
    <w:bookmarkEnd w:id="8208"/>
    <w:bookmarkStart w:name="z8381" w:id="8209"/>
    <w:p>
      <w:pPr>
        <w:spacing w:after="0"/>
        <w:ind w:left="0"/>
        <w:jc w:val="both"/>
      </w:pPr>
      <w:r>
        <w:rPr>
          <w:rFonts w:ascii="Times New Roman"/>
          <w:b w:val="false"/>
          <w:i w:val="false"/>
          <w:color w:val="000000"/>
          <w:sz w:val="28"/>
        </w:rPr>
        <w:t>
      ограничения в доступности или прекращение производства лекарственного препарата, что неблагоприятно скажется на системе оказания медицинской помощи.</w:t>
      </w:r>
    </w:p>
    <w:bookmarkEnd w:id="8209"/>
    <w:bookmarkStart w:name="z8382" w:id="8210"/>
    <w:p>
      <w:pPr>
        <w:spacing w:after="0"/>
        <w:ind w:left="0"/>
        <w:jc w:val="both"/>
      </w:pPr>
      <w:r>
        <w:rPr>
          <w:rFonts w:ascii="Times New Roman"/>
          <w:b w:val="false"/>
          <w:i w:val="false"/>
          <w:color w:val="000000"/>
          <w:sz w:val="28"/>
        </w:rPr>
        <w:t>
      Ситуации, при которых рассматривается необходимость непосредственного обращения к работникам системы здравоохранения:</w:t>
      </w:r>
    </w:p>
    <w:bookmarkEnd w:id="8210"/>
    <w:bookmarkStart w:name="z8383" w:id="8211"/>
    <w:p>
      <w:pPr>
        <w:spacing w:after="0"/>
        <w:ind w:left="0"/>
        <w:jc w:val="both"/>
      </w:pPr>
      <w:r>
        <w:rPr>
          <w:rFonts w:ascii="Times New Roman"/>
          <w:b w:val="false"/>
          <w:i w:val="false"/>
          <w:color w:val="000000"/>
          <w:sz w:val="28"/>
        </w:rPr>
        <w:t>
      появление в рекомендациях по применению лекарственного препарата новых важных предостережений или особых указаний;</w:t>
      </w:r>
    </w:p>
    <w:bookmarkEnd w:id="8211"/>
    <w:bookmarkStart w:name="z8384" w:id="8212"/>
    <w:p>
      <w:pPr>
        <w:spacing w:after="0"/>
        <w:ind w:left="0"/>
        <w:jc w:val="both"/>
      </w:pPr>
      <w:r>
        <w:rPr>
          <w:rFonts w:ascii="Times New Roman"/>
          <w:b w:val="false"/>
          <w:i w:val="false"/>
          <w:color w:val="000000"/>
          <w:sz w:val="28"/>
        </w:rPr>
        <w:t>
      новые данные о выявлении ранее неизвестного риска, а также изменения частоты или степени тяжести известного риска;</w:t>
      </w:r>
    </w:p>
    <w:bookmarkEnd w:id="8212"/>
    <w:bookmarkStart w:name="z8385" w:id="8213"/>
    <w:p>
      <w:pPr>
        <w:spacing w:after="0"/>
        <w:ind w:left="0"/>
        <w:jc w:val="both"/>
      </w:pPr>
      <w:r>
        <w:rPr>
          <w:rFonts w:ascii="Times New Roman"/>
          <w:b w:val="false"/>
          <w:i w:val="false"/>
          <w:color w:val="000000"/>
          <w:sz w:val="28"/>
        </w:rPr>
        <w:t>
      появление обоснованных данных о том, что лекарственный препарат является не столь эффективным, как считалось ранее;</w:t>
      </w:r>
    </w:p>
    <w:bookmarkEnd w:id="8213"/>
    <w:bookmarkStart w:name="z8386" w:id="8214"/>
    <w:p>
      <w:pPr>
        <w:spacing w:after="0"/>
        <w:ind w:left="0"/>
        <w:jc w:val="both"/>
      </w:pPr>
      <w:r>
        <w:rPr>
          <w:rFonts w:ascii="Times New Roman"/>
          <w:b w:val="false"/>
          <w:i w:val="false"/>
          <w:color w:val="000000"/>
          <w:sz w:val="28"/>
        </w:rPr>
        <w:t>
      новые рекомендации по предотвращению развития или купированию нежелательных реакций, либо рекомендации по предотвращению злоупотреблений или снижению риска медицинских ошибок;</w:t>
      </w:r>
    </w:p>
    <w:bookmarkEnd w:id="8214"/>
    <w:bookmarkStart w:name="z8387" w:id="8215"/>
    <w:p>
      <w:pPr>
        <w:spacing w:after="0"/>
        <w:ind w:left="0"/>
        <w:jc w:val="both"/>
      </w:pPr>
      <w:r>
        <w:rPr>
          <w:rFonts w:ascii="Times New Roman"/>
          <w:b w:val="false"/>
          <w:i w:val="false"/>
          <w:color w:val="000000"/>
          <w:sz w:val="28"/>
        </w:rPr>
        <w:t>
      информация по результатам постоянной оценки важных потенциальных рисков, доступные данные по которым на определенный момент являются недостаточными для принятия уполномоченных мер (в этом случае непосредственное обращение содействует тщательному мониторингу проблемы по безопасности в клинической практике, представлению сообщений о нежелательных реакциях, а также информировать о мерах минимизации потенциального риска).</w:t>
      </w:r>
    </w:p>
    <w:bookmarkEnd w:id="8215"/>
    <w:bookmarkStart w:name="z8388" w:id="8216"/>
    <w:p>
      <w:pPr>
        <w:spacing w:after="0"/>
        <w:ind w:left="0"/>
        <w:jc w:val="both"/>
      </w:pPr>
      <w:r>
        <w:rPr>
          <w:rFonts w:ascii="Times New Roman"/>
          <w:b w:val="false"/>
          <w:i w:val="false"/>
          <w:color w:val="000000"/>
          <w:sz w:val="28"/>
        </w:rPr>
        <w:t>
      Уполномоченный орган распространяет информацию для непосредственного обращения к работникам системы здравоохранения или запрашивает у держателя регистрационного удостоверения подготовку, согласование и распространение информации для непосредственного обращения к работникам системы здравоохранения в том случае, когда уполномоченный орган считает это необходимым для дальнейшего безопасного и эффективного использования лекарственного препарата.</w:t>
      </w:r>
    </w:p>
    <w:bookmarkEnd w:id="8216"/>
    <w:bookmarkStart w:name="z8389" w:id="8217"/>
    <w:p>
      <w:pPr>
        <w:spacing w:after="0"/>
        <w:ind w:left="0"/>
        <w:jc w:val="both"/>
      </w:pPr>
      <w:r>
        <w:rPr>
          <w:rFonts w:ascii="Times New Roman"/>
          <w:b w:val="false"/>
          <w:i w:val="false"/>
          <w:color w:val="000000"/>
          <w:sz w:val="28"/>
        </w:rPr>
        <w:t>
      Уполномоченный орган обеспечивает публикацию окончательного варианта информационного материала для непосредственного обращения к работникам системы здравоохранения.</w:t>
      </w:r>
    </w:p>
    <w:bookmarkEnd w:id="8217"/>
    <w:bookmarkStart w:name="z8390" w:id="8218"/>
    <w:p>
      <w:pPr>
        <w:spacing w:after="0"/>
        <w:ind w:left="0"/>
        <w:jc w:val="both"/>
      </w:pPr>
      <w:r>
        <w:rPr>
          <w:rFonts w:ascii="Times New Roman"/>
          <w:b w:val="false"/>
          <w:i w:val="false"/>
          <w:color w:val="000000"/>
          <w:sz w:val="28"/>
        </w:rPr>
        <w:t>
      Уполномоченный орган обеспечивает выпуск дополнительного сообщения по безопасности и распространяет информационный материал среди соответствующих организаций и работников системы здравоохранения.</w:t>
      </w:r>
    </w:p>
    <w:bookmarkEnd w:id="8218"/>
    <w:bookmarkStart w:name="z8391" w:id="8219"/>
    <w:p>
      <w:pPr>
        <w:spacing w:after="0"/>
        <w:ind w:left="0"/>
        <w:jc w:val="both"/>
      </w:pPr>
      <w:r>
        <w:rPr>
          <w:rFonts w:ascii="Times New Roman"/>
          <w:b w:val="false"/>
          <w:i w:val="false"/>
          <w:color w:val="000000"/>
          <w:sz w:val="28"/>
        </w:rPr>
        <w:t>
      407. Информация для неспециалистов. Информационный материал, написанный простым (непрофессиональным) языком (в формате вопросов и ответов), помогает пациентам и населению в целом разобраться в научных данных и уполномоченных мерах, касающихся проблем по безопасности. Документы на непрофессиональном языке обеспечивают информирование о рекомендациях и советах уполномоченного органа по минимизации рисков для пациентов и работников системы здравоохранения в отношении проблем по безопасности, и сопровождаются соответствующей справочной информацией.</w:t>
      </w:r>
    </w:p>
    <w:bookmarkEnd w:id="8219"/>
    <w:bookmarkStart w:name="z8392" w:id="8220"/>
    <w:p>
      <w:pPr>
        <w:spacing w:after="0"/>
        <w:ind w:left="0"/>
        <w:jc w:val="both"/>
      </w:pPr>
      <w:r>
        <w:rPr>
          <w:rFonts w:ascii="Times New Roman"/>
          <w:b w:val="false"/>
          <w:i w:val="false"/>
          <w:color w:val="000000"/>
          <w:sz w:val="28"/>
        </w:rPr>
        <w:t>
      Уполномоченный орган размещает информацию для неспециалистов на медицинских интернет-порталах и дополнительно распространяет их среди соответствующих сторон: пациентов и организаций здравоохранения.</w:t>
      </w:r>
    </w:p>
    <w:bookmarkEnd w:id="8220"/>
    <w:bookmarkStart w:name="z8393" w:id="8221"/>
    <w:p>
      <w:pPr>
        <w:spacing w:after="0"/>
        <w:ind w:left="0"/>
        <w:jc w:val="both"/>
      </w:pPr>
      <w:r>
        <w:rPr>
          <w:rFonts w:ascii="Times New Roman"/>
          <w:b w:val="false"/>
          <w:i w:val="false"/>
          <w:color w:val="000000"/>
          <w:sz w:val="28"/>
        </w:rPr>
        <w:t>
      Рекомендуется привлекать пациентов и работников системы здравоохранения к участию в процессе подготовки документов на непрофессиональном языке, чтобы гарантировать, что предоставляемая ими информация будет полезной и адаптированной для целевой аудитории.</w:t>
      </w:r>
    </w:p>
    <w:bookmarkEnd w:id="8221"/>
    <w:bookmarkStart w:name="z8394" w:id="8222"/>
    <w:p>
      <w:pPr>
        <w:spacing w:after="0"/>
        <w:ind w:left="0"/>
        <w:jc w:val="both"/>
      </w:pPr>
      <w:r>
        <w:rPr>
          <w:rFonts w:ascii="Times New Roman"/>
          <w:b w:val="false"/>
          <w:i w:val="false"/>
          <w:color w:val="000000"/>
          <w:sz w:val="28"/>
        </w:rPr>
        <w:t>
      408. Информация в прессе. К информации, размещаемой в прессе, относятся: пресс-релизы и пресс-конференции, которые в первую очередь предназначены для журналистов.</w:t>
      </w:r>
    </w:p>
    <w:bookmarkEnd w:id="8222"/>
    <w:bookmarkStart w:name="z8395" w:id="8223"/>
    <w:p>
      <w:pPr>
        <w:spacing w:after="0"/>
        <w:ind w:left="0"/>
        <w:jc w:val="both"/>
      </w:pPr>
      <w:r>
        <w:rPr>
          <w:rFonts w:ascii="Times New Roman"/>
          <w:b w:val="false"/>
          <w:i w:val="false"/>
          <w:color w:val="000000"/>
          <w:sz w:val="28"/>
        </w:rPr>
        <w:t xml:space="preserve">
      Уполномоченный орган направляет пресс-релизы журналистам в дополнение к их размещению на сайте уполномоченного органа, что позволит журналистам напрямую получить информацию, которая соответствует научной оценке уполномоченного органа. </w:t>
      </w:r>
    </w:p>
    <w:bookmarkEnd w:id="8223"/>
    <w:bookmarkStart w:name="z8396" w:id="8224"/>
    <w:p>
      <w:pPr>
        <w:spacing w:after="0"/>
        <w:ind w:left="0"/>
        <w:jc w:val="both"/>
      </w:pPr>
      <w:r>
        <w:rPr>
          <w:rFonts w:ascii="Times New Roman"/>
          <w:b w:val="false"/>
          <w:i w:val="false"/>
          <w:color w:val="000000"/>
          <w:sz w:val="28"/>
        </w:rPr>
        <w:t>
      Держатели регистрационных удостоверений также опубликовывают пресс-релиз с отражением своей позиции по проблеме по безопасности со ссылкой на все меры, принимаемые уполномоченным органом. Соответствующие выполняемые обзоры указаны в любой информации, представляемой держателем регистрационного удостоверения.</w:t>
      </w:r>
    </w:p>
    <w:bookmarkEnd w:id="8224"/>
    <w:bookmarkStart w:name="z8397" w:id="8225"/>
    <w:p>
      <w:pPr>
        <w:spacing w:after="0"/>
        <w:ind w:left="0"/>
        <w:jc w:val="both"/>
      </w:pPr>
      <w:r>
        <w:rPr>
          <w:rFonts w:ascii="Times New Roman"/>
          <w:b w:val="false"/>
          <w:i w:val="false"/>
          <w:color w:val="000000"/>
          <w:sz w:val="28"/>
        </w:rPr>
        <w:t>
      В пресс-релизах делается ссылка на информационные материалы, имеющие отношение к данной проблеме по безопасности. В случаях, когда готовится также непосредственное обращение к работникам системы здравоохранения, обеспечивается информирование работников системы здравоохранения либо до публикации, либо одновременно с публикацией или распространением пресс-релиза для предоставления возможности медицинским работникам быть подготовленными к ответам на вопросы пациентов.</w:t>
      </w:r>
    </w:p>
    <w:bookmarkEnd w:id="8225"/>
    <w:bookmarkStart w:name="z8398" w:id="8226"/>
    <w:p>
      <w:pPr>
        <w:spacing w:after="0"/>
        <w:ind w:left="0"/>
        <w:jc w:val="both"/>
      </w:pPr>
      <w:r>
        <w:rPr>
          <w:rFonts w:ascii="Times New Roman"/>
          <w:b w:val="false"/>
          <w:i w:val="false"/>
          <w:color w:val="000000"/>
          <w:sz w:val="28"/>
        </w:rPr>
        <w:t>
      В случае если проблема по безопасности представляет повышенный интерес для средств массовой информации, либо в случае необходимости доведения до населения многоплановой и сложной информации по важному для здоровья населения вопросу, уполномоченным органом в качестве эффективного метода информирования общественности рассматривается вопрос проведения пресс-конференции с журналистами.</w:t>
      </w:r>
    </w:p>
    <w:bookmarkEnd w:id="8226"/>
    <w:bookmarkStart w:name="z8399" w:id="8227"/>
    <w:p>
      <w:pPr>
        <w:spacing w:after="0"/>
        <w:ind w:left="0"/>
        <w:jc w:val="both"/>
      </w:pPr>
      <w:r>
        <w:rPr>
          <w:rFonts w:ascii="Times New Roman"/>
          <w:b w:val="false"/>
          <w:i w:val="false"/>
          <w:color w:val="000000"/>
          <w:sz w:val="28"/>
        </w:rPr>
        <w:t xml:space="preserve">
      409. Веб-сайт представляет собой важный инструмент информирования населения (включая пациентов и работников системы здравоохранения). Уполномоченный орган, а также держатели регистрационных удостоверений, обеспечивают, что важная информация по безопасности, размещенная на контролируемых ими веб-сайтах, является легко доступной и понятной пользователям. Информация на сайтах постоянно обновляется, а любая устаревшая информация помечена как таковая или удалена. </w:t>
      </w:r>
    </w:p>
    <w:bookmarkEnd w:id="8227"/>
    <w:bookmarkStart w:name="z8400" w:id="8228"/>
    <w:p>
      <w:pPr>
        <w:spacing w:after="0"/>
        <w:ind w:left="0"/>
        <w:jc w:val="both"/>
      </w:pPr>
      <w:r>
        <w:rPr>
          <w:rFonts w:ascii="Times New Roman"/>
          <w:b w:val="false"/>
          <w:i w:val="false"/>
          <w:color w:val="000000"/>
          <w:sz w:val="28"/>
        </w:rPr>
        <w:t>
      410. Информация по безопасности также распространяется в Интернете посредством других веб-приложений. При использовании более новых, высокоскоростных каналов связи, принимают необходимые меры, для недопущения нарушения точности передаваемой информации. В коммуникационной практике учитывают появляющиеся новые средства коммуникации, используемые различными целевыми аудиториями.</w:t>
      </w:r>
    </w:p>
    <w:bookmarkEnd w:id="8228"/>
    <w:bookmarkStart w:name="z8401" w:id="8229"/>
    <w:p>
      <w:pPr>
        <w:spacing w:after="0"/>
        <w:ind w:left="0"/>
        <w:jc w:val="both"/>
      </w:pPr>
      <w:r>
        <w:rPr>
          <w:rFonts w:ascii="Times New Roman"/>
          <w:b w:val="false"/>
          <w:i w:val="false"/>
          <w:color w:val="000000"/>
          <w:sz w:val="28"/>
        </w:rPr>
        <w:t>
      411. Информационные письма и бюллетени предназначены для регулярного предоставления новой информации о лекарственных препаратах и их безопасности, и эффективности. С помощью этих механизмов информирования уполномоченный орган имеет возможность охватить большую аудиторию, используя веб-приложения и другие доступные средства.</w:t>
      </w:r>
    </w:p>
    <w:bookmarkEnd w:id="8229"/>
    <w:bookmarkStart w:name="z8402" w:id="8230"/>
    <w:p>
      <w:pPr>
        <w:spacing w:after="0"/>
        <w:ind w:left="0"/>
        <w:jc w:val="both"/>
      </w:pPr>
      <w:r>
        <w:rPr>
          <w:rFonts w:ascii="Times New Roman"/>
          <w:b w:val="false"/>
          <w:i w:val="false"/>
          <w:color w:val="000000"/>
          <w:sz w:val="28"/>
        </w:rPr>
        <w:t>
      412. Уполномоченный орган и держатели регистрационных удостоверений обеспечивают наличие действующей системы реагирования на запросы отдельных граждан о лекарственных препаратах. Ответы содержат информацию, находящуюся в открытом доступе, и включать в себя соответствующие рекомендации для пациентов и работников системы здравоохранения, предоставленные уполномоченным органом. Кода вопросы касаются консультаций по индивидуальному лечению, пациенту рекомендуют обратиться к специалистам системы здравоохранения.</w:t>
      </w:r>
    </w:p>
    <w:bookmarkEnd w:id="8230"/>
    <w:bookmarkStart w:name="z8403" w:id="8231"/>
    <w:p>
      <w:pPr>
        <w:spacing w:after="0"/>
        <w:ind w:left="0"/>
        <w:jc w:val="both"/>
      </w:pPr>
      <w:r>
        <w:rPr>
          <w:rFonts w:ascii="Times New Roman"/>
          <w:b w:val="false"/>
          <w:i w:val="false"/>
          <w:color w:val="000000"/>
          <w:sz w:val="28"/>
        </w:rPr>
        <w:t>
      413. Кроме рассмотренных выше способов информирования, существуют и другие инструменты, и каналы передачи информации по безопасности, такие как публикации в научных журналах и журналах профессиональных организаций.</w:t>
      </w:r>
    </w:p>
    <w:bookmarkEnd w:id="8231"/>
    <w:bookmarkStart w:name="z8404" w:id="8232"/>
    <w:p>
      <w:pPr>
        <w:spacing w:after="0"/>
        <w:ind w:left="0"/>
        <w:jc w:val="both"/>
      </w:pPr>
      <w:r>
        <w:rPr>
          <w:rFonts w:ascii="Times New Roman"/>
          <w:b w:val="false"/>
          <w:i w:val="false"/>
          <w:color w:val="000000"/>
          <w:sz w:val="28"/>
        </w:rPr>
        <w:t>
      Другие способы информирования используемые в области управления рисками такие, как памятки для пациентов или руководства по безопасности для работников системы здравоохранения, рассматриваются в разделе 12 настоящего Стандарта.</w:t>
      </w:r>
    </w:p>
    <w:bookmarkEnd w:id="8232"/>
    <w:bookmarkStart w:name="z8405" w:id="8233"/>
    <w:p>
      <w:pPr>
        <w:spacing w:after="0"/>
        <w:ind w:left="0"/>
        <w:jc w:val="left"/>
      </w:pPr>
      <w:r>
        <w:rPr>
          <w:rFonts w:ascii="Times New Roman"/>
          <w:b/>
          <w:i w:val="false"/>
          <w:color w:val="000000"/>
        </w:rPr>
        <w:t xml:space="preserve"> Параграф 5. Эффективность информации по безопасности</w:t>
      </w:r>
    </w:p>
    <w:bookmarkEnd w:id="8233"/>
    <w:bookmarkStart w:name="z8406" w:id="8234"/>
    <w:p>
      <w:pPr>
        <w:spacing w:after="0"/>
        <w:ind w:left="0"/>
        <w:jc w:val="both"/>
      </w:pPr>
      <w:r>
        <w:rPr>
          <w:rFonts w:ascii="Times New Roman"/>
          <w:b w:val="false"/>
          <w:i w:val="false"/>
          <w:color w:val="000000"/>
          <w:sz w:val="28"/>
        </w:rPr>
        <w:t xml:space="preserve">
      414. Информация по безопасности считается эффективной, когда передаваемое сообщение принимается и понимается целевой аудиторией так, как это было предусмотрено, и целевая аудитория реагирует на информацию принятием соответствующих мер. Для оценки эффективности информации применяются соответствующие механизмы, основанных на четких параметрах (показателях). На основании выполненной оценки эффективности делаются выводы, определены приоритеты дальнейшей деятельности по информированию, а также выполнена адаптация инструментов и практики в направлении соответствия потребностям целевой аудитории. Для установления соответствия информации по безопасности требованиям пункта 402 настоящего Стандарта используют подход, основанный на исследовании. При применении данного подхода сопоставляются различные результаты, в том числе поведение, отношения, и знания. </w:t>
      </w:r>
    </w:p>
    <w:bookmarkEnd w:id="8234"/>
    <w:bookmarkStart w:name="z8407" w:id="8235"/>
    <w:p>
      <w:pPr>
        <w:spacing w:after="0"/>
        <w:ind w:left="0"/>
        <w:jc w:val="both"/>
      </w:pPr>
      <w:r>
        <w:rPr>
          <w:rFonts w:ascii="Times New Roman"/>
          <w:b w:val="false"/>
          <w:i w:val="false"/>
          <w:color w:val="000000"/>
          <w:sz w:val="28"/>
        </w:rPr>
        <w:t>
      Держатели регистрационных удостоверений обеспечивают надлежащую оценку эффективности прямого информирования медицинских работников по проблемам безопасности. Держатели регистрационных удостоверений информируют уполномоченный орган о полученных результатах оценки эффективности прямого информирования, а также любых выявленных трудностях, (таких как, проблемах со списком получателей или со сроками и механизмами распространения). Соответствующие корректирующие и предупреждающие меры принимаются во всех случаях выявления недостаточной эффективности непосредственного обращения к работникам системы здравоохранения.</w:t>
      </w:r>
    </w:p>
    <w:bookmarkEnd w:id="8235"/>
    <w:bookmarkStart w:name="z8408" w:id="8236"/>
    <w:p>
      <w:pPr>
        <w:spacing w:after="0"/>
        <w:ind w:left="0"/>
        <w:jc w:val="both"/>
      </w:pPr>
      <w:r>
        <w:rPr>
          <w:rFonts w:ascii="Times New Roman"/>
          <w:b w:val="false"/>
          <w:i w:val="false"/>
          <w:color w:val="000000"/>
          <w:sz w:val="28"/>
        </w:rPr>
        <w:t>
      415. В соответствии с требованиями к системе качества информирования по безопасности, изложенными в разделе 2 настоящего Стандарта, требуется наличие соответствующих процедур, обеспечивающих соответствие информирования по безопасности принципам, определяемым в пункте 402 настоящего Стандарта. Обеспечивается выполнение и документирование контрольных процедур в отношении передаваемой информации по безопасности, представляющей собой объект контроля качества.</w:t>
      </w:r>
    </w:p>
    <w:bookmarkEnd w:id="8236"/>
    <w:bookmarkStart w:name="z8409" w:id="8237"/>
    <w:p>
      <w:pPr>
        <w:spacing w:after="0"/>
        <w:ind w:left="0"/>
        <w:jc w:val="left"/>
      </w:pPr>
      <w:r>
        <w:rPr>
          <w:rFonts w:ascii="Times New Roman"/>
          <w:b/>
          <w:i w:val="false"/>
          <w:color w:val="000000"/>
        </w:rPr>
        <w:t xml:space="preserve"> Глава 45. Меры минимизации риска</w:t>
      </w:r>
    </w:p>
    <w:bookmarkEnd w:id="8237"/>
    <w:bookmarkStart w:name="z8410" w:id="8238"/>
    <w:p>
      <w:pPr>
        <w:spacing w:after="0"/>
        <w:ind w:left="0"/>
        <w:jc w:val="left"/>
      </w:pPr>
      <w:r>
        <w:rPr>
          <w:rFonts w:ascii="Times New Roman"/>
          <w:b/>
          <w:i w:val="false"/>
          <w:color w:val="000000"/>
        </w:rPr>
        <w:t xml:space="preserve"> Параграф 1. Общее положение</w:t>
      </w:r>
    </w:p>
    <w:bookmarkEnd w:id="8238"/>
    <w:bookmarkStart w:name="z8411" w:id="8239"/>
    <w:p>
      <w:pPr>
        <w:spacing w:after="0"/>
        <w:ind w:left="0"/>
        <w:jc w:val="both"/>
      </w:pPr>
      <w:r>
        <w:rPr>
          <w:rFonts w:ascii="Times New Roman"/>
          <w:b w:val="false"/>
          <w:i w:val="false"/>
          <w:color w:val="000000"/>
          <w:sz w:val="28"/>
        </w:rPr>
        <w:t xml:space="preserve">
      416. Меры минимизации риска представляют собой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развитиях нежелательный реакции на лекарственного препарата. </w:t>
      </w:r>
    </w:p>
    <w:bookmarkEnd w:id="8239"/>
    <w:bookmarkStart w:name="z8412" w:id="8240"/>
    <w:p>
      <w:pPr>
        <w:spacing w:after="0"/>
        <w:ind w:left="0"/>
        <w:jc w:val="both"/>
      </w:pPr>
      <w:r>
        <w:rPr>
          <w:rFonts w:ascii="Times New Roman"/>
          <w:b w:val="false"/>
          <w:i w:val="false"/>
          <w:color w:val="000000"/>
          <w:sz w:val="28"/>
        </w:rPr>
        <w:t>
      Меры минимизации риска, включенные в данный модуль, рассматриваются в контексте основной части требований к системе минимизации риска.</w:t>
      </w:r>
    </w:p>
    <w:bookmarkEnd w:id="8240"/>
    <w:bookmarkStart w:name="z8413" w:id="8241"/>
    <w:p>
      <w:pPr>
        <w:spacing w:after="0"/>
        <w:ind w:left="0"/>
        <w:jc w:val="both"/>
      </w:pPr>
      <w:r>
        <w:rPr>
          <w:rFonts w:ascii="Times New Roman"/>
          <w:b w:val="false"/>
          <w:i w:val="false"/>
          <w:color w:val="000000"/>
          <w:sz w:val="28"/>
        </w:rPr>
        <w:t xml:space="preserve">
      Меры минимизации риска включают рутинные меры минимизации риска или дополнительные меры минимизации риска. Рутинные меры минимизации риска распространяются на все лекарственные препарата и описаны детально в разделе 6 настоящего Стандарта. Большинство проблем по безопасности надлежащим образом управляются рутинными мерами минимизации риска, однако в отношении некоторых рисков рутинные меры минимизации риска являются недостаточными и для обеспечения надлежащего управления рисками и (или) улучшения соотношения польза-риск лекарственного препарата проводятся дополнительные меры управления рисками. Данный раздел содержит руководство по применению дополнительных мер минимизации риска и выбору инструментов минимизации риска. </w:t>
      </w:r>
    </w:p>
    <w:bookmarkEnd w:id="8241"/>
    <w:bookmarkStart w:name="z8414" w:id="8242"/>
    <w:p>
      <w:pPr>
        <w:spacing w:after="0"/>
        <w:ind w:left="0"/>
        <w:jc w:val="both"/>
      </w:pPr>
      <w:r>
        <w:rPr>
          <w:rFonts w:ascii="Times New Roman"/>
          <w:b w:val="false"/>
          <w:i w:val="false"/>
          <w:color w:val="000000"/>
          <w:sz w:val="28"/>
        </w:rPr>
        <w:t>
      Меры минимизации риска определяются на основании проблем по безопасности, представленных в спецификации по безопасности. Каждую проблему по безопасности рассматривает в индивидуальном порядке, при выборе наиболее целесообразной меры минимизации риска учитывают серьезность потенциальных нежелательных реакций, их степень тяжести, предотвратимость или клинические действия, необходимые для снижения риска, показания к применению, путь и способ введения лекарственного препарата, целевые популяции и тип учреждений здравоохранения, где применяется лекарственный препарат. Проблема по безопасности адресуется более чем в одной мере по минимизации риска, а определенная мера минимизации риска распространяется более чем на одну проблему по безопасности.</w:t>
      </w:r>
    </w:p>
    <w:bookmarkEnd w:id="8242"/>
    <w:bookmarkStart w:name="z8415" w:id="8243"/>
    <w:p>
      <w:pPr>
        <w:spacing w:after="0"/>
        <w:ind w:left="0"/>
        <w:jc w:val="both"/>
      </w:pPr>
      <w:r>
        <w:rPr>
          <w:rFonts w:ascii="Times New Roman"/>
          <w:b w:val="false"/>
          <w:i w:val="false"/>
          <w:color w:val="000000"/>
          <w:sz w:val="28"/>
        </w:rPr>
        <w:t>
      Держатель регистрационного удостоверения обеспечивает проведения надлежащего контроля выполнения мер минимизации риска, которые включены в согласованный уполномоченной организацией ПУР или которые сформулированы как условия государственной регистрации.</w:t>
      </w:r>
    </w:p>
    <w:bookmarkEnd w:id="8243"/>
    <w:bookmarkStart w:name="z8416" w:id="8244"/>
    <w:p>
      <w:pPr>
        <w:spacing w:after="0"/>
        <w:ind w:left="0"/>
        <w:jc w:val="both"/>
      </w:pPr>
      <w:r>
        <w:rPr>
          <w:rFonts w:ascii="Times New Roman"/>
          <w:b w:val="false"/>
          <w:i w:val="false"/>
          <w:color w:val="000000"/>
          <w:sz w:val="28"/>
        </w:rPr>
        <w:t>
      Уполномоченный орган проводит контроль результатов введения и реализации мер минимизации риска, которые включены в ПУР или которые сформулированы как условия государственной регистрации.</w:t>
      </w:r>
    </w:p>
    <w:bookmarkEnd w:id="8244"/>
    <w:bookmarkStart w:name="z8417" w:id="8245"/>
    <w:p>
      <w:pPr>
        <w:spacing w:after="0"/>
        <w:ind w:left="0"/>
        <w:jc w:val="left"/>
      </w:pPr>
      <w:r>
        <w:rPr>
          <w:rFonts w:ascii="Times New Roman"/>
          <w:b/>
          <w:i w:val="false"/>
          <w:color w:val="000000"/>
        </w:rPr>
        <w:t xml:space="preserve"> Параграф 2. Структуры и процессы</w:t>
      </w:r>
    </w:p>
    <w:bookmarkEnd w:id="8245"/>
    <w:bookmarkStart w:name="z8418" w:id="8246"/>
    <w:p>
      <w:pPr>
        <w:spacing w:after="0"/>
        <w:ind w:left="0"/>
        <w:jc w:val="both"/>
      </w:pPr>
      <w:r>
        <w:rPr>
          <w:rFonts w:ascii="Times New Roman"/>
          <w:b w:val="false"/>
          <w:i w:val="false"/>
          <w:color w:val="000000"/>
          <w:sz w:val="28"/>
        </w:rPr>
        <w:t>
      417. Меры минимизации риска имеют своей целью оптимизацию безопасного и эффективного использования лекарственного препарата на протяжении всего жизненного цикла. Соотношение польза-риск лекарственного препарата обеспечивается путем снижения риска и степени тяжести последствий нежелательных реакций, а также оптимизации пользы путем целевого подбора и (или) исключения пациентов либо путем тщательного мониторинга лечения (специфическая схема приема, соответствующий лабораторный мониторинг, последующее наблюдение за пациентами). Меры минимизации риска являются руководством для оптимального использования лекарственного препарата в медицинской практике в целях гарантии предоставления оптимального лекарственного препарата для определенного пациента, в оптимальной дозе, в нужное время, специалистом, имеющим надлежащую подготовку по назначению лекарственного препарата и ведению пациента, а также с достоверной информацией и при надлежащем контроле.</w:t>
      </w:r>
    </w:p>
    <w:bookmarkEnd w:id="8246"/>
    <w:bookmarkStart w:name="z8419" w:id="8247"/>
    <w:p>
      <w:pPr>
        <w:spacing w:after="0"/>
        <w:ind w:left="0"/>
        <w:jc w:val="both"/>
      </w:pPr>
      <w:r>
        <w:rPr>
          <w:rFonts w:ascii="Times New Roman"/>
          <w:b w:val="false"/>
          <w:i w:val="false"/>
          <w:color w:val="000000"/>
          <w:sz w:val="28"/>
        </w:rPr>
        <w:t>
      Существует ряд разнообразных методов, используемых в качестве дополнительных мер минимизации риска. Данный раздел регулирования обращения лекарственных препаратов находится в стадии непрерывного развития и имеющиеся методы дополняются новыми, в том числе ориентированными на более широкое использование интернет-технологий.</w:t>
      </w:r>
    </w:p>
    <w:bookmarkEnd w:id="8247"/>
    <w:bookmarkStart w:name="z8420" w:id="8248"/>
    <w:p>
      <w:pPr>
        <w:spacing w:after="0"/>
        <w:ind w:left="0"/>
        <w:jc w:val="both"/>
      </w:pPr>
      <w:r>
        <w:rPr>
          <w:rFonts w:ascii="Times New Roman"/>
          <w:b w:val="false"/>
          <w:i w:val="false"/>
          <w:color w:val="000000"/>
          <w:sz w:val="28"/>
        </w:rPr>
        <w:t xml:space="preserve">
      Успешное осуществление дополнительных мер по минимизации риска требует вклада всех заинтересованных сторон, в том числе держателя регистрационного удостоверения, пациентов и специалистов системы здравоохранения. </w:t>
      </w:r>
    </w:p>
    <w:bookmarkEnd w:id="8248"/>
    <w:bookmarkStart w:name="z8421" w:id="8249"/>
    <w:p>
      <w:pPr>
        <w:spacing w:after="0"/>
        <w:ind w:left="0"/>
        <w:jc w:val="both"/>
      </w:pPr>
      <w:r>
        <w:rPr>
          <w:rFonts w:ascii="Times New Roman"/>
          <w:b w:val="false"/>
          <w:i w:val="false"/>
          <w:color w:val="000000"/>
          <w:sz w:val="28"/>
        </w:rPr>
        <w:t>
      Дополнительные меры минимизации риска имеют четко определенную цель, соответствующую общей цели минимизации специфических рисков и (или) оптимизации соотношения польза-риск. Конкретные цели и заранее определенные параметры оценки достижения поставленной цели с ключевыми этапами становятся руководством при разработке дополнительных мер минимизации риска. Обеспечить надлежащий мониторинг по заранее определяемым параметрам, как на этапе внедрения, так и эффективности в процессе и по окончанию выполнения. Характеристика проблемы по безопасности в контексте характеристики соотношения польза-риск лекарственного препарата, терапевтической значимости лекарственного препарата, целевой популяции и необходимыми клиническими действиями для минимизации риска являются факторами, необходимыми учитывать при выборе инструментов (методов) минимизации риска и стратегии внедрения мер минимизации риска с целью обеспечения достижения желаемых результатов по охране общественного здоровья. Выполнение регулярной промежуточной оценки эффективности реализуемых мер минимизации риска направляется на своевременное выявление их недостаточной эффективности и внедрение соответствующих корректирующих мероприятий.</w:t>
      </w:r>
    </w:p>
    <w:bookmarkEnd w:id="8249"/>
    <w:bookmarkStart w:name="z8422" w:id="8250"/>
    <w:p>
      <w:pPr>
        <w:spacing w:after="0"/>
        <w:ind w:left="0"/>
        <w:jc w:val="both"/>
      </w:pPr>
      <w:r>
        <w:rPr>
          <w:rFonts w:ascii="Times New Roman"/>
          <w:b w:val="false"/>
          <w:i w:val="false"/>
          <w:color w:val="000000"/>
          <w:sz w:val="28"/>
        </w:rPr>
        <w:t>
      План минимизации риска является составляющей частью плана управления рисками. План минимизации риска включает следующие разделы:</w:t>
      </w:r>
    </w:p>
    <w:bookmarkEnd w:id="8250"/>
    <w:bookmarkStart w:name="z8423" w:id="8251"/>
    <w:p>
      <w:pPr>
        <w:spacing w:after="0"/>
        <w:ind w:left="0"/>
        <w:jc w:val="both"/>
      </w:pPr>
      <w:r>
        <w:rPr>
          <w:rFonts w:ascii="Times New Roman"/>
          <w:b w:val="false"/>
          <w:i w:val="false"/>
          <w:color w:val="000000"/>
          <w:sz w:val="28"/>
        </w:rPr>
        <w:t xml:space="preserve">
      1) обоснование необходимости введения дополнительных мер по минимизации риска (в связи с определенными проблемами безопасности): в данном разделе сформулировано обоснование предложенных дополнительных мер минимизации риска, которое включает конкретные цели по каждой из предложенных мер. Приводится четкое описание того, как предлагаемая дополнительная мера минимизации риска направлена на конкретную проблему по безопасности; </w:t>
      </w:r>
    </w:p>
    <w:bookmarkEnd w:id="8251"/>
    <w:bookmarkStart w:name="z8424" w:id="8252"/>
    <w:p>
      <w:pPr>
        <w:spacing w:after="0"/>
        <w:ind w:left="0"/>
        <w:jc w:val="both"/>
      </w:pPr>
      <w:r>
        <w:rPr>
          <w:rFonts w:ascii="Times New Roman"/>
          <w:b w:val="false"/>
          <w:i w:val="false"/>
          <w:color w:val="000000"/>
          <w:sz w:val="28"/>
        </w:rPr>
        <w:t>
      2) описание дополнительных мер минимизации риска: в данном разделе предоставляет описание выбранных дополнительных мер минимизации риска, включая описание инструментов (методов), которые планируют использовать, и ключевых элементов содержания;</w:t>
      </w:r>
    </w:p>
    <w:bookmarkEnd w:id="8252"/>
    <w:bookmarkStart w:name="z8425" w:id="8253"/>
    <w:p>
      <w:pPr>
        <w:spacing w:after="0"/>
        <w:ind w:left="0"/>
        <w:jc w:val="both"/>
      </w:pPr>
      <w:r>
        <w:rPr>
          <w:rFonts w:ascii="Times New Roman"/>
          <w:b w:val="false"/>
          <w:i w:val="false"/>
          <w:color w:val="000000"/>
          <w:sz w:val="28"/>
        </w:rPr>
        <w:t>
      3) план выполнения: в данном разделе представляет подробное описание предложений по выполнению дополнительных мер минимизации риска (характеристика вмешательств, детальная информация о целевой аудитории, план проведения образовательных программ и (или) распространения образовательных инструментов, механизм координации данных мер с другими держателями регистрационных удостоверений, если применимо);</w:t>
      </w:r>
    </w:p>
    <w:bookmarkEnd w:id="8253"/>
    <w:bookmarkStart w:name="z8426" w:id="8254"/>
    <w:p>
      <w:pPr>
        <w:spacing w:after="0"/>
        <w:ind w:left="0"/>
        <w:jc w:val="both"/>
      </w:pPr>
      <w:r>
        <w:rPr>
          <w:rFonts w:ascii="Times New Roman"/>
          <w:b w:val="false"/>
          <w:i w:val="false"/>
          <w:color w:val="000000"/>
          <w:sz w:val="28"/>
        </w:rPr>
        <w:t>
      4) план оценки: в данном разделе предоставляется подробный план с ключевыми этапами по оценке эффективности дополнительных мер минимизации риска с точки зрения выполнения запланированного процесса и с точки зрения общих показателей влияния на исходы (снижение риска).</w:t>
      </w:r>
    </w:p>
    <w:bookmarkEnd w:id="8254"/>
    <w:bookmarkStart w:name="z8427" w:id="8255"/>
    <w:p>
      <w:pPr>
        <w:spacing w:after="0"/>
        <w:ind w:left="0"/>
        <w:jc w:val="left"/>
      </w:pPr>
      <w:r>
        <w:rPr>
          <w:rFonts w:ascii="Times New Roman"/>
          <w:b/>
          <w:i w:val="false"/>
          <w:color w:val="000000"/>
        </w:rPr>
        <w:t xml:space="preserve"> Параграф 3. Меры минимизации риска</w:t>
      </w:r>
    </w:p>
    <w:bookmarkEnd w:id="8255"/>
    <w:bookmarkStart w:name="z8428" w:id="8256"/>
    <w:p>
      <w:pPr>
        <w:spacing w:after="0"/>
        <w:ind w:left="0"/>
        <w:jc w:val="both"/>
      </w:pPr>
      <w:r>
        <w:rPr>
          <w:rFonts w:ascii="Times New Roman"/>
          <w:b w:val="false"/>
          <w:i w:val="false"/>
          <w:color w:val="000000"/>
          <w:sz w:val="28"/>
        </w:rPr>
        <w:t>
      418. Дополнительные меры минимизации риска предлагаются в тех случаях, когда они оцениваются как условия безопасного и эффективного использования лекарственного препарата. Предлагаемые дополнительные меры минимизации риска являются научно обоснованными, разрабатываются и представляются специалистами с соответствующей квалификацией.</w:t>
      </w:r>
    </w:p>
    <w:bookmarkEnd w:id="8256"/>
    <w:bookmarkStart w:name="z8429" w:id="8257"/>
    <w:p>
      <w:pPr>
        <w:spacing w:after="0"/>
        <w:ind w:left="0"/>
        <w:jc w:val="both"/>
      </w:pPr>
      <w:r>
        <w:rPr>
          <w:rFonts w:ascii="Times New Roman"/>
          <w:b w:val="false"/>
          <w:i w:val="false"/>
          <w:color w:val="000000"/>
          <w:sz w:val="28"/>
        </w:rPr>
        <w:t>
      Дополнительные меры минимизации риска имеют различные цели, дизайн, целевую аудиторию и сложность. Эти меры используются с целью обеспечения надлежащей процедуры выбора соответствующих пациентов, для которых польза применения лекарственного препарата превышает риск, и исключения пациентов, которым применение лекарственного препарата противопоказано; с целью обеспечения надлежащего мониторинга терапии, имеющего отношение к контролю важных рисков и (или) надлежащего управления нежелательной реакцией в случае ее развития. Дополнительно разрабатываются специфические меры минимизации риска в отношении риска медицинской ошибки и (или) в целях обеспечения надлежащего назначения лекарственного препарата, в случаях, когда является практически неосуществимым достижение этой цели только посредством представления информации о лекарственном препарате в инструкции по медицинскому применению или информации на этикетке.</w:t>
      </w:r>
    </w:p>
    <w:bookmarkEnd w:id="8257"/>
    <w:bookmarkStart w:name="z8430" w:id="8258"/>
    <w:p>
      <w:pPr>
        <w:spacing w:after="0"/>
        <w:ind w:left="0"/>
        <w:jc w:val="both"/>
      </w:pPr>
      <w:r>
        <w:rPr>
          <w:rFonts w:ascii="Times New Roman"/>
          <w:b w:val="false"/>
          <w:i w:val="false"/>
          <w:color w:val="000000"/>
          <w:sz w:val="28"/>
        </w:rPr>
        <w:t>
      Если сделан запрос на дополнительные меры минимизации риска, обоснование для запроса документируются, а также указываются конкретные проблемы по безопасности и представляется детальное планирование этапов выполнения и оценки.</w:t>
      </w:r>
    </w:p>
    <w:bookmarkEnd w:id="8258"/>
    <w:bookmarkStart w:name="z8431" w:id="8259"/>
    <w:p>
      <w:pPr>
        <w:spacing w:after="0"/>
        <w:ind w:left="0"/>
        <w:jc w:val="both"/>
      </w:pPr>
      <w:r>
        <w:rPr>
          <w:rFonts w:ascii="Times New Roman"/>
          <w:b w:val="false"/>
          <w:i w:val="false"/>
          <w:color w:val="000000"/>
          <w:sz w:val="28"/>
        </w:rPr>
        <w:t>
      Дополнительные меры минимизации рисков включают следующие:</w:t>
      </w:r>
    </w:p>
    <w:bookmarkEnd w:id="8259"/>
    <w:bookmarkStart w:name="z8432" w:id="8260"/>
    <w:p>
      <w:pPr>
        <w:spacing w:after="0"/>
        <w:ind w:left="0"/>
        <w:jc w:val="both"/>
      </w:pPr>
      <w:r>
        <w:rPr>
          <w:rFonts w:ascii="Times New Roman"/>
          <w:b w:val="false"/>
          <w:i w:val="false"/>
          <w:color w:val="000000"/>
          <w:sz w:val="28"/>
        </w:rPr>
        <w:t>
      1) образовательная программа;</w:t>
      </w:r>
    </w:p>
    <w:bookmarkEnd w:id="8260"/>
    <w:bookmarkStart w:name="z8433" w:id="8261"/>
    <w:p>
      <w:pPr>
        <w:spacing w:after="0"/>
        <w:ind w:left="0"/>
        <w:jc w:val="both"/>
      </w:pPr>
      <w:r>
        <w:rPr>
          <w:rFonts w:ascii="Times New Roman"/>
          <w:b w:val="false"/>
          <w:i w:val="false"/>
          <w:color w:val="000000"/>
          <w:sz w:val="28"/>
        </w:rPr>
        <w:t>
      2) программа контролируемого доступа;</w:t>
      </w:r>
    </w:p>
    <w:bookmarkEnd w:id="8261"/>
    <w:bookmarkStart w:name="z8434" w:id="8262"/>
    <w:p>
      <w:pPr>
        <w:spacing w:after="0"/>
        <w:ind w:left="0"/>
        <w:jc w:val="both"/>
      </w:pPr>
      <w:r>
        <w:rPr>
          <w:rFonts w:ascii="Times New Roman"/>
          <w:b w:val="false"/>
          <w:i w:val="false"/>
          <w:color w:val="000000"/>
          <w:sz w:val="28"/>
        </w:rPr>
        <w:t>
      3) другие меры по минимизации риска.</w:t>
      </w:r>
    </w:p>
    <w:bookmarkEnd w:id="8262"/>
    <w:bookmarkStart w:name="z8435" w:id="8263"/>
    <w:p>
      <w:pPr>
        <w:spacing w:after="0"/>
        <w:ind w:left="0"/>
        <w:jc w:val="left"/>
      </w:pPr>
      <w:r>
        <w:rPr>
          <w:rFonts w:ascii="Times New Roman"/>
          <w:b/>
          <w:i w:val="false"/>
          <w:color w:val="000000"/>
        </w:rPr>
        <w:t xml:space="preserve"> Параграф 4. Образовательная программа</w:t>
      </w:r>
    </w:p>
    <w:bookmarkEnd w:id="8263"/>
    <w:bookmarkStart w:name="z8436" w:id="8264"/>
    <w:p>
      <w:pPr>
        <w:spacing w:after="0"/>
        <w:ind w:left="0"/>
        <w:jc w:val="both"/>
      </w:pPr>
      <w:r>
        <w:rPr>
          <w:rFonts w:ascii="Times New Roman"/>
          <w:b w:val="false"/>
          <w:i w:val="false"/>
          <w:color w:val="000000"/>
          <w:sz w:val="28"/>
        </w:rPr>
        <w:t>
      419. Многие дополнительные инструменты (методы) минимизации риска, которые использованы в образовательной программе, основаны на целевом информировании с представлением информации, содержащейся в инструкции по медицинскому применению и листке-вкладыше. Любой образовательный материал ориентируется на достижение определенных целей минимизации риска и включают четкую и конкретную информацию.</w:t>
      </w:r>
    </w:p>
    <w:bookmarkEnd w:id="8264"/>
    <w:bookmarkStart w:name="z8437" w:id="8265"/>
    <w:p>
      <w:pPr>
        <w:spacing w:after="0"/>
        <w:ind w:left="0"/>
        <w:jc w:val="both"/>
      </w:pPr>
      <w:r>
        <w:rPr>
          <w:rFonts w:ascii="Times New Roman"/>
          <w:b w:val="false"/>
          <w:i w:val="false"/>
          <w:color w:val="000000"/>
          <w:sz w:val="28"/>
        </w:rPr>
        <w:t>
      Целью образовательной программы является оптимизация применения лекарственного препарата посредством позитивного влияния на действия специалистов системы здравоохранения и пациентов в направлении минимизации риска. Образовательные материалы разрабатываются исходя из предположения, что существует практически выполнимая и действенная рекомендация для целевого образования, и что применение данной меры считается важной и значимой для минимизации важного риска и (или) оптимизации соотношения польза-риск. Используемые в контексте образовательной программы образовательные инструменты имеют несколько различных целевых аудиторий, направлены на более чем одну проблему по безопасности и передаются с использованием комбинации инструментов и средств массовой информации (на бумажном носителе, аудио, видео, Интернет, персональное обучения).</w:t>
      </w:r>
    </w:p>
    <w:bookmarkEnd w:id="8265"/>
    <w:bookmarkStart w:name="z8438" w:id="8266"/>
    <w:p>
      <w:pPr>
        <w:spacing w:after="0"/>
        <w:ind w:left="0"/>
        <w:jc w:val="both"/>
      </w:pPr>
      <w:r>
        <w:rPr>
          <w:rFonts w:ascii="Times New Roman"/>
          <w:b w:val="false"/>
          <w:i w:val="false"/>
          <w:color w:val="000000"/>
          <w:sz w:val="28"/>
        </w:rPr>
        <w:t>
      Рекомендуется представление материалов в диапазоне форматов в целях обеспечения доступа, в том числе, в случае выхода из строя средства информирования или невозможности выхода в Интернет.</w:t>
      </w:r>
    </w:p>
    <w:bookmarkEnd w:id="8266"/>
    <w:bookmarkStart w:name="z8439" w:id="8267"/>
    <w:p>
      <w:pPr>
        <w:spacing w:after="0"/>
        <w:ind w:left="0"/>
        <w:jc w:val="both"/>
      </w:pPr>
      <w:r>
        <w:rPr>
          <w:rFonts w:ascii="Times New Roman"/>
          <w:b w:val="false"/>
          <w:i w:val="false"/>
          <w:color w:val="000000"/>
          <w:sz w:val="28"/>
        </w:rPr>
        <w:t>
      Обеспечивается соответствие содержания любых образовательных материалов с действующей одобренной информацией на лекарственный препарат, такой как инструкция по медицинскому применению и листок-вкладыш. Элементы рекламы, прямые или завуалированные, не включаться в содержание. Акцент образовательных материалов делается на риски, имеющие отношение к лекарственному препарату и управление такими рисками, требующими дополнительных мер минимизации риска.</w:t>
      </w:r>
    </w:p>
    <w:bookmarkEnd w:id="8267"/>
    <w:bookmarkStart w:name="z8440" w:id="8268"/>
    <w:p>
      <w:pPr>
        <w:spacing w:after="0"/>
        <w:ind w:left="0"/>
        <w:jc w:val="both"/>
      </w:pPr>
      <w:r>
        <w:rPr>
          <w:rFonts w:ascii="Times New Roman"/>
          <w:b w:val="false"/>
          <w:i w:val="false"/>
          <w:color w:val="000000"/>
          <w:sz w:val="28"/>
        </w:rPr>
        <w:t>
      Любая образовательная программа полностью отделена от рекламных действий, а контактная информация врачей и пациентов, полученная посредством образовательных программ, не используется в рекламных целях.</w:t>
      </w:r>
    </w:p>
    <w:bookmarkEnd w:id="8268"/>
    <w:bookmarkStart w:name="z8441" w:id="8269"/>
    <w:p>
      <w:pPr>
        <w:spacing w:after="0"/>
        <w:ind w:left="0"/>
        <w:jc w:val="both"/>
      </w:pPr>
      <w:r>
        <w:rPr>
          <w:rFonts w:ascii="Times New Roman"/>
          <w:b w:val="false"/>
          <w:i w:val="false"/>
          <w:color w:val="000000"/>
          <w:sz w:val="28"/>
        </w:rPr>
        <w:t>
      Образовательные инструменты, описанные ниже, рассматриваются в индивидуальном порядке или в комбинации при разработке образовательной программы в целях дополнительной минимизации риска.</w:t>
      </w:r>
    </w:p>
    <w:bookmarkEnd w:id="8269"/>
    <w:bookmarkStart w:name="z8442" w:id="8270"/>
    <w:p>
      <w:pPr>
        <w:spacing w:after="0"/>
        <w:ind w:left="0"/>
        <w:jc w:val="left"/>
      </w:pPr>
      <w:r>
        <w:rPr>
          <w:rFonts w:ascii="Times New Roman"/>
          <w:b/>
          <w:i w:val="false"/>
          <w:color w:val="000000"/>
        </w:rPr>
        <w:t xml:space="preserve"> Параграф 5. Образовательные инструменты</w:t>
      </w:r>
    </w:p>
    <w:bookmarkEnd w:id="8270"/>
    <w:bookmarkStart w:name="z8443" w:id="8271"/>
    <w:p>
      <w:pPr>
        <w:spacing w:after="0"/>
        <w:ind w:left="0"/>
        <w:jc w:val="both"/>
      </w:pPr>
      <w:r>
        <w:rPr>
          <w:rFonts w:ascii="Times New Roman"/>
          <w:b w:val="false"/>
          <w:i w:val="false"/>
          <w:color w:val="000000"/>
          <w:sz w:val="28"/>
        </w:rPr>
        <w:t>
      420. Образовательные инструменты имеют четко определенную направленность и включать однозначное определение риска по рассматриваемой проблеме, характеристику данного риска и конкретных действий, которые предприняты работниками системы здравоохранения и (или) пациентами в целях минимизации таких рисков. Данная информация акцентируется на четко определенных действиях, имеющих отношение к специфическим проблемам по безопасности в плане минимизации риска, и не включает информацию, которая не имеет непосредственного отношения к проблеме по безопасности и которая надлежащим образом представлена в инструкции по медицинскому применению или листке-вкладыше. Элементы информации для включения в образовательные инструменты (методы) предусматривают:</w:t>
      </w:r>
    </w:p>
    <w:bookmarkEnd w:id="8271"/>
    <w:bookmarkStart w:name="z8444" w:id="8272"/>
    <w:p>
      <w:pPr>
        <w:spacing w:after="0"/>
        <w:ind w:left="0"/>
        <w:jc w:val="both"/>
      </w:pPr>
      <w:r>
        <w:rPr>
          <w:rFonts w:ascii="Times New Roman"/>
          <w:b w:val="false"/>
          <w:i w:val="false"/>
          <w:color w:val="000000"/>
          <w:sz w:val="28"/>
        </w:rPr>
        <w:t>
      руководство по назначению лекарственного препарата, включая выбор пациента, контроль и мониторинг, направленные на минимизацию важных выборочных рисков;</w:t>
      </w:r>
    </w:p>
    <w:bookmarkEnd w:id="8272"/>
    <w:bookmarkStart w:name="z8445" w:id="8273"/>
    <w:p>
      <w:pPr>
        <w:spacing w:after="0"/>
        <w:ind w:left="0"/>
        <w:jc w:val="both"/>
      </w:pPr>
      <w:r>
        <w:rPr>
          <w:rFonts w:ascii="Times New Roman"/>
          <w:b w:val="false"/>
          <w:i w:val="false"/>
          <w:color w:val="000000"/>
          <w:sz w:val="28"/>
        </w:rPr>
        <w:t>
      руководство по управлению такими рисками (для работников системы здравоохранения, пациентов или лиц, осуществляющих уход);</w:t>
      </w:r>
    </w:p>
    <w:bookmarkEnd w:id="8273"/>
    <w:bookmarkStart w:name="z8446" w:id="8274"/>
    <w:p>
      <w:pPr>
        <w:spacing w:after="0"/>
        <w:ind w:left="0"/>
        <w:jc w:val="both"/>
      </w:pPr>
      <w:r>
        <w:rPr>
          <w:rFonts w:ascii="Times New Roman"/>
          <w:b w:val="false"/>
          <w:i w:val="false"/>
          <w:color w:val="000000"/>
          <w:sz w:val="28"/>
        </w:rPr>
        <w:t>
      руководство по представлению информации о выявленных нежелательных реакциях, представляющих особый интерес для характеристики определенного риска.</w:t>
      </w:r>
    </w:p>
    <w:bookmarkEnd w:id="8274"/>
    <w:bookmarkStart w:name="z8447" w:id="8275"/>
    <w:p>
      <w:pPr>
        <w:spacing w:after="0"/>
        <w:ind w:left="0"/>
        <w:jc w:val="both"/>
      </w:pPr>
      <w:r>
        <w:rPr>
          <w:rFonts w:ascii="Times New Roman"/>
          <w:b w:val="false"/>
          <w:i w:val="false"/>
          <w:color w:val="000000"/>
          <w:sz w:val="28"/>
        </w:rPr>
        <w:t>
      1. Целью любого образовательного инструмента (метода) для работников системы здравоохранения является предоставление специфических аспектов рекомендаций по применению (что делать) и (или) противопоказаний (что не делать) и(или) предостережений (как управлять нежелательными реакциями), связанными с лекарственным препаратом и специфическими рисками, нуждающимися в дополнительных мерах по минимизации риска, включая:</w:t>
      </w:r>
    </w:p>
    <w:bookmarkEnd w:id="8275"/>
    <w:bookmarkStart w:name="z8448" w:id="8276"/>
    <w:p>
      <w:pPr>
        <w:spacing w:after="0"/>
        <w:ind w:left="0"/>
        <w:jc w:val="both"/>
      </w:pPr>
      <w:r>
        <w:rPr>
          <w:rFonts w:ascii="Times New Roman"/>
          <w:b w:val="false"/>
          <w:i w:val="false"/>
          <w:color w:val="000000"/>
          <w:sz w:val="28"/>
        </w:rPr>
        <w:t>
      1) выбор пациентов;</w:t>
      </w:r>
    </w:p>
    <w:bookmarkEnd w:id="8276"/>
    <w:bookmarkStart w:name="z8449" w:id="8277"/>
    <w:p>
      <w:pPr>
        <w:spacing w:after="0"/>
        <w:ind w:left="0"/>
        <w:jc w:val="both"/>
      </w:pPr>
      <w:r>
        <w:rPr>
          <w:rFonts w:ascii="Times New Roman"/>
          <w:b w:val="false"/>
          <w:i w:val="false"/>
          <w:color w:val="000000"/>
          <w:sz w:val="28"/>
        </w:rPr>
        <w:t>
      2) методику лечения, режим дозирования, контроль и мониторинг;</w:t>
      </w:r>
    </w:p>
    <w:bookmarkEnd w:id="8277"/>
    <w:bookmarkStart w:name="z8450" w:id="8278"/>
    <w:p>
      <w:pPr>
        <w:spacing w:after="0"/>
        <w:ind w:left="0"/>
        <w:jc w:val="both"/>
      </w:pPr>
      <w:r>
        <w:rPr>
          <w:rFonts w:ascii="Times New Roman"/>
          <w:b w:val="false"/>
          <w:i w:val="false"/>
          <w:color w:val="000000"/>
          <w:sz w:val="28"/>
        </w:rPr>
        <w:t>
      3) специальные административные процедуры или отпуск лекарственного препарата;</w:t>
      </w:r>
    </w:p>
    <w:bookmarkEnd w:id="8278"/>
    <w:bookmarkStart w:name="z8451" w:id="8279"/>
    <w:p>
      <w:pPr>
        <w:spacing w:after="0"/>
        <w:ind w:left="0"/>
        <w:jc w:val="both"/>
      </w:pPr>
      <w:r>
        <w:rPr>
          <w:rFonts w:ascii="Times New Roman"/>
          <w:b w:val="false"/>
          <w:i w:val="false"/>
          <w:color w:val="000000"/>
          <w:sz w:val="28"/>
        </w:rPr>
        <w:t>
      4) детальная информация, которую необходимо предоставить пациентам.</w:t>
      </w:r>
    </w:p>
    <w:bookmarkEnd w:id="8279"/>
    <w:bookmarkStart w:name="z8452" w:id="8280"/>
    <w:p>
      <w:pPr>
        <w:spacing w:after="0"/>
        <w:ind w:left="0"/>
        <w:jc w:val="both"/>
      </w:pPr>
      <w:r>
        <w:rPr>
          <w:rFonts w:ascii="Times New Roman"/>
          <w:b w:val="false"/>
          <w:i w:val="false"/>
          <w:color w:val="000000"/>
          <w:sz w:val="28"/>
        </w:rPr>
        <w:t>
      Выбор формата образовательного инструмента (метода) зависит от предоставляемой информации. В частности, если необходимо совершить определенное количество действий перед выпиской рецепта индивидуальному пациенту, то подходящим форматом является контрольный лист. Формат брошюры являться более подходящим для осознания специалистами конкретных рисков с акцентом на раннем выявлении и управлении нежелательными реакциями, в то время как плакаты включают полезные терапевтические руководства или схемы приема лекарственного препарата. Отдается предпочтение другим форматам, в зависимости от направленности, объема информации, целевой аудитории и иных факторов.</w:t>
      </w:r>
    </w:p>
    <w:bookmarkEnd w:id="8280"/>
    <w:bookmarkStart w:name="z8453" w:id="8281"/>
    <w:p>
      <w:pPr>
        <w:spacing w:after="0"/>
        <w:ind w:left="0"/>
        <w:jc w:val="both"/>
      </w:pPr>
      <w:r>
        <w:rPr>
          <w:rFonts w:ascii="Times New Roman"/>
          <w:b w:val="false"/>
          <w:i w:val="false"/>
          <w:color w:val="000000"/>
          <w:sz w:val="28"/>
        </w:rPr>
        <w:t>
      2. Образовательные инструменты (методы) для пациента нацелены на улучшение понимания пациентами или лицами, осуществляющими уход, признаков и симптомов, существенных для раннего выявления специфических нежелательных реакций, требующих принятия дополнительных мер по минимизации риска, а также оптимизации дальнейшего ведения пациента. Если это является уместным, образовательный инструмент (метод) используется для предоставления информации и напоминания пациенту о важных действиях, в частности, по ведению записей по дозированию лекарственных препаратов или диагностическим процедурам, которые зарегистрированы или выполнены пациентом с последующим обсуждением с работниками системы здравоохранения в целях обеспечения соблюдения любых этапов, необходимых для эффективного применения лекарственного препарата.</w:t>
      </w:r>
    </w:p>
    <w:bookmarkEnd w:id="8281"/>
    <w:bookmarkStart w:name="z8454" w:id="8282"/>
    <w:p>
      <w:pPr>
        <w:spacing w:after="0"/>
        <w:ind w:left="0"/>
        <w:jc w:val="both"/>
      </w:pPr>
      <w:r>
        <w:rPr>
          <w:rFonts w:ascii="Times New Roman"/>
          <w:b w:val="false"/>
          <w:i w:val="false"/>
          <w:color w:val="000000"/>
          <w:sz w:val="28"/>
        </w:rPr>
        <w:t>
      3. Целью памятки для пациента является гарантия того, что специальная информация в отношении текущего лечения пациента и связанных с лечением рисков (потенциальные взаимодействия с другими лекарственными препаратами) всегда имеется в распоряжении пациента и доступна соответствующему работнику сферы здравоохранения. Информация содержит необходимый минимум для передачи ключевых инструкций по минимизации риска и необходимых действий, облегчающих состояние при любых обстоятельствах, в том числе экстренные. Одной из ключевых характеристик данного инструмента является портативность.</w:t>
      </w:r>
    </w:p>
    <w:bookmarkEnd w:id="8282"/>
    <w:bookmarkStart w:name="z8455" w:id="8283"/>
    <w:p>
      <w:pPr>
        <w:spacing w:after="0"/>
        <w:ind w:left="0"/>
        <w:jc w:val="left"/>
      </w:pPr>
      <w:r>
        <w:rPr>
          <w:rFonts w:ascii="Times New Roman"/>
          <w:b/>
          <w:i w:val="false"/>
          <w:color w:val="000000"/>
        </w:rPr>
        <w:t xml:space="preserve"> Параграф 6. Программа контролируемого доступа</w:t>
      </w:r>
    </w:p>
    <w:bookmarkEnd w:id="8283"/>
    <w:bookmarkStart w:name="z8456" w:id="8284"/>
    <w:p>
      <w:pPr>
        <w:spacing w:after="0"/>
        <w:ind w:left="0"/>
        <w:jc w:val="both"/>
      </w:pPr>
      <w:r>
        <w:rPr>
          <w:rFonts w:ascii="Times New Roman"/>
          <w:b w:val="false"/>
          <w:i w:val="false"/>
          <w:color w:val="000000"/>
          <w:sz w:val="28"/>
        </w:rPr>
        <w:t>
      421. Программа контролируемого доступа состоит из оперативных мер, нацеленных на контроль доступа к лекарственному препарату за пределами уровня контроля, гарантированного стандартными мерами по минимизации риска, т.е. регуляторным статусом лекарственного препарата. Контролируемый доступ рассматривают в качестве метода минимизации серьезного риска для лекарственного препарата с доказанной пользой, но которую нельзя достигнуть без дополнительных мер по минимизации риска вследствие риска воздействия на здоровье пациентов.</w:t>
      </w:r>
    </w:p>
    <w:bookmarkEnd w:id="8284"/>
    <w:bookmarkStart w:name="z8457" w:id="8285"/>
    <w:p>
      <w:pPr>
        <w:spacing w:after="0"/>
        <w:ind w:left="0"/>
        <w:jc w:val="both"/>
      </w:pPr>
      <w:r>
        <w:rPr>
          <w:rFonts w:ascii="Times New Roman"/>
          <w:b w:val="false"/>
          <w:i w:val="false"/>
          <w:color w:val="000000"/>
          <w:sz w:val="28"/>
        </w:rPr>
        <w:t>
      Примеры требований, которые выполняются до назначения лекарственного препарата и (или) отпуска и (или) использования в программе контролируемого доступа, перечислены ниже (они включаются индивидуально или в комбинации с другими требованиями):</w:t>
      </w:r>
    </w:p>
    <w:bookmarkEnd w:id="8285"/>
    <w:bookmarkStart w:name="z8458" w:id="8286"/>
    <w:p>
      <w:pPr>
        <w:spacing w:after="0"/>
        <w:ind w:left="0"/>
        <w:jc w:val="both"/>
      </w:pPr>
      <w:r>
        <w:rPr>
          <w:rFonts w:ascii="Times New Roman"/>
          <w:b w:val="false"/>
          <w:i w:val="false"/>
          <w:color w:val="000000"/>
          <w:sz w:val="28"/>
        </w:rPr>
        <w:t>
      1) специфические методы контроля и (или) обследования пациента для обеспечения соответствия строго определенным клиническим критериям;</w:t>
      </w:r>
    </w:p>
    <w:bookmarkEnd w:id="8286"/>
    <w:bookmarkStart w:name="z8459" w:id="8287"/>
    <w:p>
      <w:pPr>
        <w:spacing w:after="0"/>
        <w:ind w:left="0"/>
        <w:jc w:val="both"/>
      </w:pPr>
      <w:r>
        <w:rPr>
          <w:rFonts w:ascii="Times New Roman"/>
          <w:b w:val="false"/>
          <w:i w:val="false"/>
          <w:color w:val="000000"/>
          <w:sz w:val="28"/>
        </w:rPr>
        <w:t>
      2) врач, выписывающий лекарственный препарат, фармацевтический работник, отпускающий лекарственный препарат, и (или) пациент, документально подтверждают со своей стороны получение и осознание информации в отношении серьезного риска, сопряженного с применением лекарственного препарата;</w:t>
      </w:r>
    </w:p>
    <w:bookmarkEnd w:id="8287"/>
    <w:bookmarkStart w:name="z8460" w:id="8288"/>
    <w:p>
      <w:pPr>
        <w:spacing w:after="0"/>
        <w:ind w:left="0"/>
        <w:jc w:val="both"/>
      </w:pPr>
      <w:r>
        <w:rPr>
          <w:rFonts w:ascii="Times New Roman"/>
          <w:b w:val="false"/>
          <w:i w:val="false"/>
          <w:color w:val="000000"/>
          <w:sz w:val="28"/>
        </w:rPr>
        <w:t>
      3) точные процедуры по систематическому последующему наблюдению за пациентом посредством регистрации в специальной системе сбора данных (в регистре пациентов);</w:t>
      </w:r>
    </w:p>
    <w:bookmarkEnd w:id="8288"/>
    <w:bookmarkStart w:name="z8461" w:id="8289"/>
    <w:p>
      <w:pPr>
        <w:spacing w:after="0"/>
        <w:ind w:left="0"/>
        <w:jc w:val="both"/>
      </w:pPr>
      <w:r>
        <w:rPr>
          <w:rFonts w:ascii="Times New Roman"/>
          <w:b w:val="false"/>
          <w:i w:val="false"/>
          <w:color w:val="000000"/>
          <w:sz w:val="28"/>
        </w:rPr>
        <w:t>
      4) лекарственные препараты получают только в аптеках, имеющих лицензию на отпуск такого лекарственного препарата.</w:t>
      </w:r>
    </w:p>
    <w:bookmarkEnd w:id="8289"/>
    <w:bookmarkStart w:name="z8462" w:id="8290"/>
    <w:p>
      <w:pPr>
        <w:spacing w:after="0"/>
        <w:ind w:left="0"/>
        <w:jc w:val="both"/>
      </w:pPr>
      <w:r>
        <w:rPr>
          <w:rFonts w:ascii="Times New Roman"/>
          <w:b w:val="false"/>
          <w:i w:val="false"/>
          <w:color w:val="000000"/>
          <w:sz w:val="28"/>
        </w:rPr>
        <w:t>
      В определенных случаях в качестве инструмента контролируемого доступа используются требования о проведении специального обследования или контроля состояния пациента. В частности, контроль состояния пациента, лабораторные показатели или иные характеристики (в частности, ЭКО) до лечения и (или) в процессе лечения, анализы функции печени, регулярные анализы крови, тест на беременность (который является компонентом программы предотвращения беременности). Меры вводятся в действие в целях обеспечения контроля в соответствии с инструкцией по медицинскому применению, когда это является критическим фактором с точки зрения соотношения польза-риск лекарственного препарата.</w:t>
      </w:r>
    </w:p>
    <w:bookmarkEnd w:id="8290"/>
    <w:bookmarkStart w:name="z8463" w:id="8291"/>
    <w:p>
      <w:pPr>
        <w:spacing w:after="0"/>
        <w:ind w:left="0"/>
        <w:jc w:val="left"/>
      </w:pPr>
      <w:r>
        <w:rPr>
          <w:rFonts w:ascii="Times New Roman"/>
          <w:b/>
          <w:i w:val="false"/>
          <w:color w:val="000000"/>
        </w:rPr>
        <w:t xml:space="preserve"> Параграф 7. Другие меры минимизации риска</w:t>
      </w:r>
    </w:p>
    <w:bookmarkEnd w:id="8291"/>
    <w:bookmarkStart w:name="z8464" w:id="8292"/>
    <w:p>
      <w:pPr>
        <w:spacing w:after="0"/>
        <w:ind w:left="0"/>
        <w:jc w:val="both"/>
      </w:pPr>
      <w:r>
        <w:rPr>
          <w:rFonts w:ascii="Times New Roman"/>
          <w:b w:val="false"/>
          <w:i w:val="false"/>
          <w:color w:val="000000"/>
          <w:sz w:val="28"/>
        </w:rPr>
        <w:t>
      422. Программа предотвращения беременности представляет собой совокупность мер, направленных на минимизацию риска воздействия лекарственного препарата с известным или потенциальным тератогенным действием на плод в период беременности. Данная программа обеспечивает внедрение такого механизма контроля, чтобы пациенты женского пола не были беременными в начале терапии или не забеременели на протяжении курса лечения и (или) определенного промежутка времени после прекращения терапии. Программа предотвращения беременности также ориентирована на пациентов мужского пола в случае, если применение лекарственного препарата биологическим отцом имеет негативные последствия для исхода беременности.</w:t>
      </w:r>
    </w:p>
    <w:bookmarkEnd w:id="8292"/>
    <w:bookmarkStart w:name="z8465" w:id="8293"/>
    <w:p>
      <w:pPr>
        <w:spacing w:after="0"/>
        <w:ind w:left="0"/>
        <w:jc w:val="both"/>
      </w:pPr>
      <w:r>
        <w:rPr>
          <w:rFonts w:ascii="Times New Roman"/>
          <w:b w:val="false"/>
          <w:i w:val="false"/>
          <w:color w:val="000000"/>
          <w:sz w:val="28"/>
        </w:rPr>
        <w:t>
      Программа предотвращения беременности сочетает применение образовательных инструментов и соответствующих инструментов контроля доступа к лекарственному препарату, поэтому следующие элементы рассматривают как индивидуально, так и в совокупности при планировании программы предотвращения беременности:</w:t>
      </w:r>
    </w:p>
    <w:bookmarkEnd w:id="8293"/>
    <w:bookmarkStart w:name="z8466" w:id="8294"/>
    <w:p>
      <w:pPr>
        <w:spacing w:after="0"/>
        <w:ind w:left="0"/>
        <w:jc w:val="both"/>
      </w:pPr>
      <w:r>
        <w:rPr>
          <w:rFonts w:ascii="Times New Roman"/>
          <w:b w:val="false"/>
          <w:i w:val="false"/>
          <w:color w:val="000000"/>
          <w:sz w:val="28"/>
        </w:rPr>
        <w:t>
      1) образовательные инструменты, направленные на работников системы здравоохранения и пациентов, в целях информирования в отношении тератогенного риска и необходимых действий для минимизации данного риска (руководство по использованию более чем одного метода контрацепции и руководство по различным видам контрацептивных средств); информация для пациента в отношении длительности периода, в течение которого избегают беременности после прекращения лечения;</w:t>
      </w:r>
    </w:p>
    <w:bookmarkEnd w:id="8294"/>
    <w:bookmarkStart w:name="z8467" w:id="8295"/>
    <w:p>
      <w:pPr>
        <w:spacing w:after="0"/>
        <w:ind w:left="0"/>
        <w:jc w:val="both"/>
      </w:pPr>
      <w:r>
        <w:rPr>
          <w:rFonts w:ascii="Times New Roman"/>
          <w:b w:val="false"/>
          <w:i w:val="false"/>
          <w:color w:val="000000"/>
          <w:sz w:val="28"/>
        </w:rPr>
        <w:t>
      2) контролируемый доступ на уровне назначения или отпуска лекарственного препарата с обеспечением выполнения теста на беременность и контролем отрицательных результатов медицинским и фармацевтическим работником перед назначением или отпуском лекарственного препарата;</w:t>
      </w:r>
    </w:p>
    <w:bookmarkEnd w:id="8295"/>
    <w:bookmarkStart w:name="z8468" w:id="8296"/>
    <w:p>
      <w:pPr>
        <w:spacing w:after="0"/>
        <w:ind w:left="0"/>
        <w:jc w:val="both"/>
      </w:pPr>
      <w:r>
        <w:rPr>
          <w:rFonts w:ascii="Times New Roman"/>
          <w:b w:val="false"/>
          <w:i w:val="false"/>
          <w:color w:val="000000"/>
          <w:sz w:val="28"/>
        </w:rPr>
        <w:t>
      3) ограничение максимального срока действия рецепта 30 дней;</w:t>
      </w:r>
    </w:p>
    <w:bookmarkEnd w:id="8296"/>
    <w:bookmarkStart w:name="z8469" w:id="8297"/>
    <w:p>
      <w:pPr>
        <w:spacing w:after="0"/>
        <w:ind w:left="0"/>
        <w:jc w:val="both"/>
      </w:pPr>
      <w:r>
        <w:rPr>
          <w:rFonts w:ascii="Times New Roman"/>
          <w:b w:val="false"/>
          <w:i w:val="false"/>
          <w:color w:val="000000"/>
          <w:sz w:val="28"/>
        </w:rPr>
        <w:t>
      4) консультирование в случае непреднамеренной беременности и оценка исхода любой случайной беременности.</w:t>
      </w:r>
    </w:p>
    <w:bookmarkEnd w:id="8297"/>
    <w:bookmarkStart w:name="z8470" w:id="8298"/>
    <w:p>
      <w:pPr>
        <w:spacing w:after="0"/>
        <w:ind w:left="0"/>
        <w:jc w:val="both"/>
      </w:pPr>
      <w:r>
        <w:rPr>
          <w:rFonts w:ascii="Times New Roman"/>
          <w:b w:val="false"/>
          <w:i w:val="false"/>
          <w:color w:val="000000"/>
          <w:sz w:val="28"/>
        </w:rPr>
        <w:t>
      Рассматривают целесообразность внедрения и дизайн регистра беременных для регистрации данных по всем пациенткам, которые забеременели в процессе лечения или в соответствующий период времени с момента окончания лечения, в частности, 3 месяца.</w:t>
      </w:r>
    </w:p>
    <w:bookmarkEnd w:id="8298"/>
    <w:bookmarkStart w:name="z8471" w:id="8299"/>
    <w:p>
      <w:pPr>
        <w:spacing w:after="0"/>
        <w:ind w:left="0"/>
        <w:jc w:val="both"/>
      </w:pPr>
      <w:r>
        <w:rPr>
          <w:rFonts w:ascii="Times New Roman"/>
          <w:b w:val="false"/>
          <w:i w:val="false"/>
          <w:color w:val="000000"/>
          <w:sz w:val="28"/>
        </w:rPr>
        <w:t>
      423. Непосредственное обращение к работникам системы здравоохранения является активной формой информирования, посредством которой важная информация по безопасности предоставляется непосредственно определенным специалистам системы здравоохранения держателем регистрационного удостоверения или уполномоченным органом в целях информирования о необходимости предпринять серьезные действия или адаптировать принятую медицинскую практику с целью минимизации определенных рисков и (или) снижения тяжести нежелательных реакций лекарственного препарата (см. глава 43).</w:t>
      </w:r>
    </w:p>
    <w:bookmarkEnd w:id="8299"/>
    <w:bookmarkStart w:name="z8472" w:id="8300"/>
    <w:p>
      <w:pPr>
        <w:spacing w:after="0"/>
        <w:ind w:left="0"/>
        <w:jc w:val="left"/>
      </w:pPr>
      <w:r>
        <w:rPr>
          <w:rFonts w:ascii="Times New Roman"/>
          <w:b/>
          <w:i w:val="false"/>
          <w:color w:val="000000"/>
        </w:rPr>
        <w:t xml:space="preserve"> Параграф 8. Выполнение мер минимизации рисков</w:t>
      </w:r>
    </w:p>
    <w:bookmarkEnd w:id="8300"/>
    <w:bookmarkStart w:name="z8473" w:id="8301"/>
    <w:p>
      <w:pPr>
        <w:spacing w:after="0"/>
        <w:ind w:left="0"/>
        <w:jc w:val="both"/>
      </w:pPr>
      <w:r>
        <w:rPr>
          <w:rFonts w:ascii="Times New Roman"/>
          <w:b w:val="false"/>
          <w:i w:val="false"/>
          <w:color w:val="000000"/>
          <w:sz w:val="28"/>
        </w:rPr>
        <w:t>
      424. Дополнительные меры минимизации риска включают одну или более активных мер, которая внедрена и выполняется в определенной целевой аудитории. Надлежащее внимание уделяется как временным рамкам реализации меры минимизации риска, так и процедурам, направленным на достижение целей в целевой группе. В частности, однократное выполнение образовательных инструментов (методов) "перед запуском" программы по реализации мер является недостаточным для обеспечения того, чтобы охватить информацией всех потенциальных медицинских работников, выписывающих лекарственный препарат, и (или) потребителей, в том числе новых медицинских работников и потребителей. Вероятно, возникновение в дополнительном периодическом перераспределении инструментов (методов) после запуска программы по реализации мер. Надлежащее внимание уделяется общему формату образовательных инструментов (методов) для обеспечения четкого различия от любого рода рекламных материалов. Представление образовательных материалов для согласования в уполномоченный орган осуществляется отдельно от передачи рекламного материала, при этом в сопроводительном письме обозначается, являются ли материалы рекламными или образовательными. Образовательные материалы распространяется отдельно от рекламных материалов, они содержат указание, что материал не является рекламным. Механизмы обеспечения качества гарантируют, что имеющиеся системы распространения соответствуют поставленной цели меры минимизации риска и являются контролируемыми.</w:t>
      </w:r>
    </w:p>
    <w:bookmarkEnd w:id="8301"/>
    <w:bookmarkStart w:name="z8474" w:id="8302"/>
    <w:p>
      <w:pPr>
        <w:spacing w:after="0"/>
        <w:ind w:left="0"/>
        <w:jc w:val="left"/>
      </w:pPr>
      <w:r>
        <w:rPr>
          <w:rFonts w:ascii="Times New Roman"/>
          <w:b/>
          <w:i w:val="false"/>
          <w:color w:val="000000"/>
        </w:rPr>
        <w:t xml:space="preserve"> Параграф 9. Эффективность мер минимизации риска</w:t>
      </w:r>
    </w:p>
    <w:bookmarkEnd w:id="8302"/>
    <w:bookmarkStart w:name="z8475" w:id="8303"/>
    <w:p>
      <w:pPr>
        <w:spacing w:after="0"/>
        <w:ind w:left="0"/>
        <w:jc w:val="both"/>
      </w:pPr>
      <w:r>
        <w:rPr>
          <w:rFonts w:ascii="Times New Roman"/>
          <w:b w:val="false"/>
          <w:i w:val="false"/>
          <w:color w:val="000000"/>
          <w:sz w:val="28"/>
        </w:rPr>
        <w:t xml:space="preserve">
      425. Оценка эффективности мер минимизации риска является необходимой для установления эффективности активных мер минимизации риска, причин неэффективности, а также необходимости корректирующих действий. Оценка эффективности выполняется по каждой мере минимизации риска и для программы в целом. </w:t>
      </w:r>
    </w:p>
    <w:bookmarkEnd w:id="8303"/>
    <w:bookmarkStart w:name="z8476" w:id="8304"/>
    <w:p>
      <w:pPr>
        <w:spacing w:after="0"/>
        <w:ind w:left="0"/>
        <w:jc w:val="both"/>
      </w:pPr>
      <w:r>
        <w:rPr>
          <w:rFonts w:ascii="Times New Roman"/>
          <w:b w:val="false"/>
          <w:i w:val="false"/>
          <w:color w:val="000000"/>
          <w:sz w:val="28"/>
        </w:rPr>
        <w:t>
      Оценка эффективности мер рассматривает различные аспекты выполняемой меры минимизации риска: сам процесс (т.е. степень выполнения запланированной программы), ее воздействие на осведомленность и изменения в поведении целевой группы, а также результат (т.е. в какой степени достигнуты предварительно определенные цели минимизации риска, за короткий или длительный срок). Время оценки каждого аспекта активной меры тщательно планируется в рамках ПУР до инициирования мер.</w:t>
      </w:r>
    </w:p>
    <w:bookmarkEnd w:id="8304"/>
    <w:bookmarkStart w:name="z8477" w:id="8305"/>
    <w:p>
      <w:pPr>
        <w:spacing w:after="0"/>
        <w:ind w:left="0"/>
        <w:jc w:val="both"/>
      </w:pPr>
      <w:r>
        <w:rPr>
          <w:rFonts w:ascii="Times New Roman"/>
          <w:b w:val="false"/>
          <w:i w:val="false"/>
          <w:color w:val="000000"/>
          <w:sz w:val="28"/>
        </w:rPr>
        <w:t>
      Для оценки эффективности мер по минимизации риска используют две группы показателей:</w:t>
      </w:r>
    </w:p>
    <w:bookmarkEnd w:id="8305"/>
    <w:bookmarkStart w:name="z8478" w:id="8306"/>
    <w:p>
      <w:pPr>
        <w:spacing w:after="0"/>
        <w:ind w:left="0"/>
        <w:jc w:val="both"/>
      </w:pPr>
      <w:r>
        <w:rPr>
          <w:rFonts w:ascii="Times New Roman"/>
          <w:b w:val="false"/>
          <w:i w:val="false"/>
          <w:color w:val="000000"/>
          <w:sz w:val="28"/>
        </w:rPr>
        <w:t>
      1) показатели процесса;</w:t>
      </w:r>
    </w:p>
    <w:bookmarkEnd w:id="8306"/>
    <w:bookmarkStart w:name="z8479" w:id="8307"/>
    <w:p>
      <w:pPr>
        <w:spacing w:after="0"/>
        <w:ind w:left="0"/>
        <w:jc w:val="both"/>
      </w:pPr>
      <w:r>
        <w:rPr>
          <w:rFonts w:ascii="Times New Roman"/>
          <w:b w:val="false"/>
          <w:i w:val="false"/>
          <w:color w:val="000000"/>
          <w:sz w:val="28"/>
        </w:rPr>
        <w:t>
      2) показатели результата.</w:t>
      </w:r>
    </w:p>
    <w:bookmarkEnd w:id="8307"/>
    <w:bookmarkStart w:name="z8480" w:id="8308"/>
    <w:p>
      <w:pPr>
        <w:spacing w:after="0"/>
        <w:ind w:left="0"/>
        <w:jc w:val="both"/>
      </w:pPr>
      <w:r>
        <w:rPr>
          <w:rFonts w:ascii="Times New Roman"/>
          <w:b w:val="false"/>
          <w:i w:val="false"/>
          <w:color w:val="000000"/>
          <w:sz w:val="28"/>
        </w:rPr>
        <w:t>
      Показатели процесса нужны для сбора доказательств успешности осуществления всех этапов мер минимизации риска. Данная группа показателей процесса обеспечивает оценку степени выполнения запланированной программы и достижение требуемого влияния на поведение (действия) целевой группы. Показатели выполнения программы определяются заранее и отслеживают на протяжении выполнения программы. Полученные данные и опыт используются для оптимизации корректирующих действий в случае их необходимости. Оценка выполнения процесса улучшает понимание процессов и причинных механизмов, в силу которых дополнительные меры минимизации риска позволили или нет добиться желаемого контроля специфических рисков.</w:t>
      </w:r>
    </w:p>
    <w:bookmarkEnd w:id="8308"/>
    <w:bookmarkStart w:name="z8481" w:id="8309"/>
    <w:p>
      <w:pPr>
        <w:spacing w:after="0"/>
        <w:ind w:left="0"/>
        <w:jc w:val="both"/>
      </w:pPr>
      <w:r>
        <w:rPr>
          <w:rFonts w:ascii="Times New Roman"/>
          <w:b w:val="false"/>
          <w:i w:val="false"/>
          <w:color w:val="000000"/>
          <w:sz w:val="28"/>
        </w:rPr>
        <w:t>
      Показатели результата обеспечивают общую оценку степени контроля риска, достигнутого посредством внедренных мер минимизации риска. В частности, когда целью оперативной меры является снижение частоты и (или) тяжести нежелательной реакции, конечный критерий успеха привязан к данной цели.</w:t>
      </w:r>
    </w:p>
    <w:bookmarkEnd w:id="8309"/>
    <w:bookmarkStart w:name="z8482" w:id="8310"/>
    <w:p>
      <w:pPr>
        <w:spacing w:after="0"/>
        <w:ind w:left="0"/>
        <w:jc w:val="both"/>
      </w:pPr>
      <w:r>
        <w:rPr>
          <w:rFonts w:ascii="Times New Roman"/>
          <w:b w:val="false"/>
          <w:i w:val="false"/>
          <w:color w:val="000000"/>
          <w:sz w:val="28"/>
        </w:rPr>
        <w:t>
      По результатам процедуры оценки эффективности мер минимизации риска делается вывод о возможности дальнейшего выполнения оцениваемой меры минимизации риска без изменений, либо о необходимости внесения изменений в выполняемую деятельность.</w:t>
      </w:r>
    </w:p>
    <w:bookmarkEnd w:id="8310"/>
    <w:bookmarkStart w:name="z8483" w:id="8311"/>
    <w:p>
      <w:pPr>
        <w:spacing w:after="0"/>
        <w:ind w:left="0"/>
        <w:jc w:val="both"/>
      </w:pPr>
      <w:r>
        <w:rPr>
          <w:rFonts w:ascii="Times New Roman"/>
          <w:b w:val="false"/>
          <w:i w:val="false"/>
          <w:color w:val="000000"/>
          <w:sz w:val="28"/>
        </w:rPr>
        <w:t>
      Оценка эффективности мер минимизации риска свидетельствует, что деятельность по минимизации риска является недостаточной и подлежит усилению (посредством внесения изменений в предостережения или рекомендации в инструкцию по медицинскому применению или листок-вкладыш, посредством улучшения четкости рекомендаций по минимизации риска и (или) подключением дополнительных инструментов по минимизации риска или улучшением существующих). Иным результатом процедуры оценки является определение несоответствия мер минимизации риска, либо отсутствия в ней требуемой направленности, в связи с чем уменьшается объем работ по программе или ее рассмотрению, ее упрощению (уменьшив число инструментов (методов) по минимизации риска или частоту выполнения элементов мер).</w:t>
      </w:r>
    </w:p>
    <w:bookmarkEnd w:id="8311"/>
    <w:bookmarkStart w:name="z8484" w:id="8312"/>
    <w:p>
      <w:pPr>
        <w:spacing w:after="0"/>
        <w:ind w:left="0"/>
        <w:jc w:val="both"/>
      </w:pPr>
      <w:r>
        <w:rPr>
          <w:rFonts w:ascii="Times New Roman"/>
          <w:b w:val="false"/>
          <w:i w:val="false"/>
          <w:color w:val="000000"/>
          <w:sz w:val="28"/>
        </w:rPr>
        <w:t>
      В дополнение к оценке эффективности мер минимизации риска в управлении проблемами по безопасности также очень важно оценить, о возможности дополнительной меры минимизации риска иметь непреднамеренные (негативные) последствия для рассматриваемой проблемы здоровья населения на приближенном или отдаленном временном интервале.</w:t>
      </w:r>
    </w:p>
    <w:bookmarkEnd w:id="8312"/>
    <w:bookmarkStart w:name="z8485" w:id="8313"/>
    <w:p>
      <w:pPr>
        <w:spacing w:after="0"/>
        <w:ind w:left="0"/>
        <w:jc w:val="both"/>
      </w:pPr>
      <w:r>
        <w:rPr>
          <w:rFonts w:ascii="Times New Roman"/>
          <w:b w:val="false"/>
          <w:i w:val="false"/>
          <w:color w:val="000000"/>
          <w:sz w:val="28"/>
        </w:rPr>
        <w:t>
      426. Показатели процесса являются параметрами оценки объема выполнения изначальной программы, и (или) изменений в ее выполнении. Показатели процесса дополняют, а не замещать оценку достижения намеченных целей посредством реализации мер минимизации риска (т.е. показатели результата). В зависимости от характера активных мер, различные показатели процесса определяются для оценки их эффективности.</w:t>
      </w:r>
    </w:p>
    <w:bookmarkEnd w:id="8313"/>
    <w:bookmarkStart w:name="z8486" w:id="8314"/>
    <w:p>
      <w:pPr>
        <w:spacing w:after="0"/>
        <w:ind w:left="0"/>
        <w:jc w:val="both"/>
      </w:pPr>
      <w:r>
        <w:rPr>
          <w:rFonts w:ascii="Times New Roman"/>
          <w:b w:val="false"/>
          <w:i w:val="false"/>
          <w:color w:val="000000"/>
          <w:sz w:val="28"/>
        </w:rPr>
        <w:t>
      427. Достижение целевой популяции. Когда меры минимизации риска включают предоставление информации и руководств для работников системы здравоохранения и (или) пациентов посредством образовательных методов, используют меры оценки распространения информации для получения базовых данных по выполнению. Данные показатели ориентированы на оценку соответствия используемого инструмента для целевой аудитории (соответствующий язык, рисунки, диаграммы или иная графическая поддержка) или оценку фактического получения материалов целевой группой.</w:t>
      </w:r>
    </w:p>
    <w:bookmarkEnd w:id="8314"/>
    <w:bookmarkStart w:name="z8487" w:id="8315"/>
    <w:p>
      <w:pPr>
        <w:spacing w:after="0"/>
        <w:ind w:left="0"/>
        <w:jc w:val="both"/>
      </w:pPr>
      <w:r>
        <w:rPr>
          <w:rFonts w:ascii="Times New Roman"/>
          <w:b w:val="false"/>
          <w:i w:val="false"/>
          <w:color w:val="000000"/>
          <w:sz w:val="28"/>
        </w:rPr>
        <w:t xml:space="preserve">
      428. Оценка клинических знаний. В целях оценки осведомленности целевой аудитории и уровня знаний, полученных посредством образовательных оперативных мер и (или) предоставления информации (посредством инструкции по медицинскому применению), применяются строгие научные методы аналитических опросов. </w:t>
      </w:r>
    </w:p>
    <w:bookmarkEnd w:id="8315"/>
    <w:bookmarkStart w:name="z8488" w:id="8316"/>
    <w:p>
      <w:pPr>
        <w:spacing w:after="0"/>
        <w:ind w:left="0"/>
        <w:jc w:val="both"/>
      </w:pPr>
      <w:r>
        <w:rPr>
          <w:rFonts w:ascii="Times New Roman"/>
          <w:b w:val="false"/>
          <w:i w:val="false"/>
          <w:color w:val="000000"/>
          <w:sz w:val="28"/>
        </w:rPr>
        <w:t xml:space="preserve">
      Аналитический опрос включает основные стандартные вопросы, задаваемые по телефону, в личном интервью или самостоятельно отправленные по почте (электронной почте), которые время от времени повторяются. Такой подход адаптируется к контролю отношения и осведомленности в репрезентативных группах работников системы здравоохранения и (или) пациентов посредством соответствующих психометрических величин. Для выполнения оценки определяется адекватный объем выборки, включение в которую выполнять с использованием рандомизации. </w:t>
      </w:r>
    </w:p>
    <w:bookmarkEnd w:id="8316"/>
    <w:bookmarkStart w:name="z8489" w:id="8317"/>
    <w:p>
      <w:pPr>
        <w:spacing w:after="0"/>
        <w:ind w:left="0"/>
        <w:jc w:val="both"/>
      </w:pPr>
      <w:r>
        <w:rPr>
          <w:rFonts w:ascii="Times New Roman"/>
          <w:b w:val="false"/>
          <w:i w:val="false"/>
          <w:color w:val="000000"/>
          <w:sz w:val="28"/>
        </w:rPr>
        <w:t>
      Надлежащее внимание уделяют целям аналитического опроса, дизайну исследования, объему выборки и репрезентативности, операционным определениям зависимых и независимых переменных, а также статистическому анализу. Тщательное внимание уделяется выбору наиболее соответствующих инструментов по сбору данных (анкеты, опросники).</w:t>
      </w:r>
    </w:p>
    <w:bookmarkEnd w:id="8317"/>
    <w:bookmarkStart w:name="z8490" w:id="8318"/>
    <w:p>
      <w:pPr>
        <w:spacing w:after="0"/>
        <w:ind w:left="0"/>
        <w:jc w:val="both"/>
      </w:pPr>
      <w:r>
        <w:rPr>
          <w:rFonts w:ascii="Times New Roman"/>
          <w:b w:val="false"/>
          <w:i w:val="false"/>
          <w:color w:val="000000"/>
          <w:sz w:val="28"/>
        </w:rPr>
        <w:t xml:space="preserve">
      429. Оценка клинических действий. В целях оценки эффективности образовательных оперативных мер и (или) информационного обеспечения, определяют не только клинические знания, но и вытекающие из знаний клинические действия (назначение лекарственного препарата). Исследования по использованию лекарственного препарата посредством вторичного использования данных электронных медицинских карт рассматривают как ценный инструмент для количественной оценки клинических действий для представителя целевой группы. Анализ листов назначения лекарственных препаратов, особенно во взаимосвязи с другими данными пациентов (в частности, клинические и демографические данные), обеспечивает оценку назначения лекарственных препаратов, включая совместное назначение двух взаимодействующих лекарственных препаратов, соответствие рекомендациям по лабораторному мониторингу, а также выбор и контроль состояния пациента. Применяя соответствующие статистические методы (анализ динамических рядов, анализы выживаемости, логистическая регрессия) для когорты потребителей лекарственных препаратов делают оценку различных аспектов назначения или применения лекарственных препаратов, что обеспечивает понимание за рамками исключительно описательных доказательств. </w:t>
      </w:r>
    </w:p>
    <w:bookmarkEnd w:id="8318"/>
    <w:bookmarkStart w:name="z8491" w:id="8319"/>
    <w:p>
      <w:pPr>
        <w:spacing w:after="0"/>
        <w:ind w:left="0"/>
        <w:jc w:val="both"/>
      </w:pPr>
      <w:r>
        <w:rPr>
          <w:rFonts w:ascii="Times New Roman"/>
          <w:b w:val="false"/>
          <w:i w:val="false"/>
          <w:color w:val="000000"/>
          <w:sz w:val="28"/>
        </w:rPr>
        <w:t>
      430. Показатели результата. Конечными индикаторами успешности программы минимизации риска являются результаты безопасности, т.е. частота и (или) тяжесть нежелательных реакций в связи с воздействием лекарственных препаратов на пациента вне рамок интервенционного исследования (т.е. в рамках неинтервенционного исследования), данные результаты по безопасности являются индикаторами результата. Оценка, основанная на данных показателях, включают сравнение эпидемиологических мер частотности результата, такие как показатель частоты или кумулятивной частоты нежелательной реакции, полученный в контексте исследований безопасности на пострегистрационном этапе. В соответствии с любым подходом строгие научные и признанные принципы эпидемиологического исследования всегда являются руководством для оценки конечного рассматриваемого показателя результата. Учитывают сравнение частоты до и после выполнения мер минимизации риска. Когда выполнение оценки и расчета до и после выполнения мер является практически неосуществимым (в частности, меры минимизации риска были введены в действие в момент получения регистрационного удостоверения), показатель частоты исхода, полученный на этапе после выполнения мер, соотносится с заранее определенным референтным значением, полученным из литературных источников, ретроспективных данных медицинских карт пациентов, ожидаемой частоты в общей популяции (наблюдаемый анализ в сравнении с предполагаемым) и учитывается возможный эффект стимулирования репортирования. Выбор группы сравнения обосновывается надлежащим образом.</w:t>
      </w:r>
    </w:p>
    <w:bookmarkEnd w:id="8319"/>
    <w:bookmarkStart w:name="z8492" w:id="8320"/>
    <w:p>
      <w:pPr>
        <w:spacing w:after="0"/>
        <w:ind w:left="0"/>
        <w:jc w:val="both"/>
      </w:pPr>
      <w:r>
        <w:rPr>
          <w:rFonts w:ascii="Times New Roman"/>
          <w:b w:val="false"/>
          <w:i w:val="false"/>
          <w:color w:val="000000"/>
          <w:sz w:val="28"/>
        </w:rPr>
        <w:t>
      Уровень спонтанного репортирования (т.е. число сообщений о подозреваемых нежелательных реакциях за фиксированный период времени) не рассматривается как приемлемую оценку частоты нежелательных явлений в популяции, получающей лечение, за исключением особых обстоятельств, когда базисная частота нежелательного явления в группе незначительная и существует выраженная взаимосвязь между лечением и нежелательной реакцией. При таких обстоятельствах, когда прямое определение степени риска в рассматриваемой группе является практически неосуществимым, спонтанные сообщения позволяют сделать предположение относительно приблизительного значения частоты нежелательной реакции в группе, при условии, что некоторые разумно обоснованные данные получены для оценки показателя уровня репортирования в контексте применения лекарственного препарата. Однако, характерные погрешности, которые влияют на уровень репортирования в отношении предполагаемых нежелательных реакций, приводят к результатам, вводящим в заблуждение. В частности, введение программы минимизации риска как реакция на проблему по безопасности, выявленную на этапе пострегистрационного мониторинга лекарственного препарата, способствует повышению осведомленности в отношении определенных нежелательных реакций, что, в конечном счете, приводит к повышенному показателю репортирования. При таких обстоятельствах анализ спонтанного репортированияи приводит к ошибочному заключению, что вмешательство оказалось неэффективным. Сниженные показатели отчетности за определенный временной промежуток приводят к ошибочному заключению, что вмешательство оказалось эффективным.</w:t>
      </w:r>
    </w:p>
    <w:bookmarkEnd w:id="8320"/>
    <w:bookmarkStart w:name="z8493" w:id="8321"/>
    <w:p>
      <w:pPr>
        <w:spacing w:after="0"/>
        <w:ind w:left="0"/>
        <w:jc w:val="left"/>
      </w:pPr>
      <w:r>
        <w:rPr>
          <w:rFonts w:ascii="Times New Roman"/>
          <w:b/>
          <w:i w:val="false"/>
          <w:color w:val="000000"/>
        </w:rPr>
        <w:t xml:space="preserve"> Параграф 10. Координация</w:t>
      </w:r>
    </w:p>
    <w:bookmarkEnd w:id="8321"/>
    <w:bookmarkStart w:name="z8494" w:id="8322"/>
    <w:p>
      <w:pPr>
        <w:spacing w:after="0"/>
        <w:ind w:left="0"/>
        <w:jc w:val="both"/>
      </w:pPr>
      <w:r>
        <w:rPr>
          <w:rFonts w:ascii="Times New Roman"/>
          <w:b w:val="false"/>
          <w:i w:val="false"/>
          <w:color w:val="000000"/>
          <w:sz w:val="28"/>
        </w:rPr>
        <w:t>
      431. Если несколько лекарственных препаратов, в том числе лекарственные препараты, с одинаковым действующим веществом, имеются в наличии на рынке, вырабатывается целостный подход в применении дополнительных мер минимизации риска, предусмотренный уполномоченным органом. Когда возникает необходимость в координационных действиях для группы лекарственных препаратов, соответствующим образом вырабатывается согласованный подход. При таких обстоятельствах предварительное планирование обеспечивает, чтобы эффективность мер минимизации риска оценивалась для каждого отдельного лекарственного препарата, а также для лекарственных препаратов в совокупности.</w:t>
      </w:r>
    </w:p>
    <w:bookmarkEnd w:id="8322"/>
    <w:bookmarkStart w:name="z8495" w:id="8323"/>
    <w:p>
      <w:pPr>
        <w:spacing w:after="0"/>
        <w:ind w:left="0"/>
        <w:jc w:val="both"/>
      </w:pPr>
      <w:r>
        <w:rPr>
          <w:rFonts w:ascii="Times New Roman"/>
          <w:b w:val="false"/>
          <w:i w:val="false"/>
          <w:color w:val="000000"/>
          <w:sz w:val="28"/>
        </w:rPr>
        <w:t xml:space="preserve">
      432. Системы качества мер минимизации риска. Хотя в разработку и осуществление мер минимизации риска вовлечены многие эксперты,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23 Кодекса окончательная ответственность за качество, точность и научную целостность таких мер возлагается на держателя регистрационного удостоверения.</w:t>
      </w:r>
    </w:p>
    <w:bookmarkEnd w:id="8323"/>
    <w:bookmarkStart w:name="z8496" w:id="8324"/>
    <w:p>
      <w:pPr>
        <w:spacing w:after="0"/>
        <w:ind w:left="0"/>
        <w:jc w:val="both"/>
      </w:pPr>
      <w:r>
        <w:rPr>
          <w:rFonts w:ascii="Times New Roman"/>
          <w:b w:val="false"/>
          <w:i w:val="false"/>
          <w:color w:val="000000"/>
          <w:sz w:val="28"/>
        </w:rPr>
        <w:t>
      Держатель регистрационного удостоверения обеспечивает обновление плана управления рисками в случае появления новой информации, а также применяет принципы качества, детально изложенные в разделе 2 настоящего Стандарта. Отслеживаемые версии плана управления рисками передаются на рассмотрение и выполнение оценки уполномоченным органом. Данные отчеты, ПУР и включенные в план системы управления риском, также, как и любые документы в отношении мер по минимизации риска, подвергаются аудиту или инспектированию.</w:t>
      </w:r>
    </w:p>
    <w:bookmarkEnd w:id="8324"/>
    <w:bookmarkStart w:name="z8497" w:id="8325"/>
    <w:p>
      <w:pPr>
        <w:spacing w:after="0"/>
        <w:ind w:left="0"/>
        <w:jc w:val="both"/>
      </w:pPr>
      <w:r>
        <w:rPr>
          <w:rFonts w:ascii="Times New Roman"/>
          <w:b w:val="false"/>
          <w:i w:val="false"/>
          <w:color w:val="000000"/>
          <w:sz w:val="28"/>
        </w:rPr>
        <w:t>
      Держатель регистрационного удостоверения обеспечивает, чтобы механизмы отчетности по результатам исследований или анализов по оценке эффективности мер минимизации риска подтверждались документально. Данные документы подвергаются аудиту или инспекции.</w:t>
      </w:r>
    </w:p>
    <w:bookmarkEnd w:id="8325"/>
    <w:bookmarkStart w:name="z8498" w:id="8326"/>
    <w:p>
      <w:pPr>
        <w:spacing w:after="0"/>
        <w:ind w:left="0"/>
        <w:jc w:val="left"/>
      </w:pPr>
      <w:r>
        <w:rPr>
          <w:rFonts w:ascii="Times New Roman"/>
          <w:b/>
          <w:i w:val="false"/>
          <w:color w:val="000000"/>
        </w:rPr>
        <w:t xml:space="preserve"> Параграф 11. Компетенция уполномоченного органа, уполномоченной организации по минимизации риска</w:t>
      </w:r>
    </w:p>
    <w:bookmarkEnd w:id="8326"/>
    <w:bookmarkStart w:name="z8499" w:id="8327"/>
    <w:p>
      <w:pPr>
        <w:spacing w:after="0"/>
        <w:ind w:left="0"/>
        <w:jc w:val="both"/>
      </w:pPr>
      <w:r>
        <w:rPr>
          <w:rFonts w:ascii="Times New Roman"/>
          <w:b w:val="false"/>
          <w:i w:val="false"/>
          <w:color w:val="000000"/>
          <w:sz w:val="28"/>
        </w:rPr>
        <w:t>
      433. Уполномоченный орган обеспечивает осуществление дополнительных мер минимизации риска, налагаемых как условие по безопасному и эффективному использованию лекарственного препарата.</w:t>
      </w:r>
    </w:p>
    <w:bookmarkEnd w:id="8327"/>
    <w:bookmarkStart w:name="z8500" w:id="8328"/>
    <w:p>
      <w:pPr>
        <w:spacing w:after="0"/>
        <w:ind w:left="0"/>
        <w:jc w:val="both"/>
      </w:pPr>
      <w:r>
        <w:rPr>
          <w:rFonts w:ascii="Times New Roman"/>
          <w:b w:val="false"/>
          <w:i w:val="false"/>
          <w:color w:val="000000"/>
          <w:sz w:val="28"/>
        </w:rPr>
        <w:t xml:space="preserve">
      В отношении мер минимизации риска, которые были введены после выдачи регистрационного удостоверения, уполномоченная организация обеспечивает оперативное рассмотрение и согласование представленных мер держателем регистрационного удостоверения. </w:t>
      </w:r>
    </w:p>
    <w:bookmarkEnd w:id="8328"/>
    <w:bookmarkStart w:name="z8501" w:id="8329"/>
    <w:p>
      <w:pPr>
        <w:spacing w:after="0"/>
        <w:ind w:left="0"/>
        <w:jc w:val="both"/>
      </w:pPr>
      <w:r>
        <w:rPr>
          <w:rFonts w:ascii="Times New Roman"/>
          <w:b w:val="false"/>
          <w:i w:val="false"/>
          <w:color w:val="000000"/>
          <w:sz w:val="28"/>
        </w:rPr>
        <w:t>
      Уполномоченный орган при необходимости оказывает содействие согласованию внедряемых мер минимизации риска для генерических лекарственных препаратов с одинаковым действующим веществом. В случае необходимости введения дополнительных мер минимизации риска для генерических лекарственных препаратов, обусловленных проблемами по безопасности действующего вещества, меры минимизации риска, применяемые к генерическим лекарственным препаратам, приводят в соответствие с мерами минимизации риска для оригинального лекарственного препарата.</w:t>
      </w:r>
    </w:p>
    <w:bookmarkEnd w:id="8329"/>
    <w:bookmarkStart w:name="z8502" w:id="8330"/>
    <w:p>
      <w:pPr>
        <w:spacing w:after="0"/>
        <w:ind w:left="0"/>
        <w:jc w:val="both"/>
      </w:pPr>
      <w:r>
        <w:rPr>
          <w:rFonts w:ascii="Times New Roman"/>
          <w:b w:val="false"/>
          <w:i w:val="false"/>
          <w:color w:val="000000"/>
          <w:sz w:val="28"/>
        </w:rPr>
        <w:t>
      Уполномоченный орган обеспечивает применение любого инструмента (метода) по минимизации риска. Уполномоченная организация согласовывает с держателем регистрационного удостоверения формат и средства инструментов (методов) минимизации риска, включая печатные материалы, интернет-платформы и иные аудио-видео средства, а также планирование (график) оперативных мер перед выходом лекарственного препарата на их рынок или в любое иное время в случае необходимости.</w:t>
      </w:r>
    </w:p>
    <w:bookmarkEnd w:id="8330"/>
    <w:bookmarkStart w:name="z8503" w:id="8331"/>
    <w:p>
      <w:pPr>
        <w:spacing w:after="0"/>
        <w:ind w:left="0"/>
        <w:jc w:val="both"/>
      </w:pPr>
      <w:r>
        <w:rPr>
          <w:rFonts w:ascii="Times New Roman"/>
          <w:b w:val="false"/>
          <w:i w:val="false"/>
          <w:color w:val="000000"/>
          <w:sz w:val="28"/>
        </w:rPr>
        <w:t>
      Уполномоченный орган принимает самостоятельное решение в отношении выбора соответствующих образовательных материалов и (или) иных инструментов (методов) по минимизации риска. Уполномоченный орган осуществляет контроль результатов введения мер минимизации риска.</w:t>
      </w:r>
    </w:p>
    <w:bookmarkEnd w:id="8331"/>
    <w:bookmarkStart w:name="z8504" w:id="8332"/>
    <w:p>
      <w:pPr>
        <w:spacing w:after="0"/>
        <w:ind w:left="0"/>
        <w:jc w:val="left"/>
      </w:pPr>
      <w:r>
        <w:rPr>
          <w:rFonts w:ascii="Times New Roman"/>
          <w:b/>
          <w:i w:val="false"/>
          <w:color w:val="000000"/>
        </w:rPr>
        <w:t xml:space="preserve"> Параграф 12. Компетенция держателей регистрационных удостоверений по минимизации риска</w:t>
      </w:r>
    </w:p>
    <w:bookmarkEnd w:id="8332"/>
    <w:bookmarkStart w:name="z8505" w:id="8333"/>
    <w:p>
      <w:pPr>
        <w:spacing w:after="0"/>
        <w:ind w:left="0"/>
        <w:jc w:val="both"/>
      </w:pPr>
      <w:r>
        <w:rPr>
          <w:rFonts w:ascii="Times New Roman"/>
          <w:b w:val="false"/>
          <w:i w:val="false"/>
          <w:color w:val="000000"/>
          <w:sz w:val="28"/>
        </w:rPr>
        <w:t>
      434. Держатель регистрационного удостоверения четко определяет цели предложенных дополнительных мер минимизации риска и показатели оценки их эффективности. Любые дополнительные оперативные меры минимизации риска разрабатываются в соответствии с общими принципами, сформулированными в пунктах 417 и 418, и имеют полное документальное подтверждение в программе минимизации риска.</w:t>
      </w:r>
    </w:p>
    <w:bookmarkEnd w:id="8333"/>
    <w:bookmarkStart w:name="z8506" w:id="8334"/>
    <w:p>
      <w:pPr>
        <w:spacing w:after="0"/>
        <w:ind w:left="0"/>
        <w:jc w:val="both"/>
      </w:pPr>
      <w:r>
        <w:rPr>
          <w:rFonts w:ascii="Times New Roman"/>
          <w:b w:val="false"/>
          <w:i w:val="false"/>
          <w:color w:val="000000"/>
          <w:sz w:val="28"/>
        </w:rPr>
        <w:t>
      В отношении генерических лекарственных препаратов держатель регистрационного удостоверения разрабатывает меры минимизации риска в соответствии с объемом, направленностью, содержанием и форматом инструментов (методов) применяемых для оригинального лекарственного препарата. Составление графика и планирование оперативных мер надлежащим образом координируются в целях минимизации нагрузки на системы здравоохранения.</w:t>
      </w:r>
    </w:p>
    <w:bookmarkEnd w:id="8334"/>
    <w:bookmarkStart w:name="z8507" w:id="8335"/>
    <w:p>
      <w:pPr>
        <w:spacing w:after="0"/>
        <w:ind w:left="0"/>
        <w:jc w:val="both"/>
      </w:pPr>
      <w:r>
        <w:rPr>
          <w:rFonts w:ascii="Times New Roman"/>
          <w:b w:val="false"/>
          <w:i w:val="false"/>
          <w:color w:val="000000"/>
          <w:sz w:val="28"/>
        </w:rPr>
        <w:t>
      Оценка эффективности мер минимизации риска в отношении генерических лекарственных препаратов проводится держателем регистрационного удостоверения в тесном сотрудничестве с уполномоченной организацией. В случае обоснованности проведения исследований, в целях минимизации нагрузки на системы здравоохранения настоятельно рекомендуется проведение совместных исследований. В частности, если назначено проведение проспективного когортного исследования, включение в исследование является независимым от назначения лекарственного препарата с определенным торговым наименованием или от определенного производителя лекарственного препарата. В этих случаях регистрация данных определенного лекарственного препарата является важной в целях быстрой идентификации любого нового риска, присущего конкретному лекарственному препарату.</w:t>
      </w:r>
    </w:p>
    <w:bookmarkEnd w:id="8335"/>
    <w:bookmarkStart w:name="z8508" w:id="8336"/>
    <w:p>
      <w:pPr>
        <w:spacing w:after="0"/>
        <w:ind w:left="0"/>
        <w:jc w:val="both"/>
      </w:pPr>
      <w:r>
        <w:rPr>
          <w:rFonts w:ascii="Times New Roman"/>
          <w:b w:val="false"/>
          <w:i w:val="false"/>
          <w:color w:val="000000"/>
          <w:sz w:val="28"/>
        </w:rPr>
        <w:t>
      Держатель регистрационного удостоверения контролирует результаты мер минимизации риска, которые включены в ПУР. Общие принципы оценки эффективности предусмотрены в параграфе 9 настоящей главы.</w:t>
      </w:r>
    </w:p>
    <w:bookmarkEnd w:id="8336"/>
    <w:bookmarkStart w:name="z8509" w:id="8337"/>
    <w:p>
      <w:pPr>
        <w:spacing w:after="0"/>
        <w:ind w:left="0"/>
        <w:jc w:val="both"/>
      </w:pPr>
      <w:r>
        <w:rPr>
          <w:rFonts w:ascii="Times New Roman"/>
          <w:b w:val="false"/>
          <w:i w:val="false"/>
          <w:color w:val="000000"/>
          <w:sz w:val="28"/>
        </w:rPr>
        <w:t>
      Держатель регистрационного удостоверения представляет в уполномоченную организацию отчет в отношении оценки эффективности дополнительных мер минимизации риска, имеющих отношение к оценке соотношения польза-риск в ПОБ.</w:t>
      </w:r>
    </w:p>
    <w:bookmarkEnd w:id="8337"/>
    <w:bookmarkStart w:name="z8510" w:id="8338"/>
    <w:p>
      <w:pPr>
        <w:spacing w:after="0"/>
        <w:ind w:left="0"/>
        <w:jc w:val="both"/>
      </w:pPr>
      <w:r>
        <w:rPr>
          <w:rFonts w:ascii="Times New Roman"/>
          <w:b w:val="false"/>
          <w:i w:val="false"/>
          <w:color w:val="000000"/>
          <w:sz w:val="28"/>
        </w:rPr>
        <w:t>
      Держатель регистрационного удостоверения обеспечивает своевременную связь с уполномоченным органом, уполномоченной организацией для выполнения соответствующей оценки и действий.</w:t>
      </w:r>
    </w:p>
    <w:bookmarkEnd w:id="8338"/>
    <w:bookmarkStart w:name="z8511" w:id="8339"/>
    <w:p>
      <w:pPr>
        <w:spacing w:after="0"/>
        <w:ind w:left="0"/>
        <w:jc w:val="left"/>
      </w:pPr>
      <w:r>
        <w:rPr>
          <w:rFonts w:ascii="Times New Roman"/>
          <w:b/>
          <w:i w:val="false"/>
          <w:color w:val="000000"/>
        </w:rPr>
        <w:t xml:space="preserve"> Параграф 13. Работники системы здравоохранения и пациенты</w:t>
      </w:r>
    </w:p>
    <w:bookmarkEnd w:id="8339"/>
    <w:bookmarkStart w:name="z8512" w:id="8340"/>
    <w:p>
      <w:pPr>
        <w:spacing w:after="0"/>
        <w:ind w:left="0"/>
        <w:jc w:val="both"/>
      </w:pPr>
      <w:r>
        <w:rPr>
          <w:rFonts w:ascii="Times New Roman"/>
          <w:b w:val="false"/>
          <w:i w:val="false"/>
          <w:color w:val="000000"/>
          <w:sz w:val="28"/>
        </w:rPr>
        <w:t xml:space="preserve">
      435. Сотрудничество работников системы здравоохранения и пациентов является крайне важным фактором для успешного выполнения образовательных программ и (или) программ контролируемого доступа в целях оптимизации соотношения польза-риск. </w:t>
      </w:r>
    </w:p>
    <w:bookmarkEnd w:id="8340"/>
    <w:bookmarkStart w:name="z8513" w:id="8341"/>
    <w:p>
      <w:pPr>
        <w:spacing w:after="0"/>
        <w:ind w:left="0"/>
        <w:jc w:val="left"/>
      </w:pPr>
      <w:r>
        <w:rPr>
          <w:rFonts w:ascii="Times New Roman"/>
          <w:b/>
          <w:i w:val="false"/>
          <w:color w:val="000000"/>
        </w:rPr>
        <w:t xml:space="preserve"> Параграф 14. Влияние эффективности мер минимизации риска на ПУР ПОБ</w:t>
      </w:r>
    </w:p>
    <w:bookmarkEnd w:id="8341"/>
    <w:bookmarkStart w:name="z8514" w:id="8342"/>
    <w:p>
      <w:pPr>
        <w:spacing w:after="0"/>
        <w:ind w:left="0"/>
        <w:jc w:val="both"/>
      </w:pPr>
      <w:r>
        <w:rPr>
          <w:rFonts w:ascii="Times New Roman"/>
          <w:b w:val="false"/>
          <w:i w:val="false"/>
          <w:color w:val="000000"/>
          <w:sz w:val="28"/>
        </w:rPr>
        <w:t xml:space="preserve">
      436. Обновления ПОБ и ПУР включают суммарную оценку результата дополнительных мер минимизации риска, введенных для уменьшения важных рисков, связанных с применением лекарственного препарата. В ПУР акцент делают на том, как выполняемая деятельность и ее результаты отражается на планировании мер минимизации риска и (или) фармаконадзора. В ПОБ делают оценку воздействия введенных мер на профиль безопасности и (или) соотношение польза-риск лекарственного препарата. В общем, акцент делают на информацию, которая получена в процессе отчетного периода или с момента осуществления самых недавних мер по минимизации риска. </w:t>
      </w:r>
    </w:p>
    <w:bookmarkEnd w:id="8342"/>
    <w:bookmarkStart w:name="z8515" w:id="8343"/>
    <w:p>
      <w:pPr>
        <w:spacing w:after="0"/>
        <w:ind w:left="0"/>
        <w:jc w:val="both"/>
      </w:pPr>
      <w:r>
        <w:rPr>
          <w:rFonts w:ascii="Times New Roman"/>
          <w:b w:val="false"/>
          <w:i w:val="false"/>
          <w:color w:val="000000"/>
          <w:sz w:val="28"/>
        </w:rPr>
        <w:t>
      Результаты оценки эффективности мер минимизации риска во всех случаях подлежат включению в ПУР. Как часть такой критической оценки держатель регистрационного удостоверения делает наблюдения в отношении факторов, способствующих достижению цели или, напротив, приводящих к недостаточности (неэффективности) мер минимизации риска.</w:t>
      </w:r>
    </w:p>
    <w:bookmarkEnd w:id="8343"/>
    <w:bookmarkStart w:name="z8516" w:id="8344"/>
    <w:p>
      <w:pPr>
        <w:spacing w:after="0"/>
        <w:ind w:left="0"/>
        <w:jc w:val="both"/>
      </w:pPr>
      <w:r>
        <w:rPr>
          <w:rFonts w:ascii="Times New Roman"/>
          <w:b w:val="false"/>
          <w:i w:val="false"/>
          <w:color w:val="000000"/>
          <w:sz w:val="28"/>
        </w:rPr>
        <w:t>
      Такой критический анализ включает ссылку на опыт за пределами Республики Казахстан, если таковой имеется.</w:t>
      </w:r>
    </w:p>
    <w:bookmarkEnd w:id="8344"/>
    <w:bookmarkStart w:name="z8517" w:id="8345"/>
    <w:p>
      <w:pPr>
        <w:spacing w:after="0"/>
        <w:ind w:left="0"/>
        <w:jc w:val="both"/>
      </w:pPr>
      <w:r>
        <w:rPr>
          <w:rFonts w:ascii="Times New Roman"/>
          <w:b w:val="false"/>
          <w:i w:val="false"/>
          <w:color w:val="000000"/>
          <w:sz w:val="28"/>
        </w:rPr>
        <w:t xml:space="preserve">
      Оценка эффективности мер минимизации риска акцентирована на то, были ли они успешными в отношении минимизации целевого риска. Оценка выполняется с использованием комбинации показателей процесса и результата, в соответствии с описанием в параграфе 9 настоящей главы. Рекомендуется сделать разграничение между мерами минимизации риска, введенными в момент выдачи удостоверения о государственной регистрации и теми мерами, которые были введены позднее на пострегистрационном этапе. </w:t>
      </w:r>
    </w:p>
    <w:bookmarkEnd w:id="8345"/>
    <w:bookmarkStart w:name="z8518" w:id="8346"/>
    <w:p>
      <w:pPr>
        <w:spacing w:after="0"/>
        <w:ind w:left="0"/>
        <w:jc w:val="both"/>
      </w:pPr>
      <w:r>
        <w:rPr>
          <w:rFonts w:ascii="Times New Roman"/>
          <w:b w:val="false"/>
          <w:i w:val="false"/>
          <w:color w:val="000000"/>
          <w:sz w:val="28"/>
        </w:rPr>
        <w:t>
      Оценку эффективности мер минимизации риска представляется с учетом следующих рекомендаций:</w:t>
      </w:r>
    </w:p>
    <w:bookmarkEnd w:id="8346"/>
    <w:bookmarkStart w:name="z8519" w:id="8347"/>
    <w:p>
      <w:pPr>
        <w:spacing w:after="0"/>
        <w:ind w:left="0"/>
        <w:jc w:val="both"/>
      </w:pPr>
      <w:r>
        <w:rPr>
          <w:rFonts w:ascii="Times New Roman"/>
          <w:b w:val="false"/>
          <w:i w:val="false"/>
          <w:color w:val="000000"/>
          <w:sz w:val="28"/>
        </w:rPr>
        <w:t>
      1. Оценка представляет контекст путем 1) краткого описания введенных мер минимизации риска, 2) определение их целей, 3) описания выбранного процесса и показателей результата.</w:t>
      </w:r>
    </w:p>
    <w:bookmarkEnd w:id="8347"/>
    <w:bookmarkStart w:name="z8520" w:id="8348"/>
    <w:p>
      <w:pPr>
        <w:spacing w:after="0"/>
        <w:ind w:left="0"/>
        <w:jc w:val="both"/>
      </w:pPr>
      <w:r>
        <w:rPr>
          <w:rFonts w:ascii="Times New Roman"/>
          <w:b w:val="false"/>
          <w:i w:val="false"/>
          <w:color w:val="000000"/>
          <w:sz w:val="28"/>
        </w:rPr>
        <w:t>
      2. Оценка включает соответствующий анализ характера нежелательных реакций, включая их серьезность и предотвратимость. Где это уместно, также включают логистические факторы, которые влияют на клиническое выполнение мер минимизации риска.</w:t>
      </w:r>
    </w:p>
    <w:bookmarkEnd w:id="8348"/>
    <w:bookmarkStart w:name="z8521" w:id="8349"/>
    <w:p>
      <w:pPr>
        <w:spacing w:after="0"/>
        <w:ind w:left="0"/>
        <w:jc w:val="both"/>
      </w:pPr>
      <w:r>
        <w:rPr>
          <w:rFonts w:ascii="Times New Roman"/>
          <w:b w:val="false"/>
          <w:i w:val="false"/>
          <w:color w:val="000000"/>
          <w:sz w:val="28"/>
        </w:rPr>
        <w:t>
      3. Оценка включает исследование выполнения мер минимизации риска в рутинной клинической практике, включая все отклонения от первоначального плана. Такая оценка включает результаты исследований использования лекарственного препарата.</w:t>
      </w:r>
    </w:p>
    <w:bookmarkEnd w:id="8349"/>
    <w:bookmarkStart w:name="z8522" w:id="8350"/>
    <w:p>
      <w:pPr>
        <w:spacing w:after="0"/>
        <w:ind w:left="0"/>
        <w:jc w:val="both"/>
      </w:pPr>
      <w:r>
        <w:rPr>
          <w:rFonts w:ascii="Times New Roman"/>
          <w:b w:val="false"/>
          <w:i w:val="false"/>
          <w:color w:val="000000"/>
          <w:sz w:val="28"/>
        </w:rPr>
        <w:t>
      4. Показатели результата (т.е. частота и (или) серьезность нежелательных реакций), являются ключевыми конечными точками при оценке степени достижения поставленных задач при выполнении мер минимизации риска.</w:t>
      </w:r>
    </w:p>
    <w:bookmarkEnd w:id="8350"/>
    <w:bookmarkStart w:name="z8523" w:id="8351"/>
    <w:p>
      <w:pPr>
        <w:spacing w:after="0"/>
        <w:ind w:left="0"/>
        <w:jc w:val="both"/>
      </w:pPr>
      <w:r>
        <w:rPr>
          <w:rFonts w:ascii="Times New Roman"/>
          <w:b w:val="false"/>
          <w:i w:val="false"/>
          <w:color w:val="000000"/>
          <w:sz w:val="28"/>
        </w:rPr>
        <w:t xml:space="preserve">
      Предложения в отношении изменений по совершенствованию мер управления рисками представляются в соответствующем разделе ПОБ. План минимизации рисков обновляют с учетом поступающей информации в отношении эффективности мер минимизации риска. </w:t>
      </w:r>
    </w:p>
    <w:bookmarkEnd w:id="8351"/>
    <w:bookmarkStart w:name="z8524" w:id="8352"/>
    <w:p>
      <w:pPr>
        <w:spacing w:after="0"/>
        <w:ind w:left="0"/>
        <w:jc w:val="both"/>
      </w:pPr>
      <w:r>
        <w:rPr>
          <w:rFonts w:ascii="Times New Roman"/>
          <w:b w:val="false"/>
          <w:i w:val="false"/>
          <w:color w:val="000000"/>
          <w:sz w:val="28"/>
        </w:rPr>
        <w:t>
      Частота обновления ПУР является пропорциональной рискам лекарственного препарата. Обновления ПУР акцентируются на программу минимизации риска и представление обновлений по осуществлению мер минимизации риска, где это применимо. В случае обновления ограниченного количества разделов, разделы, которые подвергались изменениям, перечисляются в сопроводительном письме при представлении документации. В случае если по результатам выполнения мер минимизации риска требуется внесение изменений в инструкцию по медицинскому применению, основания и данные изменения подтверждаются подачей ПОБ, отражающего указанные сведения.</w:t>
      </w:r>
    </w:p>
    <w:bookmarkEnd w:id="8352"/>
    <w:bookmarkStart w:name="z8525" w:id="8353"/>
    <w:p>
      <w:pPr>
        <w:spacing w:after="0"/>
        <w:ind w:left="0"/>
        <w:jc w:val="left"/>
      </w:pPr>
      <w:r>
        <w:rPr>
          <w:rFonts w:ascii="Times New Roman"/>
          <w:b/>
          <w:i w:val="false"/>
          <w:color w:val="000000"/>
        </w:rPr>
        <w:t xml:space="preserve"> Параграф 15. Прозрачность</w:t>
      </w:r>
    </w:p>
    <w:bookmarkEnd w:id="8353"/>
    <w:bookmarkStart w:name="z8526" w:id="8354"/>
    <w:p>
      <w:pPr>
        <w:spacing w:after="0"/>
        <w:ind w:left="0"/>
        <w:jc w:val="both"/>
      </w:pPr>
      <w:r>
        <w:rPr>
          <w:rFonts w:ascii="Times New Roman"/>
          <w:b w:val="false"/>
          <w:i w:val="false"/>
          <w:color w:val="000000"/>
          <w:sz w:val="28"/>
        </w:rPr>
        <w:t>
      437. Уполномоченная организация обеспечивают прозрачность и доступность информации по введенным мерам минимизации риска путем размещения на соответствующих интернет-порталах следующей информации: действующей инструкции по медицинскому применению; резюме плана управления рисками с указанием введенных мер минимизации риска.</w:t>
      </w:r>
    </w:p>
    <w:bookmarkEnd w:id="8354"/>
    <w:bookmarkStart w:name="z8527" w:id="8355"/>
    <w:p>
      <w:pPr>
        <w:spacing w:after="0"/>
        <w:ind w:left="0"/>
        <w:jc w:val="left"/>
      </w:pPr>
      <w:r>
        <w:rPr>
          <w:rFonts w:ascii="Times New Roman"/>
          <w:b/>
          <w:i w:val="false"/>
          <w:color w:val="000000"/>
        </w:rPr>
        <w:t xml:space="preserve"> Глава 46. Дополнительный мониторинг</w:t>
      </w:r>
    </w:p>
    <w:bookmarkEnd w:id="8355"/>
    <w:bookmarkStart w:name="z8528" w:id="8356"/>
    <w:p>
      <w:pPr>
        <w:spacing w:after="0"/>
        <w:ind w:left="0"/>
        <w:jc w:val="left"/>
      </w:pPr>
      <w:r>
        <w:rPr>
          <w:rFonts w:ascii="Times New Roman"/>
          <w:b/>
          <w:i w:val="false"/>
          <w:color w:val="000000"/>
        </w:rPr>
        <w:t xml:space="preserve"> Параграф 1. Общее положение</w:t>
      </w:r>
    </w:p>
    <w:bookmarkEnd w:id="8356"/>
    <w:bookmarkStart w:name="z8529" w:id="8357"/>
    <w:p>
      <w:pPr>
        <w:spacing w:after="0"/>
        <w:ind w:left="0"/>
        <w:jc w:val="both"/>
      </w:pPr>
      <w:r>
        <w:rPr>
          <w:rFonts w:ascii="Times New Roman"/>
          <w:b w:val="false"/>
          <w:i w:val="false"/>
          <w:color w:val="000000"/>
          <w:sz w:val="28"/>
        </w:rPr>
        <w:t>
      438. Фармаконадзор является жизненно важной функцией системы здравоохранения, поскольку имеет своей целью быстрое выявление и реагирование на потенциальные угрозы безопасности, связанные с использованием лекарственных препарата.</w:t>
      </w:r>
    </w:p>
    <w:bookmarkEnd w:id="8357"/>
    <w:bookmarkStart w:name="z8530" w:id="8358"/>
    <w:p>
      <w:pPr>
        <w:spacing w:after="0"/>
        <w:ind w:left="0"/>
        <w:jc w:val="both"/>
      </w:pPr>
      <w:r>
        <w:rPr>
          <w:rFonts w:ascii="Times New Roman"/>
          <w:b w:val="false"/>
          <w:i w:val="false"/>
          <w:color w:val="000000"/>
          <w:sz w:val="28"/>
        </w:rPr>
        <w:t>
      Государственная регистрация лекарственного препарата осуществляется на основании положительного на момент регистрации соотношения польза-риск лекарственного препарата для определенной целевой группы пациентов, в пределах одобренного показания и рекомендаций по применению. Однако не все риски выявляются к моменту первоначальной регистрации, некоторые риски выявляются на пострегистрационном этапе при широком применении лекарственного препарата на протяжении всего жизненного цикла лекарственного препарата. Для обеспечения возможности выполнения контроля безопасности лекарственных препаратов пропорционально уровню риска, сопряженному с их применением, целесообразным является формирование перечня лекарственных препаратов, требующих расширенного сбора данных по безопасности после их регистрации, что означает введение концепции дополнительного мониторинга в отношении некоторых лекарственных препаратов. Уполномоченным органом создается, поддерживается в актуальном состоянии и публикуется единый список лекарственных препаратов, подлежащих дополнительному мониторингу (далее - Список) на территории Республики Казахстан. Данные лекарственные препараты в инструкции по медицинскому применению обозначаются перевернутым черным равнобедренным треугольником, который сопровождается следующей пояснительной надписью: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p>
    <w:bookmarkEnd w:id="8358"/>
    <w:bookmarkStart w:name="z8531" w:id="8359"/>
    <w:p>
      <w:pPr>
        <w:spacing w:after="0"/>
        <w:ind w:left="0"/>
        <w:jc w:val="left"/>
      </w:pPr>
      <w:r>
        <w:rPr>
          <w:rFonts w:ascii="Times New Roman"/>
          <w:b/>
          <w:i w:val="false"/>
          <w:color w:val="000000"/>
        </w:rPr>
        <w:t xml:space="preserve"> Параграф 2. Структуры и процессы</w:t>
      </w:r>
    </w:p>
    <w:bookmarkEnd w:id="8359"/>
    <w:bookmarkStart w:name="z8532" w:id="8360"/>
    <w:p>
      <w:pPr>
        <w:spacing w:after="0"/>
        <w:ind w:left="0"/>
        <w:jc w:val="both"/>
      </w:pPr>
      <w:r>
        <w:rPr>
          <w:rFonts w:ascii="Times New Roman"/>
          <w:b w:val="false"/>
          <w:i w:val="false"/>
          <w:color w:val="000000"/>
          <w:sz w:val="28"/>
        </w:rPr>
        <w:t>
      439. Принципы присвоения статуса дополнительного мониторинга лекарственному препарату. Регистрация всех лекарственных препаратов осуществляется на основании признания соотношения польза-риск положительным с учетом имеющихся на момент регистрации сведений (данных клинических исследований (испытаний), которые проводились при разработке лекарственного препарата). Однако нежелательные реакции, которые возникают редко, либо развиваются при длительном применении, становятся очевидными только после применения лекарственного препарата более широким кругом пациентов и (или) после длительного приема. Кроме того, преимущества и риски, связанные с лекарственным препаратом, возможно, оценивались в условиях, отличающихся от условий повседневной медицинской практики, в частности, клинические исследования (испытания) исключали определенные типы пациентов с множественными сопутствующими заболеваниями или сопутствующими лекарственными препаратами. Таким образом, после выхода лекарственного препарата на рынок, его использование различными популяционными группами требует постоянного мониторинга. Держатели регистрационного удостоверения и уполномоченная организация осуществляют постоянный мониторинг лекарственных препаратов для получения появляющейся информации по безопасности, а также выполняют оценку ее влияния на соотношение польза-риск лекарственного препарата. Однако некоторые лекарственные препараты требуют выполнения более интенсивного сбора данных по безопасности после прохождения государственной регистрации с тем, чтобы максимально быстро выявлять любые новые значимые проблемы по безопасности и немедленно предпринимать надлежащие меры.</w:t>
      </w:r>
    </w:p>
    <w:bookmarkEnd w:id="8360"/>
    <w:bookmarkStart w:name="z8533" w:id="8361"/>
    <w:p>
      <w:pPr>
        <w:spacing w:after="0"/>
        <w:ind w:left="0"/>
        <w:jc w:val="both"/>
      </w:pPr>
      <w:r>
        <w:rPr>
          <w:rFonts w:ascii="Times New Roman"/>
          <w:b w:val="false"/>
          <w:i w:val="false"/>
          <w:color w:val="000000"/>
          <w:sz w:val="28"/>
        </w:rPr>
        <w:t>
      Для повышения эффективности мониторинга безопасности определенных лекарственных препаратов и для стимулирования более интенсивного представления спонтанных сообщений о выявленных нежелательных реакциях, введена концепция дополнительного мониторинга.</w:t>
      </w:r>
    </w:p>
    <w:bookmarkEnd w:id="8361"/>
    <w:bookmarkStart w:name="z8534" w:id="8362"/>
    <w:p>
      <w:pPr>
        <w:spacing w:after="0"/>
        <w:ind w:left="0"/>
        <w:jc w:val="both"/>
      </w:pPr>
      <w:r>
        <w:rPr>
          <w:rFonts w:ascii="Times New Roman"/>
          <w:b w:val="false"/>
          <w:i w:val="false"/>
          <w:color w:val="000000"/>
          <w:sz w:val="28"/>
        </w:rPr>
        <w:t>
      Статус дополнительного мониторинга присваивается лекарственному препарату во время выдачи удостоверения о государственной регистрации или на более поздних этапах жизненного цикла лекарственного препарата при выявлении в процессе пострегистрационного мониторинга новой проблемы, связанной с безопасностью. В частности, статус дополнительного мониторинга важен при выдаче регистрационных удостоверений на лекарственный препарат, содержащие новое действующее вещество, для всех лекарственных препаратов биологического происхождения, которые являются приоритетами для осуществления фармаконадзора.</w:t>
      </w:r>
    </w:p>
    <w:bookmarkEnd w:id="8362"/>
    <w:bookmarkStart w:name="z8535" w:id="8363"/>
    <w:p>
      <w:pPr>
        <w:spacing w:after="0"/>
        <w:ind w:left="0"/>
        <w:jc w:val="both"/>
      </w:pPr>
      <w:r>
        <w:rPr>
          <w:rFonts w:ascii="Times New Roman"/>
          <w:b w:val="false"/>
          <w:i w:val="false"/>
          <w:color w:val="000000"/>
          <w:sz w:val="28"/>
        </w:rPr>
        <w:t>
      Уполномоченный орган вводит статус дополнительного мониторинга для лекарственного препарата при определенных обстоятельствах, в частности, по результатам проведения ПРИБ или ограничений в отношении безопасного и эффективного использования лекарственного препарата.</w:t>
      </w:r>
    </w:p>
    <w:bookmarkEnd w:id="8363"/>
    <w:bookmarkStart w:name="z8536" w:id="8364"/>
    <w:p>
      <w:pPr>
        <w:spacing w:after="0"/>
        <w:ind w:left="0"/>
        <w:jc w:val="both"/>
      </w:pPr>
      <w:r>
        <w:rPr>
          <w:rFonts w:ascii="Times New Roman"/>
          <w:b w:val="false"/>
          <w:i w:val="false"/>
          <w:color w:val="000000"/>
          <w:sz w:val="28"/>
        </w:rPr>
        <w:t>
      440. Обмен данными и прозрачность. Статус дополнительного мониторинга доводиться до сведения работников системы здравоохранения и пациентов таким образом, чтобы число сообщений о предполагаемых нежелательных реакциях повышалось, но при этом не создавалась чрезмерная тревога. Этого можно достигнуть, как правило, подчеркивая необходимость лучшей характеристики профиля безопасности нового лекарственного препарата путем выявления дополнительных рисков, но соотнося эти потенциальные риски с доказанными преимуществами и терапевтической пользой данного лекарственного препарата. Общедоступный список лекарственных препаратов со статусом дополнительного мониторинга постоянно обновляется уполномоченной организацией. Публикация списка вместе с соответствующим сообщением направлена на способствование работников системы здравоохранения и пациентов сообщать обо всех подозреваемых нежелательных реакциях на лекарственные препараты, подлежащие дополнительному мониторингу.</w:t>
      </w:r>
    </w:p>
    <w:bookmarkEnd w:id="8364"/>
    <w:bookmarkStart w:name="z8537" w:id="8365"/>
    <w:p>
      <w:pPr>
        <w:spacing w:after="0"/>
        <w:ind w:left="0"/>
        <w:jc w:val="left"/>
      </w:pPr>
      <w:r>
        <w:rPr>
          <w:rFonts w:ascii="Times New Roman"/>
          <w:b/>
          <w:i w:val="false"/>
          <w:color w:val="000000"/>
        </w:rPr>
        <w:t xml:space="preserve"> Параграф 3. Критерии включения лекарственного препарата в список дополнительного мониторинга</w:t>
      </w:r>
    </w:p>
    <w:bookmarkEnd w:id="8365"/>
    <w:bookmarkStart w:name="z8538" w:id="8366"/>
    <w:p>
      <w:pPr>
        <w:spacing w:after="0"/>
        <w:ind w:left="0"/>
        <w:jc w:val="both"/>
      </w:pPr>
      <w:r>
        <w:rPr>
          <w:rFonts w:ascii="Times New Roman"/>
          <w:b w:val="false"/>
          <w:i w:val="false"/>
          <w:color w:val="000000"/>
          <w:sz w:val="28"/>
        </w:rPr>
        <w:t>
      441. В список лекарственных препаратов, подлежащих дополнительному мониторингу, включаются следующие категории лекарственных препаратов:</w:t>
      </w:r>
    </w:p>
    <w:bookmarkEnd w:id="8366"/>
    <w:bookmarkStart w:name="z8539" w:id="8367"/>
    <w:p>
      <w:pPr>
        <w:spacing w:after="0"/>
        <w:ind w:left="0"/>
        <w:jc w:val="both"/>
      </w:pPr>
      <w:r>
        <w:rPr>
          <w:rFonts w:ascii="Times New Roman"/>
          <w:b w:val="false"/>
          <w:i w:val="false"/>
          <w:color w:val="000000"/>
          <w:sz w:val="28"/>
        </w:rPr>
        <w:t>
      1) лекарственные препараты, регистрируемые на территории Республики Казахстан, содержащие новое действующее вещество, которое до вступления в силу данных Правил не было зарегистрировано в Республике Казахстан в составе какого-либо лекарственного препарата;</w:t>
      </w:r>
    </w:p>
    <w:bookmarkEnd w:id="8367"/>
    <w:bookmarkStart w:name="z8540" w:id="8368"/>
    <w:p>
      <w:pPr>
        <w:spacing w:after="0"/>
        <w:ind w:left="0"/>
        <w:jc w:val="both"/>
      </w:pPr>
      <w:r>
        <w:rPr>
          <w:rFonts w:ascii="Times New Roman"/>
          <w:b w:val="false"/>
          <w:i w:val="false"/>
          <w:color w:val="000000"/>
          <w:sz w:val="28"/>
        </w:rPr>
        <w:t>
      2) лекарственные препараты биологического происхождения, регистрируемые на территории Республике Казахстан;</w:t>
      </w:r>
    </w:p>
    <w:bookmarkEnd w:id="8368"/>
    <w:bookmarkStart w:name="z8541" w:id="8369"/>
    <w:p>
      <w:pPr>
        <w:spacing w:after="0"/>
        <w:ind w:left="0"/>
        <w:jc w:val="both"/>
      </w:pPr>
      <w:r>
        <w:rPr>
          <w:rFonts w:ascii="Times New Roman"/>
          <w:b w:val="false"/>
          <w:i w:val="false"/>
          <w:color w:val="000000"/>
          <w:sz w:val="28"/>
        </w:rPr>
        <w:t>
      3) лекарственные препараты, на которые уполномоченным органом затребовано выполнение ПРИБ на момент выдачи удостоверения о государственной регистрации или после выдачи удостоверения о государственной регистрации.</w:t>
      </w:r>
    </w:p>
    <w:bookmarkEnd w:id="8369"/>
    <w:bookmarkStart w:name="z8542" w:id="8370"/>
    <w:p>
      <w:pPr>
        <w:spacing w:after="0"/>
        <w:ind w:left="0"/>
        <w:jc w:val="both"/>
      </w:pPr>
      <w:r>
        <w:rPr>
          <w:rFonts w:ascii="Times New Roman"/>
          <w:b w:val="false"/>
          <w:i w:val="false"/>
          <w:color w:val="000000"/>
          <w:sz w:val="28"/>
        </w:rPr>
        <w:t>
      442. Дополнительные (факультативные) критерии включения. По запросу уполномоченного органа лекарственные препараты включаются в список подлежащих дополнительному мониторингу на основании следующих дополнительных критериев:</w:t>
      </w:r>
    </w:p>
    <w:bookmarkEnd w:id="8370"/>
    <w:bookmarkStart w:name="z8543" w:id="8371"/>
    <w:p>
      <w:pPr>
        <w:spacing w:after="0"/>
        <w:ind w:left="0"/>
        <w:jc w:val="both"/>
      </w:pPr>
      <w:r>
        <w:rPr>
          <w:rFonts w:ascii="Times New Roman"/>
          <w:b w:val="false"/>
          <w:i w:val="false"/>
          <w:color w:val="000000"/>
          <w:sz w:val="28"/>
        </w:rPr>
        <w:t>
      1) рекомендации по применению лекарственного препарата содержат существенные ограничения, необходимые для обеспечения его безопасного и эффективного применения;</w:t>
      </w:r>
    </w:p>
    <w:bookmarkEnd w:id="8371"/>
    <w:bookmarkStart w:name="z8544" w:id="8372"/>
    <w:p>
      <w:pPr>
        <w:spacing w:after="0"/>
        <w:ind w:left="0"/>
        <w:jc w:val="both"/>
      </w:pPr>
      <w:r>
        <w:rPr>
          <w:rFonts w:ascii="Times New Roman"/>
          <w:b w:val="false"/>
          <w:i w:val="false"/>
          <w:color w:val="000000"/>
          <w:sz w:val="28"/>
        </w:rPr>
        <w:t>
      2) уполномоченным органом определено использование иных мер по обеспечению безопасности лекарственного препарата в системе управления рисками;</w:t>
      </w:r>
    </w:p>
    <w:bookmarkEnd w:id="8372"/>
    <w:bookmarkStart w:name="z8545" w:id="8373"/>
    <w:p>
      <w:pPr>
        <w:spacing w:after="0"/>
        <w:ind w:left="0"/>
        <w:jc w:val="both"/>
      </w:pPr>
      <w:r>
        <w:rPr>
          <w:rFonts w:ascii="Times New Roman"/>
          <w:b w:val="false"/>
          <w:i w:val="false"/>
          <w:color w:val="000000"/>
          <w:sz w:val="28"/>
        </w:rPr>
        <w:t>
      3) уполномоченным органом установлено обязательство для держателя регистрационного удостоверения провести пострегистрационное исследование эффективности.</w:t>
      </w:r>
    </w:p>
    <w:bookmarkEnd w:id="8373"/>
    <w:bookmarkStart w:name="z8546" w:id="8374"/>
    <w:p>
      <w:pPr>
        <w:spacing w:after="0"/>
        <w:ind w:left="0"/>
        <w:jc w:val="both"/>
      </w:pPr>
      <w:r>
        <w:rPr>
          <w:rFonts w:ascii="Times New Roman"/>
          <w:b w:val="false"/>
          <w:i w:val="false"/>
          <w:color w:val="000000"/>
          <w:sz w:val="28"/>
        </w:rPr>
        <w:t>
      Решение по включению лекарственного препарата в список подлежащих дополнительному мониторингу учитывает вопрос о целесообразности данного статуса с учетом иных дополнительных мероприятий фармаконадзора, предложенных в плане управления рисками.</w:t>
      </w:r>
    </w:p>
    <w:bookmarkEnd w:id="8374"/>
    <w:bookmarkStart w:name="z8547" w:id="8375"/>
    <w:p>
      <w:pPr>
        <w:spacing w:after="0"/>
        <w:ind w:left="0"/>
        <w:jc w:val="left"/>
      </w:pPr>
      <w:r>
        <w:rPr>
          <w:rFonts w:ascii="Times New Roman"/>
          <w:b/>
          <w:i w:val="false"/>
          <w:color w:val="000000"/>
        </w:rPr>
        <w:t xml:space="preserve"> Параграф 4. Критерии определения начального времени корректировки списка лекарственных препаратов, подлежащих дополнительному мониторингу</w:t>
      </w:r>
    </w:p>
    <w:bookmarkEnd w:id="8375"/>
    <w:bookmarkStart w:name="z8548" w:id="8376"/>
    <w:p>
      <w:pPr>
        <w:spacing w:after="0"/>
        <w:ind w:left="0"/>
        <w:jc w:val="both"/>
      </w:pPr>
      <w:r>
        <w:rPr>
          <w:rFonts w:ascii="Times New Roman"/>
          <w:b w:val="false"/>
          <w:i w:val="false"/>
          <w:color w:val="000000"/>
          <w:sz w:val="28"/>
        </w:rPr>
        <w:t>
      443. Обязательные критерии. Для лекарственных препаратов, содержащих новые действующие вещества, а также для всех лекарственных препаратов биологического происхождения начальный период включения составляет пять лет от даты государственной регистрации на территории Республики Казахстан.</w:t>
      </w:r>
    </w:p>
    <w:bookmarkEnd w:id="8376"/>
    <w:bookmarkStart w:name="z8549" w:id="8377"/>
    <w:p>
      <w:pPr>
        <w:spacing w:after="0"/>
        <w:ind w:left="0"/>
        <w:jc w:val="both"/>
      </w:pPr>
      <w:r>
        <w:rPr>
          <w:rFonts w:ascii="Times New Roman"/>
          <w:b w:val="false"/>
          <w:i w:val="false"/>
          <w:color w:val="000000"/>
          <w:sz w:val="28"/>
        </w:rPr>
        <w:t xml:space="preserve">
      444. Дополнительные критерии. Для лекарственных препаратов, включенных в список на основании установления определенных условий (проведение пострегистрационных исследований безопасности, эффективности, требований к системе управления рисками) период включения в список связан с выполнением соответствующих условий и обязательств, возложенных на держателя регистрационного удостоверения, и определяется уполномоченным органом сообразно их выполнению и получаемым результатам. </w:t>
      </w:r>
    </w:p>
    <w:bookmarkEnd w:id="8377"/>
    <w:bookmarkStart w:name="z8550" w:id="8378"/>
    <w:p>
      <w:pPr>
        <w:spacing w:after="0"/>
        <w:ind w:left="0"/>
        <w:jc w:val="both"/>
      </w:pPr>
      <w:r>
        <w:rPr>
          <w:rFonts w:ascii="Times New Roman"/>
          <w:b w:val="false"/>
          <w:i w:val="false"/>
          <w:color w:val="000000"/>
          <w:sz w:val="28"/>
        </w:rPr>
        <w:t>
      На протяжении жизненного цикла возможно неоднократное включение лекарственного препарата в список подлежащих дополнительному мониторингу.</w:t>
      </w:r>
    </w:p>
    <w:bookmarkEnd w:id="8378"/>
    <w:bookmarkStart w:name="z8551" w:id="8379"/>
    <w:p>
      <w:pPr>
        <w:spacing w:after="0"/>
        <w:ind w:left="0"/>
        <w:jc w:val="left"/>
      </w:pPr>
      <w:r>
        <w:rPr>
          <w:rFonts w:ascii="Times New Roman"/>
          <w:b/>
          <w:i w:val="false"/>
          <w:color w:val="000000"/>
        </w:rPr>
        <w:t xml:space="preserve"> Параграф 5. Обязанности уполномоченной организации</w:t>
      </w:r>
    </w:p>
    <w:bookmarkEnd w:id="8379"/>
    <w:bookmarkStart w:name="z8552" w:id="8380"/>
    <w:p>
      <w:pPr>
        <w:spacing w:after="0"/>
        <w:ind w:left="0"/>
        <w:jc w:val="both"/>
      </w:pPr>
      <w:r>
        <w:rPr>
          <w:rFonts w:ascii="Times New Roman"/>
          <w:b w:val="false"/>
          <w:i w:val="false"/>
          <w:color w:val="000000"/>
          <w:sz w:val="28"/>
        </w:rPr>
        <w:t>
      445. Уполномоченная организация:</w:t>
      </w:r>
    </w:p>
    <w:bookmarkEnd w:id="8380"/>
    <w:bookmarkStart w:name="z8553" w:id="8381"/>
    <w:p>
      <w:pPr>
        <w:spacing w:after="0"/>
        <w:ind w:left="0"/>
        <w:jc w:val="both"/>
      </w:pPr>
      <w:r>
        <w:rPr>
          <w:rFonts w:ascii="Times New Roman"/>
          <w:b w:val="false"/>
          <w:i w:val="false"/>
          <w:color w:val="000000"/>
          <w:sz w:val="28"/>
        </w:rPr>
        <w:t>
      1) обеспечивает представление электронной ссылки на веб-страницу уполномоченной организации, где открыт общий доступ к информации о лекарственном препарате и резюме плана управления рисками;</w:t>
      </w:r>
    </w:p>
    <w:bookmarkEnd w:id="8381"/>
    <w:bookmarkStart w:name="z8554" w:id="8382"/>
    <w:p>
      <w:pPr>
        <w:spacing w:after="0"/>
        <w:ind w:left="0"/>
        <w:jc w:val="both"/>
      </w:pPr>
      <w:r>
        <w:rPr>
          <w:rFonts w:ascii="Times New Roman"/>
          <w:b w:val="false"/>
          <w:i w:val="false"/>
          <w:color w:val="000000"/>
          <w:sz w:val="28"/>
        </w:rPr>
        <w:t>
      2) публикует на веб-портале список лекарственных препаратов, зарегистрированных на территории Республики Казахстан, которые подлежат дополнительному мониторингу. В списке указывается электронная ссылка на веб-страницу уполномоченной организации, где открыт общий доступ к информации о лекарственном препарате и резюме плана управления рисками;</w:t>
      </w:r>
    </w:p>
    <w:bookmarkEnd w:id="8382"/>
    <w:bookmarkStart w:name="z8555" w:id="8383"/>
    <w:p>
      <w:pPr>
        <w:spacing w:after="0"/>
        <w:ind w:left="0"/>
        <w:jc w:val="both"/>
      </w:pPr>
      <w:r>
        <w:rPr>
          <w:rFonts w:ascii="Times New Roman"/>
          <w:b w:val="false"/>
          <w:i w:val="false"/>
          <w:color w:val="000000"/>
          <w:sz w:val="28"/>
        </w:rPr>
        <w:t>
      3) учитывает список подлежащих дополнительному мониторингу лекарственных препаратов при определении частоты и особенностей выполняемых процедур по обнаружению сигналов;</w:t>
      </w:r>
    </w:p>
    <w:bookmarkEnd w:id="8383"/>
    <w:bookmarkStart w:name="z8556" w:id="8384"/>
    <w:p>
      <w:pPr>
        <w:spacing w:after="0"/>
        <w:ind w:left="0"/>
        <w:jc w:val="both"/>
      </w:pPr>
      <w:r>
        <w:rPr>
          <w:rFonts w:ascii="Times New Roman"/>
          <w:b w:val="false"/>
          <w:i w:val="false"/>
          <w:color w:val="000000"/>
          <w:sz w:val="28"/>
        </w:rPr>
        <w:t>
      4) информирует соответствующего держателя регистрационного удостоверения о принятии решения по включению в список лекарственных препаратов, подлежащих дополнительному мониторингу;</w:t>
      </w:r>
    </w:p>
    <w:bookmarkEnd w:id="8384"/>
    <w:bookmarkStart w:name="z8557" w:id="8385"/>
    <w:p>
      <w:pPr>
        <w:spacing w:after="0"/>
        <w:ind w:left="0"/>
        <w:jc w:val="both"/>
      </w:pPr>
      <w:r>
        <w:rPr>
          <w:rFonts w:ascii="Times New Roman"/>
          <w:b w:val="false"/>
          <w:i w:val="false"/>
          <w:color w:val="000000"/>
          <w:sz w:val="28"/>
        </w:rPr>
        <w:t>
      5) предпринимает все надлежащие меры для того, чтобы работники системы здравоохранения и пациенты сообщали о любых подозреваемых нежелательных реакциях на лекарственный препарат, включенное в список подлежащих дополнительному мониторингу;</w:t>
      </w:r>
    </w:p>
    <w:bookmarkEnd w:id="8385"/>
    <w:bookmarkStart w:name="z8558" w:id="8386"/>
    <w:p>
      <w:pPr>
        <w:spacing w:after="0"/>
        <w:ind w:left="0"/>
        <w:jc w:val="both"/>
      </w:pPr>
      <w:r>
        <w:rPr>
          <w:rFonts w:ascii="Times New Roman"/>
          <w:b w:val="false"/>
          <w:i w:val="false"/>
          <w:color w:val="000000"/>
          <w:sz w:val="28"/>
        </w:rPr>
        <w:t>
      6) выполняет ежемесячное обновление списка лекарственных препаратов, подлежащих дополнительному мониторингу.</w:t>
      </w:r>
    </w:p>
    <w:bookmarkEnd w:id="8386"/>
    <w:bookmarkStart w:name="z8559" w:id="8387"/>
    <w:p>
      <w:pPr>
        <w:spacing w:after="0"/>
        <w:ind w:left="0"/>
        <w:jc w:val="left"/>
      </w:pPr>
      <w:r>
        <w:rPr>
          <w:rFonts w:ascii="Times New Roman"/>
          <w:b/>
          <w:i w:val="false"/>
          <w:color w:val="000000"/>
        </w:rPr>
        <w:t xml:space="preserve"> Параграф 6. Обязанности держателей регистрационных удостоверений</w:t>
      </w:r>
    </w:p>
    <w:bookmarkEnd w:id="8387"/>
    <w:bookmarkStart w:name="z8560" w:id="8388"/>
    <w:p>
      <w:pPr>
        <w:spacing w:after="0"/>
        <w:ind w:left="0"/>
        <w:jc w:val="both"/>
      </w:pPr>
      <w:r>
        <w:rPr>
          <w:rFonts w:ascii="Times New Roman"/>
          <w:b w:val="false"/>
          <w:i w:val="false"/>
          <w:color w:val="000000"/>
          <w:sz w:val="28"/>
        </w:rPr>
        <w:t>
      446. Держатель регистрационного удостоверения:</w:t>
      </w:r>
    </w:p>
    <w:bookmarkEnd w:id="8388"/>
    <w:bookmarkStart w:name="z8561" w:id="8389"/>
    <w:p>
      <w:pPr>
        <w:spacing w:after="0"/>
        <w:ind w:left="0"/>
        <w:jc w:val="both"/>
      </w:pPr>
      <w:r>
        <w:rPr>
          <w:rFonts w:ascii="Times New Roman"/>
          <w:b w:val="false"/>
          <w:i w:val="false"/>
          <w:color w:val="000000"/>
          <w:sz w:val="28"/>
        </w:rPr>
        <w:t>
      1) включает в инструкцию по медицинскому применению своих лекарственных препаратов, включенных в список подлежащих дополнительному мониторингу, символ черного треугольника, а также стандартное пояснение о дополнительном мониторинге;</w:t>
      </w:r>
    </w:p>
    <w:bookmarkEnd w:id="8389"/>
    <w:bookmarkStart w:name="z8562" w:id="8390"/>
    <w:p>
      <w:pPr>
        <w:spacing w:after="0"/>
        <w:ind w:left="0"/>
        <w:jc w:val="both"/>
      </w:pPr>
      <w:r>
        <w:rPr>
          <w:rFonts w:ascii="Times New Roman"/>
          <w:b w:val="false"/>
          <w:i w:val="false"/>
          <w:color w:val="000000"/>
          <w:sz w:val="28"/>
        </w:rPr>
        <w:t>
      2) включает информацию о статусе дополнительного мониторинга в любой материал, который распространяться среди работников системы здравоохранения и пациентов, а также приложить все усилия, чтобы стимулировать репортирование нежелательных реакций, после согласования с уполномоченной организацией;</w:t>
      </w:r>
    </w:p>
    <w:bookmarkEnd w:id="8390"/>
    <w:bookmarkStart w:name="z8563" w:id="8391"/>
    <w:p>
      <w:pPr>
        <w:spacing w:after="0"/>
        <w:ind w:left="0"/>
        <w:jc w:val="both"/>
      </w:pPr>
      <w:r>
        <w:rPr>
          <w:rFonts w:ascii="Times New Roman"/>
          <w:b w:val="false"/>
          <w:i w:val="false"/>
          <w:color w:val="000000"/>
          <w:sz w:val="28"/>
        </w:rPr>
        <w:t>
      3) предоставляет уполномоченному органу данные и подтверждения статуса выполнения каких-либо условий, накладываемых уполномоченным органом;</w:t>
      </w:r>
    </w:p>
    <w:bookmarkEnd w:id="8391"/>
    <w:bookmarkStart w:name="z8564" w:id="8392"/>
    <w:p>
      <w:pPr>
        <w:spacing w:after="0"/>
        <w:ind w:left="0"/>
        <w:jc w:val="both"/>
      </w:pPr>
      <w:r>
        <w:rPr>
          <w:rFonts w:ascii="Times New Roman"/>
          <w:b w:val="false"/>
          <w:i w:val="false"/>
          <w:color w:val="000000"/>
          <w:sz w:val="28"/>
        </w:rPr>
        <w:t xml:space="preserve">
      4) предоставляет соответствующие изменения в инструкцию по медицинскому применению и листок-вкладыш по включению или удалению черного символа и стандартизированной пояснительной формулировки. </w:t>
      </w:r>
    </w:p>
    <w:bookmarkEnd w:id="8392"/>
    <w:bookmarkStart w:name="z8565" w:id="8393"/>
    <w:p>
      <w:pPr>
        <w:spacing w:after="0"/>
        <w:ind w:left="0"/>
        <w:jc w:val="left"/>
      </w:pPr>
      <w:r>
        <w:rPr>
          <w:rFonts w:ascii="Times New Roman"/>
          <w:b/>
          <w:i w:val="false"/>
          <w:color w:val="000000"/>
        </w:rPr>
        <w:t xml:space="preserve"> Параграф 7. Черный символ и пояснительная записка</w:t>
      </w:r>
    </w:p>
    <w:bookmarkEnd w:id="8393"/>
    <w:bookmarkStart w:name="z8566" w:id="8394"/>
    <w:p>
      <w:pPr>
        <w:spacing w:after="0"/>
        <w:ind w:left="0"/>
        <w:jc w:val="both"/>
      </w:pPr>
      <w:r>
        <w:rPr>
          <w:rFonts w:ascii="Times New Roman"/>
          <w:b w:val="false"/>
          <w:i w:val="false"/>
          <w:color w:val="000000"/>
          <w:sz w:val="28"/>
        </w:rPr>
        <w:t>
      447. Для лекарственных препаратов, включенных в список подлежащих дополнительному мониторингу, инструкция по медицинскому применению и листок-вкладыш содержат обозначение перевернутого черного равнобедренного треугольника, которое сопровождается следующей пояснительной надписью:</w:t>
      </w:r>
    </w:p>
    <w:bookmarkEnd w:id="8394"/>
    <w:bookmarkStart w:name="z8567" w:id="8395"/>
    <w:p>
      <w:pPr>
        <w:spacing w:after="0"/>
        <w:ind w:left="0"/>
        <w:jc w:val="both"/>
      </w:pPr>
      <w:r>
        <w:rPr>
          <w:rFonts w:ascii="Times New Roman"/>
          <w:b w:val="false"/>
          <w:i w:val="false"/>
          <w:color w:val="000000"/>
          <w:sz w:val="28"/>
        </w:rPr>
        <w:t>
      Данный лекарственный препарат подлежит дополнительному мониторингу. Это позволит быстро выявить новую информацию по безопасности. Мы обращаемся к работникам системы здравоохранения с просьбой сообщать о любых подозреваемых нежелательных реакциях".</w:t>
      </w:r>
    </w:p>
    <w:bookmarkEnd w:id="8395"/>
    <w:bookmarkStart w:name="z8568" w:id="8396"/>
    <w:p>
      <w:pPr>
        <w:spacing w:after="0"/>
        <w:ind w:left="0"/>
        <w:jc w:val="both"/>
      </w:pPr>
      <w:r>
        <w:rPr>
          <w:rFonts w:ascii="Times New Roman"/>
          <w:b w:val="false"/>
          <w:i w:val="false"/>
          <w:color w:val="000000"/>
          <w:sz w:val="28"/>
        </w:rPr>
        <w:t>
      После того как лекарственный препарат включен в список или удален из него, держатель регистрационного удостоверения вносит соответствующие изменения в инструкцию по медицинскому применению, чтобы включить или удалить, в зависимости от обстоятельств, черный символ, заявление и стандартную пояснительную записку. Если решение о включении лекарственного препарата в список или удалении из списка делается при выполнении нормативной процедуры (в частности, процедуры государственной регистрации (перерегистрации), внесения изменений в инструкцию по медицинскому применению), то содержание инструкции по медицинскому применению требуется обновить до завершения процедуры, чтобы включить в информацию о лекарственном препарате или удалить из нее черный треугольник и стандартную пояснительную записку. Если решение о включении лекарственного препарата в список или удалении из него принимается вне рамок проведения процедуры регистрации, то держатель регистрационного удостоверения обязан в установленном порядке внести соответствующие изменения в инструкцию по медицинскому применению.</w:t>
      </w:r>
    </w:p>
    <w:bookmarkEnd w:id="8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