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8f26" w14:textId="dc48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5 апреля 2021 года № 259. Зарегистрирован в Министерстве юстиции Республики Казахстан 7 апреля 2021 года № 22502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под № 20771, опубликован 4 июня 2020 года в Эталонном контрольном банке нормативных правовых актов Республики Казахстан в электронном виде),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2"/>
    <w:bookmarkStart w:name="z7" w:id="3"/>
    <w:p>
      <w:pPr>
        <w:spacing w:after="0"/>
        <w:ind w:left="0"/>
        <w:jc w:val="both"/>
      </w:pPr>
      <w:r>
        <w:rPr>
          <w:rFonts w:ascii="Times New Roman"/>
          <w:b w:val="false"/>
          <w:i w:val="false"/>
          <w:color w:val="000000"/>
          <w:sz w:val="28"/>
        </w:rPr>
        <w:t xml:space="preserve">
      пункт 8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85"/>
        <w:gridCol w:w="10702"/>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 в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настоящим Правилам (далее – заявление).</w:t>
            </w:r>
            <w:r>
              <w:br/>
            </w:r>
            <w:r>
              <w:rPr>
                <w:rFonts w:ascii="Times New Roman"/>
                <w:b w:val="false"/>
                <w:i w:val="false"/>
                <w:color w:val="000000"/>
                <w:sz w:val="20"/>
              </w:rPr>
              <w:t>
</w:t>
            </w:r>
            <w:r>
              <w:rPr>
                <w:rFonts w:ascii="Times New Roman"/>
                <w:b w:val="false"/>
                <w:i w:val="false"/>
                <w:color w:val="000000"/>
                <w:sz w:val="20"/>
              </w:rPr>
              <w:t>Юридическое лицо, в доле которого участвует государство, представляет заявление с отметкой реестродержателя;</w:t>
            </w:r>
            <w:r>
              <w:br/>
            </w:r>
            <w:r>
              <w:rPr>
                <w:rFonts w:ascii="Times New Roman"/>
                <w:b w:val="false"/>
                <w:i w:val="false"/>
                <w:color w:val="000000"/>
                <w:sz w:val="20"/>
              </w:rPr>
              <w:t>
</w:t>
            </w:r>
            <w:r>
              <w:rPr>
                <w:rFonts w:ascii="Times New Roman"/>
                <w:b w:val="false"/>
                <w:i w:val="false"/>
                <w:color w:val="000000"/>
                <w:sz w:val="20"/>
              </w:rPr>
              <w:t>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подачи электронного заявления. В случае, если юридическое лицо является субъектом частного предпринимательства, скрепление документов печатью не требуется;</w:t>
            </w:r>
            <w:r>
              <w:br/>
            </w:r>
            <w:r>
              <w:rPr>
                <w:rFonts w:ascii="Times New Roman"/>
                <w:b w:val="false"/>
                <w:i w:val="false"/>
                <w:color w:val="000000"/>
                <w:sz w:val="20"/>
              </w:rPr>
              <w:t>
</w:t>
            </w:r>
            <w:r>
              <w:rPr>
                <w:rFonts w:ascii="Times New Roman"/>
                <w:b w:val="false"/>
                <w:i w:val="false"/>
                <w:color w:val="000000"/>
                <w:sz w:val="20"/>
              </w:rPr>
              <w:t>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r>
              <w:br/>
            </w:r>
            <w:r>
              <w:rPr>
                <w:rFonts w:ascii="Times New Roman"/>
                <w:b w:val="false"/>
                <w:i w:val="false"/>
                <w:color w:val="000000"/>
                <w:sz w:val="20"/>
              </w:rPr>
              <w:t>
</w:t>
            </w:r>
            <w:r>
              <w:rPr>
                <w:rFonts w:ascii="Times New Roman"/>
                <w:b w:val="false"/>
                <w:i w:val="false"/>
                <w:color w:val="000000"/>
                <w:sz w:val="20"/>
              </w:rPr>
              <w:t>нотариально удостоверенный устав (положение) с внесенными изменениями и дополнениями либо текст внесенных изменений и дополнений в устав акционерного общества, положение о филиале (представительстве);</w:t>
            </w:r>
            <w:r>
              <w:br/>
            </w:r>
            <w:r>
              <w:rPr>
                <w:rFonts w:ascii="Times New Roman"/>
                <w:b w:val="false"/>
                <w:i w:val="false"/>
                <w:color w:val="000000"/>
                <w:sz w:val="20"/>
              </w:rPr>
              <w:t>
</w:t>
            </w:r>
            <w:r>
              <w:rPr>
                <w:rFonts w:ascii="Times New Roman"/>
                <w:b w:val="false"/>
                <w:i w:val="false"/>
                <w:color w:val="000000"/>
                <w:sz w:val="20"/>
              </w:rPr>
              <w:t>подлинники прежних учредительных документов юридического лица, не относящегося к субъекту частного предпринимательства, за исключением акционерных обществ, положений о филиалах (представительствах);</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бюджет регистрационного сбора за государственную перерегистрацию юридического лица, являющегося некоммерческой организацией, или учетную перерегистрацию его филиала (представительства);</w:t>
            </w:r>
            <w:r>
              <w:br/>
            </w:r>
            <w:r>
              <w:rPr>
                <w:rFonts w:ascii="Times New Roman"/>
                <w:b w:val="false"/>
                <w:i w:val="false"/>
                <w:color w:val="000000"/>
                <w:sz w:val="20"/>
              </w:rPr>
              <w:t>
</w:t>
            </w:r>
            <w:r>
              <w:rPr>
                <w:rFonts w:ascii="Times New Roman"/>
                <w:b w:val="false"/>
                <w:i w:val="false"/>
                <w:color w:val="000000"/>
                <w:sz w:val="20"/>
              </w:rPr>
              <w:t>документ, подтверждающий уплату в Государственную корпорацию "Правительство для граждан" за государственную перерегистрацию юридического лица, являющегося коммерческой организацией, или учетную перерегистрацию его филиала (представительства).</w:t>
            </w:r>
            <w:r>
              <w:br/>
            </w:r>
            <w:r>
              <w:rPr>
                <w:rFonts w:ascii="Times New Roman"/>
                <w:b w:val="false"/>
                <w:i w:val="false"/>
                <w:color w:val="000000"/>
                <w:sz w:val="20"/>
              </w:rPr>
              <w:t>
</w:t>
            </w:r>
            <w:r>
              <w:rPr>
                <w:rFonts w:ascii="Times New Roman"/>
                <w:b w:val="false"/>
                <w:i w:val="false"/>
                <w:color w:val="000000"/>
                <w:sz w:val="20"/>
              </w:rPr>
              <w:t>Филиалы и представительства подлежат перерегистрации в случае изменения наименования.</w:t>
            </w:r>
            <w:r>
              <w:br/>
            </w:r>
            <w:r>
              <w:rPr>
                <w:rFonts w:ascii="Times New Roman"/>
                <w:b w:val="false"/>
                <w:i w:val="false"/>
                <w:color w:val="000000"/>
                <w:sz w:val="20"/>
              </w:rPr>
              <w:t>
</w:t>
            </w:r>
            <w:r>
              <w:rPr>
                <w:rFonts w:ascii="Times New Roman"/>
                <w:b w:val="false"/>
                <w:i w:val="false"/>
                <w:color w:val="000000"/>
                <w:sz w:val="20"/>
              </w:rPr>
              <w:t>2) на портале:</w:t>
            </w:r>
            <w:r>
              <w:br/>
            </w:r>
            <w:r>
              <w:rPr>
                <w:rFonts w:ascii="Times New Roman"/>
                <w:b w:val="false"/>
                <w:i w:val="false"/>
                <w:color w:val="000000"/>
                <w:sz w:val="20"/>
              </w:rPr>
              <w:t>
</w:t>
            </w:r>
            <w:r>
              <w:rPr>
                <w:rFonts w:ascii="Times New Roman"/>
                <w:b w:val="false"/>
                <w:i w:val="false"/>
                <w:color w:val="000000"/>
                <w:sz w:val="20"/>
              </w:rPr>
              <w:t>для государственной перерегистрации юридических лиц, относящихся к субъектам частного предпринимательства, учредителем (учредителями):</w:t>
            </w:r>
            <w:r>
              <w:br/>
            </w:r>
            <w:r>
              <w:rPr>
                <w:rFonts w:ascii="Times New Roman"/>
                <w:b w:val="false"/>
                <w:i w:val="false"/>
                <w:color w:val="000000"/>
                <w:sz w:val="20"/>
              </w:rPr>
              <w:t>
</w:t>
            </w:r>
            <w:r>
              <w:rPr>
                <w:rFonts w:ascii="Times New Roman"/>
                <w:b w:val="false"/>
                <w:i w:val="false"/>
                <w:color w:val="000000"/>
                <w:sz w:val="20"/>
              </w:rPr>
              <w:t>электронное заявление;</w:t>
            </w:r>
            <w:r>
              <w:br/>
            </w:r>
            <w:r>
              <w:rPr>
                <w:rFonts w:ascii="Times New Roman"/>
                <w:b w:val="false"/>
                <w:i w:val="false"/>
                <w:color w:val="000000"/>
                <w:sz w:val="20"/>
              </w:rPr>
              <w:t>
</w:t>
            </w:r>
            <w:r>
              <w:rPr>
                <w:rFonts w:ascii="Times New Roman"/>
                <w:b w:val="false"/>
                <w:i w:val="false"/>
                <w:color w:val="000000"/>
                <w:sz w:val="20"/>
              </w:rPr>
              <w:t>при уменьшении размера уставного капитала и оповещении в печатных изданиях сканированную копию вырезки о публикации;</w:t>
            </w:r>
            <w:r>
              <w:br/>
            </w:r>
            <w:r>
              <w:rPr>
                <w:rFonts w:ascii="Times New Roman"/>
                <w:b w:val="false"/>
                <w:i w:val="false"/>
                <w:color w:val="000000"/>
                <w:sz w:val="20"/>
              </w:rPr>
              <w:t>
</w:t>
            </w:r>
            <w:r>
              <w:rPr>
                <w:rFonts w:ascii="Times New Roman"/>
                <w:b w:val="false"/>
                <w:i w:val="false"/>
                <w:color w:val="000000"/>
                <w:sz w:val="20"/>
              </w:rPr>
              <w:t>сканированную копию квитанции /платежного поручения в случае, если услугополучатель не выбрал способ оплаты государственного сбора за оказание услуги посредством ПШЭП;</w:t>
            </w:r>
            <w:r>
              <w:br/>
            </w:r>
            <w:r>
              <w:rPr>
                <w:rFonts w:ascii="Times New Roman"/>
                <w:b w:val="false"/>
                <w:i w:val="false"/>
                <w:color w:val="000000"/>
                <w:sz w:val="20"/>
              </w:rPr>
              <w:t>
</w:t>
            </w:r>
            <w:r>
              <w:rPr>
                <w:rFonts w:ascii="Times New Roman"/>
                <w:b w:val="false"/>
                <w:i w:val="false"/>
                <w:color w:val="000000"/>
                <w:sz w:val="20"/>
              </w:rPr>
              <w:t>при изменении места нахождения:</w:t>
            </w:r>
            <w:r>
              <w:br/>
            </w:r>
            <w:r>
              <w:rPr>
                <w:rFonts w:ascii="Times New Roman"/>
                <w:b w:val="false"/>
                <w:i w:val="false"/>
                <w:color w:val="000000"/>
                <w:sz w:val="20"/>
              </w:rPr>
              <w:t>
</w:t>
            </w:r>
            <w:r>
              <w:rPr>
                <w:rFonts w:ascii="Times New Roman"/>
                <w:b w:val="false"/>
                <w:i w:val="false"/>
                <w:color w:val="000000"/>
                <w:sz w:val="20"/>
              </w:rPr>
              <w:t>в случае права собственности на объект недвижимости: электронное подтверждение от Государственной базы данных "Регистр недвижимости" (далее – ГБД РН) о зарегистрированном на бизнес-идентификационный номер услугополучателя праве собственности на первичный или вторичный объект недвижимости, расположенный по адресу, указанному услугополучателем, подписанное ЭЦП ГБД РН;</w:t>
            </w:r>
            <w:r>
              <w:br/>
            </w:r>
            <w:r>
              <w:rPr>
                <w:rFonts w:ascii="Times New Roman"/>
                <w:b w:val="false"/>
                <w:i w:val="false"/>
                <w:color w:val="000000"/>
                <w:sz w:val="20"/>
              </w:rPr>
              <w:t>
</w:t>
            </w:r>
            <w:r>
              <w:rPr>
                <w:rFonts w:ascii="Times New Roman"/>
                <w:b w:val="false"/>
                <w:i w:val="false"/>
                <w:color w:val="000000"/>
                <w:sz w:val="20"/>
              </w:rPr>
              <w:t>в случае аренды помещения у юридического лица: сканированная копия договора аренды. В случае аренды помещения у физического лица: сканированная копия нотариально засвидетельствованного согласия физического лица о предоставлении помещения в качестве места нахождения юридического лица;</w:t>
            </w:r>
            <w:r>
              <w:br/>
            </w:r>
            <w:r>
              <w:rPr>
                <w:rFonts w:ascii="Times New Roman"/>
                <w:b w:val="false"/>
                <w:i w:val="false"/>
                <w:color w:val="000000"/>
                <w:sz w:val="20"/>
              </w:rPr>
              <w:t>
</w:t>
            </w:r>
            <w:r>
              <w:rPr>
                <w:rFonts w:ascii="Times New Roman"/>
                <w:b w:val="false"/>
                <w:i w:val="false"/>
                <w:color w:val="000000"/>
                <w:sz w:val="20"/>
              </w:rPr>
              <w:t>в случае субаренды помещения: сканированные копии аренды и субаренды;</w:t>
            </w:r>
            <w:r>
              <w:br/>
            </w:r>
            <w:r>
              <w:rPr>
                <w:rFonts w:ascii="Times New Roman"/>
                <w:b w:val="false"/>
                <w:i w:val="false"/>
                <w:color w:val="000000"/>
                <w:sz w:val="20"/>
              </w:rPr>
              <w:t>
</w:t>
            </w:r>
            <w:r>
              <w:rPr>
                <w:rFonts w:ascii="Times New Roman"/>
                <w:b w:val="false"/>
                <w:i w:val="false"/>
                <w:color w:val="000000"/>
                <w:sz w:val="20"/>
              </w:rPr>
              <w:t>при включении в состав участников нерезидента Республики Казахстан сканированную копию легализованной выписки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r>
              <w:br/>
            </w:r>
            <w:r>
              <w:rPr>
                <w:rFonts w:ascii="Times New Roman"/>
                <w:b w:val="false"/>
                <w:i w:val="false"/>
                <w:color w:val="000000"/>
                <w:sz w:val="20"/>
              </w:rPr>
              <w:t>
</w:t>
            </w:r>
            <w:r>
              <w:rPr>
                <w:rFonts w:ascii="Times New Roman"/>
                <w:b w:val="false"/>
                <w:i w:val="false"/>
                <w:color w:val="000000"/>
                <w:sz w:val="20"/>
              </w:rPr>
              <w:t>при включении в состав участников иностранного лица сканированную копию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 если руководитель введенный новый участник/учредитель является иностранным лицом;</w:t>
            </w:r>
            <w:r>
              <w:br/>
            </w:r>
            <w:r>
              <w:rPr>
                <w:rFonts w:ascii="Times New Roman"/>
                <w:b w:val="false"/>
                <w:i w:val="false"/>
                <w:color w:val="000000"/>
                <w:sz w:val="20"/>
              </w:rPr>
              <w:t>
</w:t>
            </w:r>
            <w:r>
              <w:rPr>
                <w:rFonts w:ascii="Times New Roman"/>
                <w:b w:val="false"/>
                <w:i w:val="false"/>
                <w:color w:val="000000"/>
                <w:sz w:val="20"/>
              </w:rPr>
              <w:t>при изменении состава участников акционерным обществом или хозяйствующим товариществом, у которого ведение реестра участников осуществляется центральным депозитарием, сканированную копию реестра участников, заверенную печатью регистратора.</w:t>
            </w:r>
            <w:r>
              <w:br/>
            </w:r>
            <w:r>
              <w:rPr>
                <w:rFonts w:ascii="Times New Roman"/>
                <w:b w:val="false"/>
                <w:i w:val="false"/>
                <w:color w:val="000000"/>
                <w:sz w:val="20"/>
              </w:rPr>
              <w:t>
</w:t>
            </w:r>
            <w:r>
              <w:rPr>
                <w:rFonts w:ascii="Times New Roman"/>
                <w:b w:val="false"/>
                <w:i w:val="false"/>
                <w:color w:val="000000"/>
                <w:sz w:val="20"/>
              </w:rPr>
              <w:t>Электронное заявление подписывается ЭЦП услугополучателя. В случае, если уполномоченное лицо услугополучателя не является его руководителем, то заявление согласовывается с руководителем. Для юридического лица за исключением хозяйственных товариществ, акционерных обществ и производственных кооперативов электронное заявление должно быть согласовано на ПЭП с его участниками. Для филиала (представительства) – руководителем его юридического лица.</w:t>
            </w:r>
            <w:r>
              <w:br/>
            </w:r>
            <w:r>
              <w:rPr>
                <w:rFonts w:ascii="Times New Roman"/>
                <w:b w:val="false"/>
                <w:i w:val="false"/>
                <w:color w:val="000000"/>
                <w:sz w:val="20"/>
              </w:rPr>
              <w:t>
</w:t>
            </w:r>
            <w:r>
              <w:rPr>
                <w:rFonts w:ascii="Times New Roman"/>
                <w:b w:val="false"/>
                <w:i w:val="false"/>
                <w:color w:val="000000"/>
                <w:sz w:val="20"/>
              </w:rPr>
              <w:t>Для государственной перерегистрации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производится профессиональным участником рынка ценных бумаг, осуществляющим деятельность по ведению системы реестров держателей ценных бумаг, представляется договор отчуждения (уступки) права выбывающего участника хозяйственного товарищества на долю в имуществе (уставном капитале) товарищества или ее часть в соответствии с законами Республики Казахстан и учредительными документами.</w:t>
            </w:r>
            <w:r>
              <w:br/>
            </w:r>
            <w:r>
              <w:rPr>
                <w:rFonts w:ascii="Times New Roman"/>
                <w:b w:val="false"/>
                <w:i w:val="false"/>
                <w:color w:val="000000"/>
                <w:sz w:val="20"/>
              </w:rPr>
              <w:t>
Договор отчуждения (уступки) права выбывающего участника хозяйственного товарищества на долю в имуществе (уставном капитале) товарищества или ее часть, стороной которого является физическое лицо, подлежит нотариальному удостоверению.</w:t>
            </w:r>
          </w:p>
          <w:bookmarkEnd w:id="5"/>
        </w:tc>
      </w:tr>
    </w:tbl>
    <w:bookmarkStart w:name="z33" w:id="6"/>
    <w:p>
      <w:pPr>
        <w:spacing w:after="0"/>
        <w:ind w:left="0"/>
        <w:jc w:val="both"/>
      </w:pPr>
      <w:r>
        <w:rPr>
          <w:rFonts w:ascii="Times New Roman"/>
          <w:b w:val="false"/>
          <w:i w:val="false"/>
          <w:color w:val="000000"/>
          <w:sz w:val="28"/>
        </w:rPr>
        <w:t>
      ".</w:t>
      </w:r>
    </w:p>
    <w:bookmarkEnd w:id="6"/>
    <w:bookmarkStart w:name="z34" w:id="7"/>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 и опубликование приказа на официальном интернет-ресурсе Министерства юстиции Республики Казахстан.</w:t>
      </w:r>
    </w:p>
    <w:bookmarkEnd w:id="7"/>
    <w:bookmarkStart w:name="z3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 - министра юстиции Республики Казахстан.</w:t>
      </w:r>
    </w:p>
    <w:bookmarkEnd w:id="8"/>
    <w:bookmarkStart w:name="z36"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38"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