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4af66" w14:textId="df4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19 апреля 2021 года № 236. Зарегистрирован в Министерстве юстиции Республики Казахстан 21 апреля 2021 года № 22583.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26-26) пункта 2 статьи 22 Закона Республики Казахстан "Об обороне и Вооруженных Силах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обороны РК от 04.03.2024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расквартирования войск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2021 года № 236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 (далее – Правила) определяют порядок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ответственное структурное подразделение – структурное подразделение уполномоченного государственного органа соответствующей отрасли, на которые возложены функции по учету земельных участков;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участок – выделенная в замкнутых границах часть земли, закрепляемая в установленном 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за субъектами земельных отношений;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частный партнер – индивидуальный предприниматель, простое товарищество, консорциум или юридическое лицо, за исключением лиц, выступающих государственными партнерами в соответствии с законодательством в области государственного-частного партнерства, заключивший договор государственно-частного партнерства;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сектора, пятьдесят и более процентов голосующих акций (долей участия в уставном капитале) которых прямо или косвенно принадлежат государству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концессии – письменное соглашение между концедентом и концессионером, определяющее права, обязанности и ответственность сторон, условия реализации концессии;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оборонные объекты Вооруженных Сил Республики Казахстан – недвижимое имущество, закрепленное на праве оперативного управления за государственными учреждениями Вооруженных Сил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государственно-частного партнерства – письменное соглашение, определяющее права, обязанности и ответственность сторон договора государственно-частного партнерства, иные условия договора государственно-частного партнерства в рамках реализации проекта государственно-частного партнерства;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государственный орган соответствующей отрасли – Министерство обороны Республики Казахстан.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земельного участка во временное безвозмездное пользование по договорам государственно-частного партнерства, в том числе по договору концессии для строительства, реконструкции и эксплуатации оборонных объектов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земельного участка, подлежащего предоставлению во временное безвозмездное пользование по договорам государственно-частного партнерства, в том числе по договору концессии, осуществляется начальником гарнизона по представлению начальника районной эксплуатационной части.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итогам выбора земельного участка, подлежащего предоставлению во временное безвозмездное пользование по договорам государственно-частного партнерства, в том числе по договору концессии, составляется акт выбора земельного участка, согласно приложению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выбора земельного участка в течение пяти рабочих дней со дня его утверждения направляется в ответственное структурное подразделение.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Ответственное структурное подразделение в течение тридцати рабочих дней со дня получения утвержденного акта выбора земельного участка формирует перечень земельных участков, подлежащих предоставлению во временное безвозмездное пользование частному партнеру или концессионеру, и согласовывает его первым руководителем уполномоченного государственного органа соответствующей отрасли.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разделе земельного участка, подлежащего предоставлению во временное безвозмездное пользование частному партнеру или концессионеру, изготавливается землеустроительный проект,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землеустроительного проекта по формированию земельных участков, утвержденных приказом Министра сельского хозяйства Республики Казахстан от 3 июня 2022 года № 180 (зарегистрирован в Реестре государственной регистрации нормативных правовых актов под № 28399).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утверждения землеустроительного проекта проводится изготовление идентификационного документа на земельный участок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"Изготовление и выдача идентификационного документа на земельный участок", утвержденных приказом Министра сельского хозяйства Республики Казахстан от 1 октября 2020 года № 301 (зарегистрирован в Реестре государственной регистрации нормативных правовых актов под № 21366).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обороны РК от 04.03.2024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Предоставление земельного участка во временное безвозмездное пользование для строительства, реконструкции и эксплуатации оборонных объектов Вооруженных Сил Республики Казахстан осуществляется на основании заключенного договора государственно-частного партнерства, в том числе по договору концессии.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Земельные участки сдаются частному партнеру или концессионеру на срок действия договора государственно-частного партнерства, в том числе по договору концессии.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временное безвозмездное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 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частного партнерства,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по договору концессии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реконструкции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оборонных объектов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8" w:id="29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 для подписи и печати)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выбора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"____" _____________ 20____ года № ____</w:t>
      </w:r>
    </w:p>
    <w:bookmarkEnd w:id="30"/>
    <w:p>
      <w:pPr>
        <w:spacing w:after="0"/>
        <w:ind w:left="0"/>
        <w:jc w:val="both"/>
      </w:pPr>
      <w:bookmarkStart w:name="z40" w:id="31"/>
      <w:r>
        <w:rPr>
          <w:rFonts w:ascii="Times New Roman"/>
          <w:b w:val="false"/>
          <w:i w:val="false"/>
          <w:color w:val="000000"/>
          <w:sz w:val="28"/>
        </w:rPr>
        <w:t>
      Настоящий акт о том, что произведена рекогносцировка района и обследование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участка для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оборонного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Целевое использование земельного участка:_________________________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Площадь земельного участка (гектар)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Срок (лет)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Дополнительные сведения об участке и объекте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(этажность объекта, площадь планируемого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основании материалов обследования земельного участка: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1. Считать возможным предоставление земельного участка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(адрес (местоположение)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строительства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объекта строительства)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При использовании земельного участка необходимо соблюдать: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Должностное лицо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(Ф.И.О.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 __________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