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ef51" w14:textId="130e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подушевого нормативного финансирования государственного творческого заказа</w:t>
      </w:r>
    </w:p>
    <w:p>
      <w:pPr>
        <w:spacing w:after="0"/>
        <w:ind w:left="0"/>
        <w:jc w:val="both"/>
      </w:pPr>
      <w:r>
        <w:rPr>
          <w:rFonts w:ascii="Times New Roman"/>
          <w:b w:val="false"/>
          <w:i w:val="false"/>
          <w:color w:val="000000"/>
          <w:sz w:val="28"/>
        </w:rPr>
        <w:t>Приказ Министра культуры и спорта Республики Казахстан от 27 апреля 2021 года № 113. Зарегистрирован в Министерстве юстиции Республики Казахстан 27 апреля 2021 года № 22634.</w:t>
      </w:r>
    </w:p>
    <w:p>
      <w:pPr>
        <w:spacing w:after="0"/>
        <w:ind w:left="0"/>
        <w:jc w:val="both"/>
      </w:pPr>
      <w:bookmarkStart w:name="z4" w:id="0"/>
      <w:r>
        <w:rPr>
          <w:rFonts w:ascii="Times New Roman"/>
          <w:b w:val="false"/>
          <w:i w:val="false"/>
          <w:color w:val="ff0000"/>
          <w:sz w:val="28"/>
        </w:rPr>
        <w:t>
      Сноска. Вводится в действие с 01.05.2021 в соответствии с пунктом 4 настоящего приказа.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35-13)</w:t>
      </w:r>
      <w:r>
        <w:rPr>
          <w:rFonts w:ascii="Times New Roman"/>
          <w:b w:val="false"/>
          <w:i w:val="false"/>
          <w:color w:val="000000"/>
          <w:sz w:val="28"/>
        </w:rPr>
        <w:t xml:space="preserve"> статьи 7 Закона Республики Казахстан "О культуре"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15.09.2022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подушевого нормативного финансирования государственного творческого заказа.</w:t>
      </w:r>
    </w:p>
    <w:bookmarkEnd w:id="2"/>
    <w:bookmarkStart w:name="z7" w:id="3"/>
    <w:p>
      <w:pPr>
        <w:spacing w:after="0"/>
        <w:ind w:left="0"/>
        <w:jc w:val="both"/>
      </w:pPr>
      <w:r>
        <w:rPr>
          <w:rFonts w:ascii="Times New Roman"/>
          <w:b w:val="false"/>
          <w:i w:val="false"/>
          <w:color w:val="000000"/>
          <w:sz w:val="28"/>
        </w:rPr>
        <w:t>
      2.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после введения в действие настоящего приказа размещение его на интернет-ресурсе Министерства культуры и спорта Республики Казахстан;</w:t>
      </w:r>
    </w:p>
    <w:bookmarkEnd w:id="5"/>
    <w:bookmarkStart w:name="z10" w:id="6"/>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мая 2021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культуры и спорта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Раимкулова    </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 xml:space="preserve">образования и науки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 xml:space="preserve">Министерство труда </w:t>
      </w:r>
    </w:p>
    <w:p>
      <w:pPr>
        <w:spacing w:after="0"/>
        <w:ind w:left="0"/>
        <w:jc w:val="both"/>
      </w:pPr>
      <w:r>
        <w:rPr>
          <w:rFonts w:ascii="Times New Roman"/>
          <w:b w:val="false"/>
          <w:i w:val="false"/>
          <w:color w:val="000000"/>
          <w:sz w:val="28"/>
        </w:rPr>
        <w:t>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 xml:space="preserve">национальной экономики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2021 года № 113</w:t>
            </w:r>
          </w:p>
        </w:tc>
      </w:tr>
    </w:tbl>
    <w:bookmarkStart w:name="z20" w:id="10"/>
    <w:p>
      <w:pPr>
        <w:spacing w:after="0"/>
        <w:ind w:left="0"/>
        <w:jc w:val="left"/>
      </w:pPr>
      <w:r>
        <w:rPr>
          <w:rFonts w:ascii="Times New Roman"/>
          <w:b/>
          <w:i w:val="false"/>
          <w:color w:val="000000"/>
        </w:rPr>
        <w:t xml:space="preserve"> Методика подушевого нормативного финансирования государственного творческого заказа</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Настоящая Методика подушевого нормативного финансирования государственного творческого заказа (далее – Методика) разработана в соответствии с </w:t>
      </w:r>
      <w:r>
        <w:rPr>
          <w:rFonts w:ascii="Times New Roman"/>
          <w:b w:val="false"/>
          <w:i w:val="false"/>
          <w:color w:val="000000"/>
          <w:sz w:val="28"/>
        </w:rPr>
        <w:t>подпунктом 35-13)</w:t>
      </w:r>
      <w:r>
        <w:rPr>
          <w:rFonts w:ascii="Times New Roman"/>
          <w:b w:val="false"/>
          <w:i w:val="false"/>
          <w:color w:val="000000"/>
          <w:sz w:val="28"/>
        </w:rPr>
        <w:t xml:space="preserve"> статьи 7 Закона Республики Казахстан "О культуре" и определяет единый подход при расчете подушевого норматива финансирования государственного творческого заказа (далее – государственный заказ).</w:t>
      </w:r>
    </w:p>
    <w:bookmarkEnd w:id="12"/>
    <w:p>
      <w:pPr>
        <w:spacing w:after="0"/>
        <w:ind w:left="0"/>
        <w:jc w:val="both"/>
      </w:pPr>
      <w:r>
        <w:rPr>
          <w:rFonts w:ascii="Times New Roman"/>
          <w:b w:val="false"/>
          <w:i w:val="false"/>
          <w:color w:val="000000"/>
          <w:sz w:val="28"/>
        </w:rPr>
        <w:t xml:space="preserve">
      Методика применяется в отношении списка видов творческих кружков,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(далее – приложение 1), с учетом требований к оказанию услуг видов творческих кружков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приложение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культуры и спорта РК от 15.09.2022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2. В Методике используются следующие понятия:</w:t>
      </w:r>
    </w:p>
    <w:bookmarkEnd w:id="13"/>
    <w:bookmarkStart w:name="z87" w:id="14"/>
    <w:p>
      <w:pPr>
        <w:spacing w:after="0"/>
        <w:ind w:left="0"/>
        <w:jc w:val="both"/>
      </w:pPr>
      <w:r>
        <w:rPr>
          <w:rFonts w:ascii="Times New Roman"/>
          <w:b w:val="false"/>
          <w:i w:val="false"/>
          <w:color w:val="000000"/>
          <w:sz w:val="28"/>
        </w:rPr>
        <w:t>
      1) специальная детская группа – детская группа для занятий по определенном виду творчества, в которую допускается зачисление только детей с особыми образовательными потребностями или детей с ограниченными возможностями одной нозологической группы;</w:t>
      </w:r>
    </w:p>
    <w:bookmarkEnd w:id="14"/>
    <w:bookmarkStart w:name="z88" w:id="15"/>
    <w:p>
      <w:pPr>
        <w:spacing w:after="0"/>
        <w:ind w:left="0"/>
        <w:jc w:val="both"/>
      </w:pPr>
      <w:r>
        <w:rPr>
          <w:rFonts w:ascii="Times New Roman"/>
          <w:b w:val="false"/>
          <w:i w:val="false"/>
          <w:color w:val="000000"/>
          <w:sz w:val="28"/>
        </w:rPr>
        <w:t>
      2) объем подушевого нормативного финансирования – финансирование расходов на текущее обеспечение инфраструктуры, имущества и расходов на осуществление творческого процесса, определяемых исходя из подушевого норматива финансирования;</w:t>
      </w:r>
    </w:p>
    <w:bookmarkEnd w:id="15"/>
    <w:bookmarkStart w:name="z89" w:id="16"/>
    <w:p>
      <w:pPr>
        <w:spacing w:after="0"/>
        <w:ind w:left="0"/>
        <w:jc w:val="both"/>
      </w:pPr>
      <w:r>
        <w:rPr>
          <w:rFonts w:ascii="Times New Roman"/>
          <w:b w:val="false"/>
          <w:i w:val="false"/>
          <w:color w:val="000000"/>
          <w:sz w:val="28"/>
        </w:rPr>
        <w:t>
      3) инклюзивная детская группа – детская группа для занятий по определенному виду творчества, в которую допускается зачисление не более 2 детей на детскую группу с особыми образовательными потребностями или детей с ограниченными возможностями из различных нозологических групп;</w:t>
      </w:r>
    </w:p>
    <w:bookmarkEnd w:id="16"/>
    <w:bookmarkStart w:name="z90" w:id="17"/>
    <w:p>
      <w:pPr>
        <w:spacing w:after="0"/>
        <w:ind w:left="0"/>
        <w:jc w:val="both"/>
      </w:pPr>
      <w:r>
        <w:rPr>
          <w:rFonts w:ascii="Times New Roman"/>
          <w:b w:val="false"/>
          <w:i w:val="false"/>
          <w:color w:val="000000"/>
          <w:sz w:val="28"/>
        </w:rPr>
        <w:t>
      4) интегрированная детская группа – детская группа для занятий по определенному виду творчества, в которую допускается зачисление более 2 детей на детскую группу с особыми образовательными потребностями или детей с ограниченными возможностями из различных нозологических групп;</w:t>
      </w:r>
    </w:p>
    <w:bookmarkEnd w:id="17"/>
    <w:bookmarkStart w:name="z91" w:id="18"/>
    <w:p>
      <w:pPr>
        <w:spacing w:after="0"/>
        <w:ind w:left="0"/>
        <w:jc w:val="both"/>
      </w:pPr>
      <w:r>
        <w:rPr>
          <w:rFonts w:ascii="Times New Roman"/>
          <w:b w:val="false"/>
          <w:i w:val="false"/>
          <w:color w:val="000000"/>
          <w:sz w:val="28"/>
        </w:rPr>
        <w:t>
      5) подушевой норматив финансирования государственного творческого заказа –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 (далее – подушевой норматив финансирования);</w:t>
      </w:r>
    </w:p>
    <w:bookmarkEnd w:id="18"/>
    <w:bookmarkStart w:name="z92" w:id="19"/>
    <w:p>
      <w:pPr>
        <w:spacing w:after="0"/>
        <w:ind w:left="0"/>
        <w:jc w:val="both"/>
      </w:pPr>
      <w:r>
        <w:rPr>
          <w:rFonts w:ascii="Times New Roman"/>
          <w:b w:val="false"/>
          <w:i w:val="false"/>
          <w:color w:val="000000"/>
          <w:sz w:val="28"/>
        </w:rPr>
        <w:t>
      6) нозологическая группа – классификация людей с ограниченными возможностями здоровья на категории, характеризующие их отклонения;</w:t>
      </w:r>
    </w:p>
    <w:bookmarkEnd w:id="19"/>
    <w:bookmarkStart w:name="z93" w:id="20"/>
    <w:p>
      <w:pPr>
        <w:spacing w:after="0"/>
        <w:ind w:left="0"/>
        <w:jc w:val="both"/>
      </w:pPr>
      <w:r>
        <w:rPr>
          <w:rFonts w:ascii="Times New Roman"/>
          <w:b w:val="false"/>
          <w:i w:val="false"/>
          <w:color w:val="000000"/>
          <w:sz w:val="28"/>
        </w:rPr>
        <w:t xml:space="preserve">
      7) поставщик – юридическое лицо или индивидуальный предприниматель независимо от формы собственности, ведомственной подчиненности, кроме организаций образования; </w:t>
      </w:r>
    </w:p>
    <w:bookmarkEnd w:id="20"/>
    <w:bookmarkStart w:name="z94" w:id="21"/>
    <w:p>
      <w:pPr>
        <w:spacing w:after="0"/>
        <w:ind w:left="0"/>
        <w:jc w:val="both"/>
      </w:pPr>
      <w:r>
        <w:rPr>
          <w:rFonts w:ascii="Times New Roman"/>
          <w:b w:val="false"/>
          <w:i w:val="false"/>
          <w:color w:val="000000"/>
          <w:sz w:val="28"/>
        </w:rPr>
        <w:t>
      8) творческий процесс – процесс воспитания, обучения и развития детей, занимающихся в творческих кружках, направленный на интеллектуальное и эмоциональное развитие ребенка.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культуры и спорта РК от 15.09.2022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left"/>
      </w:pPr>
      <w:r>
        <w:rPr>
          <w:rFonts w:ascii="Times New Roman"/>
          <w:b/>
          <w:i w:val="false"/>
          <w:color w:val="000000"/>
        </w:rPr>
        <w:t xml:space="preserve"> Глава 2. Алгоритм расчета подушевого нормативного финансирования государственного творческого заказа</w:t>
      </w:r>
    </w:p>
    <w:bookmarkEnd w:id="22"/>
    <w:p>
      <w:pPr>
        <w:spacing w:after="0"/>
        <w:ind w:left="0"/>
        <w:jc w:val="both"/>
      </w:pPr>
      <w:r>
        <w:rPr>
          <w:rFonts w:ascii="Times New Roman"/>
          <w:b w:val="false"/>
          <w:i w:val="false"/>
          <w:color w:val="ff0000"/>
          <w:sz w:val="28"/>
        </w:rPr>
        <w:t xml:space="preserve">
      Сноска. Заголовок главы 2 - в редакции приказа Министра культуры и спорта РК от 15.09.2022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23"/>
    <w:p>
      <w:pPr>
        <w:spacing w:after="0"/>
        <w:ind w:left="0"/>
        <w:jc w:val="both"/>
      </w:pPr>
      <w:r>
        <w:rPr>
          <w:rFonts w:ascii="Times New Roman"/>
          <w:b w:val="false"/>
          <w:i w:val="false"/>
          <w:color w:val="000000"/>
          <w:sz w:val="28"/>
        </w:rPr>
        <w:t>
      3. Расчет стоимости услуг, оказанных детям поставщиком за отчетный период, осуществляется в соответствии со следующей формулой:</w:t>
      </w:r>
    </w:p>
    <w:bookmarkEnd w:id="23"/>
    <w:bookmarkStart w:name="z35" w:id="24"/>
    <w:p>
      <w:pPr>
        <w:spacing w:after="0"/>
        <w:ind w:left="0"/>
        <w:jc w:val="both"/>
      </w:pPr>
      <w:r>
        <w:rPr>
          <w:rFonts w:ascii="Times New Roman"/>
          <w:b w:val="false"/>
          <w:i w:val="false"/>
          <w:color w:val="000000"/>
          <w:sz w:val="28"/>
        </w:rPr>
        <w:t>
      S = N * T, где:</w:t>
      </w:r>
    </w:p>
    <w:bookmarkEnd w:id="24"/>
    <w:bookmarkStart w:name="z36" w:id="25"/>
    <w:p>
      <w:pPr>
        <w:spacing w:after="0"/>
        <w:ind w:left="0"/>
        <w:jc w:val="both"/>
      </w:pPr>
      <w:r>
        <w:rPr>
          <w:rFonts w:ascii="Times New Roman"/>
          <w:b w:val="false"/>
          <w:i w:val="false"/>
          <w:color w:val="000000"/>
          <w:sz w:val="28"/>
        </w:rPr>
        <w:t>
      S – сумма к оплате, в тенге;</w:t>
      </w:r>
    </w:p>
    <w:bookmarkEnd w:id="25"/>
    <w:bookmarkStart w:name="z37" w:id="26"/>
    <w:p>
      <w:pPr>
        <w:spacing w:after="0"/>
        <w:ind w:left="0"/>
        <w:jc w:val="both"/>
      </w:pPr>
      <w:r>
        <w:rPr>
          <w:rFonts w:ascii="Times New Roman"/>
          <w:b w:val="false"/>
          <w:i w:val="false"/>
          <w:color w:val="000000"/>
          <w:sz w:val="28"/>
        </w:rPr>
        <w:t>
      N – количество фактических посещений в месяц, но не более установленного предела, в соответствии с приложением 2;</w:t>
      </w:r>
    </w:p>
    <w:bookmarkEnd w:id="26"/>
    <w:bookmarkStart w:name="z38" w:id="27"/>
    <w:p>
      <w:pPr>
        <w:spacing w:after="0"/>
        <w:ind w:left="0"/>
        <w:jc w:val="both"/>
      </w:pPr>
      <w:r>
        <w:rPr>
          <w:rFonts w:ascii="Times New Roman"/>
          <w:b w:val="false"/>
          <w:i w:val="false"/>
          <w:color w:val="000000"/>
          <w:sz w:val="28"/>
        </w:rPr>
        <w:t>
      T – стоимость в тенге, за одно занятие.</w:t>
      </w:r>
    </w:p>
    <w:bookmarkEnd w:id="27"/>
    <w:bookmarkStart w:name="z39" w:id="28"/>
    <w:p>
      <w:pPr>
        <w:spacing w:after="0"/>
        <w:ind w:left="0"/>
        <w:jc w:val="both"/>
      </w:pPr>
      <w:r>
        <w:rPr>
          <w:rFonts w:ascii="Times New Roman"/>
          <w:b w:val="false"/>
          <w:i w:val="false"/>
          <w:color w:val="000000"/>
          <w:sz w:val="28"/>
        </w:rPr>
        <w:t>
      Расчет стоимости услуг за занятия с детьми в инклюзивных, интегрированных и специальных группах осуществляется с разделением стоимости расчета для детей с ограниченными возможностями и особыми образовательными потребностями.</w:t>
      </w:r>
    </w:p>
    <w:bookmarkEnd w:id="28"/>
    <w:bookmarkStart w:name="z40" w:id="29"/>
    <w:p>
      <w:pPr>
        <w:spacing w:after="0"/>
        <w:ind w:left="0"/>
        <w:jc w:val="both"/>
      </w:pPr>
      <w:r>
        <w:rPr>
          <w:rFonts w:ascii="Times New Roman"/>
          <w:b w:val="false"/>
          <w:i w:val="false"/>
          <w:color w:val="000000"/>
          <w:sz w:val="28"/>
        </w:rPr>
        <w:t xml:space="preserve">
      4. Расчет стоимости одного занятия осуществляется согласно следующей формуле: </w:t>
      </w:r>
    </w:p>
    <w:bookmarkEnd w:id="29"/>
    <w:bookmarkStart w:name="z41" w:id="30"/>
    <w:p>
      <w:pPr>
        <w:spacing w:after="0"/>
        <w:ind w:left="0"/>
        <w:jc w:val="both"/>
      </w:pPr>
      <w:r>
        <w:rPr>
          <w:rFonts w:ascii="Times New Roman"/>
          <w:b w:val="false"/>
          <w:i w:val="false"/>
          <w:color w:val="000000"/>
          <w:sz w:val="28"/>
        </w:rPr>
        <w:t>
      T = TТОИ + TТП, где</w:t>
      </w:r>
    </w:p>
    <w:bookmarkEnd w:id="30"/>
    <w:bookmarkStart w:name="z42" w:id="31"/>
    <w:p>
      <w:pPr>
        <w:spacing w:after="0"/>
        <w:ind w:left="0"/>
        <w:jc w:val="both"/>
      </w:pPr>
      <w:r>
        <w:rPr>
          <w:rFonts w:ascii="Times New Roman"/>
          <w:b w:val="false"/>
          <w:i w:val="false"/>
          <w:color w:val="000000"/>
          <w:sz w:val="28"/>
        </w:rPr>
        <w:t>
      ТТОИ – расходы на текущее обеспечение инфраструктуры и имущества поставщика;</w:t>
      </w:r>
    </w:p>
    <w:bookmarkEnd w:id="31"/>
    <w:bookmarkStart w:name="z43" w:id="32"/>
    <w:p>
      <w:pPr>
        <w:spacing w:after="0"/>
        <w:ind w:left="0"/>
        <w:jc w:val="both"/>
      </w:pPr>
      <w:r>
        <w:rPr>
          <w:rFonts w:ascii="Times New Roman"/>
          <w:b w:val="false"/>
          <w:i w:val="false"/>
          <w:color w:val="000000"/>
          <w:sz w:val="28"/>
        </w:rPr>
        <w:t>
      TТП – расходы на осуществление творческого процесса.</w:t>
      </w:r>
    </w:p>
    <w:bookmarkEnd w:id="32"/>
    <w:bookmarkStart w:name="z44" w:id="33"/>
    <w:p>
      <w:pPr>
        <w:spacing w:after="0"/>
        <w:ind w:left="0"/>
        <w:jc w:val="both"/>
      </w:pPr>
      <w:r>
        <w:rPr>
          <w:rFonts w:ascii="Times New Roman"/>
          <w:b w:val="false"/>
          <w:i w:val="false"/>
          <w:color w:val="000000"/>
          <w:sz w:val="28"/>
        </w:rPr>
        <w:t>
      5. Расчет расходов ТТОИ одного занятия осуществляется согласно следующей формулы:</w:t>
      </w:r>
    </w:p>
    <w:bookmarkEnd w:id="33"/>
    <w:bookmarkStart w:name="z45" w:id="34"/>
    <w:p>
      <w:pPr>
        <w:spacing w:after="0"/>
        <w:ind w:left="0"/>
        <w:jc w:val="both"/>
      </w:pPr>
      <w:r>
        <w:rPr>
          <w:rFonts w:ascii="Times New Roman"/>
          <w:b w:val="false"/>
          <w:i w:val="false"/>
          <w:color w:val="000000"/>
          <w:sz w:val="28"/>
        </w:rPr>
        <w:t>
      TТОИ = SТОИ + (SТОИ * KРЕГИОН) + (SТОИ + SТОИ * KРЕГИОН) * KТОИ-V, где:</w:t>
      </w:r>
    </w:p>
    <w:bookmarkEnd w:id="34"/>
    <w:bookmarkStart w:name="z46" w:id="35"/>
    <w:p>
      <w:pPr>
        <w:spacing w:after="0"/>
        <w:ind w:left="0"/>
        <w:jc w:val="both"/>
      </w:pPr>
      <w:r>
        <w:rPr>
          <w:rFonts w:ascii="Times New Roman"/>
          <w:b w:val="false"/>
          <w:i w:val="false"/>
          <w:color w:val="000000"/>
          <w:sz w:val="28"/>
        </w:rPr>
        <w:t xml:space="preserve">
      SТОИ – базовая стоимость расходов на текущее обеспечение инфраструктуры и имущества поставщика, исчисляется от ставки минимального расчетного показателя и включает в себя коммунальные услуги, услуги аренды, интернета и телефонной связи, видеонаблюдения, затраты на лицензионное программное обеспечение, проведение текущих ремонтов и прочие текущие затраты за исключением специальных расходных материалов, обеспечивающих функционирование инфраструктуры и ежедневных расходных материалов для проведения занятий. Значение величины показателя для стационарного режима оказания услуг составляет 1МРП * 0,045, для дистанционного режима оказания услуг (с использованием технологий видеоконференцсвязи) составляет 1МРП * 0,01125. </w:t>
      </w:r>
    </w:p>
    <w:bookmarkEnd w:id="35"/>
    <w:bookmarkStart w:name="z47" w:id="36"/>
    <w:p>
      <w:pPr>
        <w:spacing w:after="0"/>
        <w:ind w:left="0"/>
        <w:jc w:val="both"/>
      </w:pPr>
      <w:r>
        <w:rPr>
          <w:rFonts w:ascii="Times New Roman"/>
          <w:b w:val="false"/>
          <w:i w:val="false"/>
          <w:color w:val="000000"/>
          <w:sz w:val="28"/>
        </w:rPr>
        <w:t>
      KРЕГИОН – корректирующий коэффициент на регион оказания услуг поставщиком, в соответствии со значениями, представленными в приложении 3 к настоящей Методике (далее – приложение 3).</w:t>
      </w:r>
    </w:p>
    <w:bookmarkEnd w:id="36"/>
    <w:bookmarkStart w:name="z48" w:id="37"/>
    <w:p>
      <w:pPr>
        <w:spacing w:after="0"/>
        <w:ind w:left="0"/>
        <w:jc w:val="both"/>
      </w:pPr>
      <w:r>
        <w:rPr>
          <w:rFonts w:ascii="Times New Roman"/>
          <w:b w:val="false"/>
          <w:i w:val="false"/>
          <w:color w:val="000000"/>
          <w:sz w:val="28"/>
        </w:rPr>
        <w:t>
      КТОИ-V – корректирующий коэффициент на сложность обеспечения инфраструктуры поставщика в соответствии со значениями, представленными в приложении 2 для каждого вида творчества и включает в себя приобретение специальных расходных материалов, обеспечивающих функционирование инфраструктуры, их обслуживание и ремонт. Применяется для поставщиков, использующих инфраструктуру, требующей специальных расходных материалов и имеет следующий диапазон корректирующих коэффициентов.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для видов творчества, не требующих специальное оснащение для детей с ограниченными возможностями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49" w:id="38"/>
    <w:p>
      <w:pPr>
        <w:spacing w:after="0"/>
        <w:ind w:left="0"/>
        <w:jc w:val="both"/>
      </w:pPr>
      <w:r>
        <w:rPr>
          <w:rFonts w:ascii="Times New Roman"/>
          <w:b w:val="false"/>
          <w:i w:val="false"/>
          <w:color w:val="000000"/>
          <w:sz w:val="28"/>
        </w:rPr>
        <w:t>
      В случае установления ограничительных мер со стороны государства, приводящих к вынужденному простою поставщиков, в том числе по причине карантина, чрезвычайных ситуаций социального, природного и техногенного характера, в результате которых дети не посещают творческий кружок, расчет расходов ТТОИ одного занятия осуществляется в полном объеме за каждое не проведенное занятие в соответствии с формулой пункта 5.</w:t>
      </w:r>
    </w:p>
    <w:bookmarkEnd w:id="38"/>
    <w:bookmarkStart w:name="z50" w:id="39"/>
    <w:p>
      <w:pPr>
        <w:spacing w:after="0"/>
        <w:ind w:left="0"/>
        <w:jc w:val="both"/>
      </w:pPr>
      <w:r>
        <w:rPr>
          <w:rFonts w:ascii="Times New Roman"/>
          <w:b w:val="false"/>
          <w:i w:val="false"/>
          <w:color w:val="000000"/>
          <w:sz w:val="28"/>
        </w:rPr>
        <w:t>
      6. Расчет расходов ТТП одного занятия осуществляется согласно следующей формуле:</w:t>
      </w:r>
    </w:p>
    <w:bookmarkEnd w:id="39"/>
    <w:bookmarkStart w:name="z51" w:id="40"/>
    <w:p>
      <w:pPr>
        <w:spacing w:after="0"/>
        <w:ind w:left="0"/>
        <w:jc w:val="both"/>
      </w:pPr>
      <w:r>
        <w:rPr>
          <w:rFonts w:ascii="Times New Roman"/>
          <w:b w:val="false"/>
          <w:i w:val="false"/>
          <w:color w:val="000000"/>
          <w:sz w:val="28"/>
        </w:rPr>
        <w:t>
      TТП = SТП + SТП * KРЕГИОН + (SТП + SТП * KРЕГИОН) * KТП-ОВ + KТП-М, где:</w:t>
      </w:r>
    </w:p>
    <w:bookmarkEnd w:id="40"/>
    <w:bookmarkStart w:name="z52" w:id="41"/>
    <w:p>
      <w:pPr>
        <w:spacing w:after="0"/>
        <w:ind w:left="0"/>
        <w:jc w:val="both"/>
      </w:pPr>
      <w:r>
        <w:rPr>
          <w:rFonts w:ascii="Times New Roman"/>
          <w:b w:val="false"/>
          <w:i w:val="false"/>
          <w:color w:val="000000"/>
          <w:sz w:val="28"/>
        </w:rPr>
        <w:t>
      SТП – базовая стоимость расходов оплаты труда для осуществления творческого процесса, исчисляется от ставки минимального расчетного показателя и включает в себя оплату труда основного и вспомогательного персонала, социальные отчисления, обязательные пенсионные взносы, взносы и отчисления по обязательному медицинскому страхованию и единого совокупного платежа (для самозанятых лиц), а также расходы, связанные с доплатами и компенсациями оплаты труда, установленные законодательством Республики Казахстан. Значение величины показателя для режима проведения занятий в группах составляет 1МРП * 0,3 для видов творческих кружков средней частоты (8 занятий в месяц) и 1МРП * 0,215 для видов творческих кружков высокой частоты (12 занятий в месяц) согласно приложению 2;</w:t>
      </w:r>
    </w:p>
    <w:bookmarkEnd w:id="41"/>
    <w:bookmarkStart w:name="z53" w:id="42"/>
    <w:p>
      <w:pPr>
        <w:spacing w:after="0"/>
        <w:ind w:left="0"/>
        <w:jc w:val="both"/>
      </w:pPr>
      <w:r>
        <w:rPr>
          <w:rFonts w:ascii="Times New Roman"/>
          <w:b w:val="false"/>
          <w:i w:val="false"/>
          <w:color w:val="000000"/>
          <w:sz w:val="28"/>
        </w:rPr>
        <w:t>
      для индивидуального режима проведения занятий составляет 1МРП * 0,39 для видов творческих кружков средней частоты (8 занятий в месяц) и 1МРП * 0,28 для видов творческих кружков высокой частоты (12 занятий в месяц) согласно приложению 2.</w:t>
      </w:r>
    </w:p>
    <w:bookmarkEnd w:id="42"/>
    <w:bookmarkStart w:name="z54" w:id="43"/>
    <w:p>
      <w:pPr>
        <w:spacing w:after="0"/>
        <w:ind w:left="0"/>
        <w:jc w:val="both"/>
      </w:pPr>
      <w:r>
        <w:rPr>
          <w:rFonts w:ascii="Times New Roman"/>
          <w:b w:val="false"/>
          <w:i w:val="false"/>
          <w:color w:val="000000"/>
          <w:sz w:val="28"/>
        </w:rPr>
        <w:t xml:space="preserve">
      КТП-ОВ – корректирующий коэффициент на необходимость обеспечения творческого процесса специальными учебными программами, адаптированными для детей с ограниченными возможностями или детей с особыми образовательными потребностями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для каждого вида творчества, имеет значение: 1, если необходимость имеется и 0, если необходимость отсутствует.</w:t>
      </w:r>
    </w:p>
    <w:bookmarkEnd w:id="43"/>
    <w:bookmarkStart w:name="z55" w:id="44"/>
    <w:p>
      <w:pPr>
        <w:spacing w:after="0"/>
        <w:ind w:left="0"/>
        <w:jc w:val="both"/>
      </w:pPr>
      <w:r>
        <w:rPr>
          <w:rFonts w:ascii="Times New Roman"/>
          <w:b w:val="false"/>
          <w:i w:val="false"/>
          <w:color w:val="000000"/>
          <w:sz w:val="28"/>
        </w:rPr>
        <w:t>
      KТП-М – затраты на ежедневные расходные материалы для проведения занятия, списываемые после его окончания. Необходимость определяется приложением 2 для каждого вида творчества, исчисляется от ставки минимального расчҰтного показателя и составляет 1МРП * 0,08, если необходимость имеется и 0, если оснащение ежедневными расходными материалами не требуется.</w:t>
      </w:r>
    </w:p>
    <w:bookmarkEnd w:id="44"/>
    <w:bookmarkStart w:name="z56" w:id="45"/>
    <w:p>
      <w:pPr>
        <w:spacing w:after="0"/>
        <w:ind w:left="0"/>
        <w:jc w:val="both"/>
      </w:pPr>
      <w:r>
        <w:rPr>
          <w:rFonts w:ascii="Times New Roman"/>
          <w:b w:val="false"/>
          <w:i w:val="false"/>
          <w:color w:val="000000"/>
          <w:sz w:val="28"/>
        </w:rPr>
        <w:t>
      В случае установления ограничительных мер со стороны государственных органов, приводящих к вынужденному простою поставщиков, в том числе по причине карантина, чрезвычайных ситуаций социального, природного и техногенного характера, в результате которых дети не посещают творческий кружок, расчет расходов ТТП одного занятия осуществляется согласно следующей формулы за каждое не проведенное занятие:</w:t>
      </w:r>
    </w:p>
    <w:bookmarkEnd w:id="45"/>
    <w:bookmarkStart w:name="z57" w:id="46"/>
    <w:p>
      <w:pPr>
        <w:spacing w:after="0"/>
        <w:ind w:left="0"/>
        <w:jc w:val="both"/>
      </w:pPr>
      <w:r>
        <w:rPr>
          <w:rFonts w:ascii="Times New Roman"/>
          <w:b w:val="false"/>
          <w:i w:val="false"/>
          <w:color w:val="000000"/>
          <w:sz w:val="28"/>
        </w:rPr>
        <w:t>
      TТП = SТП + SТП * KРЕГИОН, где SТП – значение величины показателя составляет 1МРП * 0,054.</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творческого заказа</w:t>
            </w:r>
          </w:p>
        </w:tc>
      </w:tr>
    </w:tbl>
    <w:bookmarkStart w:name="z95" w:id="47"/>
    <w:p>
      <w:pPr>
        <w:spacing w:after="0"/>
        <w:ind w:left="0"/>
        <w:jc w:val="left"/>
      </w:pPr>
      <w:r>
        <w:rPr>
          <w:rFonts w:ascii="Times New Roman"/>
          <w:b/>
          <w:i w:val="false"/>
          <w:color w:val="000000"/>
        </w:rPr>
        <w:t xml:space="preserve"> Список видов творческих кружков</w:t>
      </w:r>
    </w:p>
    <w:bookmarkEnd w:id="47"/>
    <w:p>
      <w:pPr>
        <w:spacing w:after="0"/>
        <w:ind w:left="0"/>
        <w:jc w:val="both"/>
      </w:pPr>
      <w:r>
        <w:rPr>
          <w:rFonts w:ascii="Times New Roman"/>
          <w:b w:val="false"/>
          <w:i w:val="false"/>
          <w:color w:val="ff0000"/>
          <w:sz w:val="28"/>
        </w:rPr>
        <w:t xml:space="preserve">
      Сноска. Приложение 1 - в редакции приказа Министра культуры и спорта РК от 15.09.2022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пешей доступности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круглогодичной возможности проведения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массовой тиражируемости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существенного значения для культуры нации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декоративно-прикладного творчества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войлока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 и сценическкая речь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мультиплекация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art-индустрии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 хоровой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*Потенциал пешей доступности — критерий оценки вида творчества по легкости развертывания инфраструктуры поставщика для проведения занятий на основе имеющейся инфраструктуры организаций образования, культуры и спорта, жилой инфраструктуры.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"высокий": возможность развертывания на базе многоквартирных жилых домов, в подвальных, цокольных, коммерческих помещениях;</w:t>
      </w:r>
    </w:p>
    <w:p>
      <w:pPr>
        <w:spacing w:after="0"/>
        <w:ind w:left="0"/>
        <w:jc w:val="both"/>
      </w:pPr>
      <w:r>
        <w:rPr>
          <w:rFonts w:ascii="Times New Roman"/>
          <w:b w:val="false"/>
          <w:i w:val="false"/>
          <w:color w:val="000000"/>
          <w:sz w:val="28"/>
        </w:rPr>
        <w:t>"средний": возможность развертывания на базе организаций образования, объектов и сооружений организаций культуры и спорта;</w:t>
      </w:r>
    </w:p>
    <w:p>
      <w:pPr>
        <w:spacing w:after="0"/>
        <w:ind w:left="0"/>
        <w:jc w:val="both"/>
      </w:pPr>
      <w:r>
        <w:rPr>
          <w:rFonts w:ascii="Times New Roman"/>
          <w:b w:val="false"/>
          <w:i w:val="false"/>
          <w:color w:val="000000"/>
          <w:sz w:val="28"/>
        </w:rPr>
        <w:t>"низкий": возможность развертывания только в условиях специальных сооружений, имеющих специфическое оборудование и помещения и при наличии существенного значения для культуры нации.</w:t>
      </w:r>
    </w:p>
    <w:p>
      <w:pPr>
        <w:spacing w:after="0"/>
        <w:ind w:left="0"/>
        <w:jc w:val="both"/>
      </w:pPr>
      <w:r>
        <w:rPr>
          <w:rFonts w:ascii="Times New Roman"/>
          <w:b w:val="false"/>
          <w:i w:val="false"/>
          <w:color w:val="000000"/>
          <w:sz w:val="28"/>
        </w:rPr>
        <w:t>**Потенциал круглогодичной возможности проведения занятий — критерий оценки вида творчества по наличию или отсутствию специфической зависимости от сезонности и погодных условий.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"да": услуги могут оказываться круглый год;</w:t>
      </w:r>
    </w:p>
    <w:p>
      <w:pPr>
        <w:spacing w:after="0"/>
        <w:ind w:left="0"/>
        <w:jc w:val="both"/>
      </w:pPr>
      <w:r>
        <w:rPr>
          <w:rFonts w:ascii="Times New Roman"/>
          <w:b w:val="false"/>
          <w:i w:val="false"/>
          <w:color w:val="000000"/>
          <w:sz w:val="28"/>
        </w:rPr>
        <w:t>"нет": имеется сезонная зависимость и не подлежит включению в список.</w:t>
      </w:r>
    </w:p>
    <w:p>
      <w:pPr>
        <w:spacing w:after="0"/>
        <w:ind w:left="0"/>
        <w:jc w:val="both"/>
      </w:pPr>
      <w:r>
        <w:rPr>
          <w:rFonts w:ascii="Times New Roman"/>
          <w:b w:val="false"/>
          <w:i w:val="false"/>
          <w:color w:val="000000"/>
          <w:sz w:val="28"/>
        </w:rPr>
        <w:t>***Потенциал массовой тиражируемости — критерий оценки вида творчества по востребованности у населения, связанной с комплексом факторов, в том числе пешей доступностью, стоимостью сопутствующих расходов и исторически сложившейся востребованностью.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
      "высокий": вид творчества пользуется стабильно высоким спросом у широкого круга населения;</w:t>
      </w:r>
    </w:p>
    <w:p>
      <w:pPr>
        <w:spacing w:after="0"/>
        <w:ind w:left="0"/>
        <w:jc w:val="both"/>
      </w:pPr>
      <w:r>
        <w:rPr>
          <w:rFonts w:ascii="Times New Roman"/>
          <w:b w:val="false"/>
          <w:i w:val="false"/>
          <w:color w:val="000000"/>
          <w:sz w:val="28"/>
        </w:rPr>
        <w:t>"средний": вид творчества пользуется умеренным спросом у широкого круга населения;</w:t>
      </w:r>
    </w:p>
    <w:p>
      <w:pPr>
        <w:spacing w:after="0"/>
        <w:ind w:left="0"/>
        <w:jc w:val="both"/>
      </w:pPr>
      <w:r>
        <w:rPr>
          <w:rFonts w:ascii="Times New Roman"/>
          <w:b w:val="false"/>
          <w:i w:val="false"/>
          <w:color w:val="000000"/>
          <w:sz w:val="28"/>
        </w:rPr>
        <w:t>"низкий": вид творчества востребован только в узком кругу населения и имеет существенное значение для культуры нации.</w:t>
      </w:r>
    </w:p>
    <w:p>
      <w:pPr>
        <w:spacing w:after="0"/>
        <w:ind w:left="0"/>
        <w:jc w:val="both"/>
      </w:pPr>
      <w:r>
        <w:rPr>
          <w:rFonts w:ascii="Times New Roman"/>
          <w:b w:val="false"/>
          <w:i w:val="false"/>
          <w:color w:val="000000"/>
          <w:sz w:val="28"/>
        </w:rPr>
        <w:t>****Потенциал существенного значения для культуры нации — критерий оценки вида творчества, применяемый к видам с низкими показателями пешей доступности и массовой тиражируемости. Используется для анализа важности такого вида творчества с точки зрения влияния на культурное и творческое развитие детей той социальной среды, где он востребован.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"да": услуга имеет важное социальное значение;</w:t>
      </w:r>
    </w:p>
    <w:p>
      <w:pPr>
        <w:spacing w:after="0"/>
        <w:ind w:left="0"/>
        <w:jc w:val="both"/>
      </w:pPr>
      <w:r>
        <w:rPr>
          <w:rFonts w:ascii="Times New Roman"/>
          <w:b w:val="false"/>
          <w:i w:val="false"/>
          <w:color w:val="000000"/>
          <w:sz w:val="28"/>
        </w:rPr>
        <w:t>"нет": услуга не имеет явно выраженного социального приоритета согласно статистике объема оказываемых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творческого</w:t>
            </w:r>
            <w:r>
              <w:br/>
            </w:r>
            <w:r>
              <w:rPr>
                <w:rFonts w:ascii="Times New Roman"/>
                <w:b w:val="false"/>
                <w:i w:val="false"/>
                <w:color w:val="000000"/>
                <w:sz w:val="20"/>
              </w:rPr>
              <w:t>заказа</w:t>
            </w:r>
          </w:p>
        </w:tc>
      </w:tr>
    </w:tbl>
    <w:bookmarkStart w:name="z96" w:id="48"/>
    <w:p>
      <w:pPr>
        <w:spacing w:after="0"/>
        <w:ind w:left="0"/>
        <w:jc w:val="left"/>
      </w:pPr>
      <w:r>
        <w:rPr>
          <w:rFonts w:ascii="Times New Roman"/>
          <w:b/>
          <w:i w:val="false"/>
          <w:color w:val="000000"/>
        </w:rPr>
        <w:t xml:space="preserve"> Требования к оказанию услуг видов творческих кружков</w:t>
      </w:r>
    </w:p>
    <w:bookmarkEnd w:id="48"/>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спорта РК от 15.09.2022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творчества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инфраструктуре для проведения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творческому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в месяц (максимальное количество оплачиваемых занятий) на одного ребенка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внутренних отчетных мероприятий в год, на одного ребенка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детей для начала занятий, лет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до 10 лет,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от 10 лет,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инклюзивной или интегрированной группе, человек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специальной группе, человек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сложности оснащения и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специальных учебных программ для детей с ограниченными возможностями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допустимость индивидуального режима проведения занятий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оснащения ежедневными расходными материалами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требования к материально-техническому оснащению</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балетный линолеум или паркет,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кисти, карандаши, ластики, емкости для жидкостей</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карандаши, ластики, чернила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стенды для фото, компьютеры, цветные принтеры, фотоаппараты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гончарный круг, печь для обжига глины, гончарные инструменты, емкости для жидкостей, фартуки, кисти, инструменты для гравировки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доски и стеки, емкости для жидкостей, фартуки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декоративно-прикладного творчества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Ткацкий станок, ножницы, гребень, колотушка, нож-крючок, палочка, столы, стулья,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пяльцы, ножницы, швейные машины, столы, стулья, карандаши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войлока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подложки, наперстки, фильцевальная машинка, пуходерка, ножницы, карандаши,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тиски, напильники, мини-дрели (бормашины), сверла, фрезы, плоскогубцы, круглогубцы, ножницы, кусачки, лупы, бинокуляры,</w:t>
            </w:r>
          </w:p>
          <w:p>
            <w:pPr>
              <w:spacing w:after="20"/>
              <w:ind w:left="20"/>
              <w:jc w:val="both"/>
            </w:pPr>
            <w:r>
              <w:rPr>
                <w:rFonts w:ascii="Times New Roman"/>
                <w:b w:val="false"/>
                <w:i w:val="false"/>
                <w:color w:val="000000"/>
                <w:sz w:val="20"/>
              </w:rPr>
              <w:t>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швейные машины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коврик-мат, ножи для резки,</w:t>
            </w:r>
          </w:p>
          <w:p>
            <w:pPr>
              <w:spacing w:after="20"/>
              <w:ind w:left="20"/>
              <w:jc w:val="both"/>
            </w:pPr>
            <w:r>
              <w:rPr>
                <w:rFonts w:ascii="Times New Roman"/>
                <w:b w:val="false"/>
                <w:i w:val="false"/>
                <w:color w:val="000000"/>
                <w:sz w:val="20"/>
              </w:rPr>
              <w:t>
линейка, маркер для кожи, шило, ножницы, иглы, молоток, стамески, пробойники, тески,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краски для батика, кисти, инструменты для холодного и горячего батика,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ножницы, ножи, доски, линейки, кисти, карандаши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 и сценическая речь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ширма, реквизиты, костюмы,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и предметы в зависимости от вида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куклы, ширмы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мультипликация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видеокамеры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АРТ-индустрии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лампа,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стулья, звуковое оборудование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швейные машины, светильники, ножницы, оверлог, утюг, манекен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секаторы, пластмассовые цветы, ножницы, кусачки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звуковое оборудование с микрофонами, фортепиано или другой родственный инструмент, звукопоглощающая ткань на стенах,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хоровой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столы, пюпитры, аккомпанирующий инструмент (если требуется), звукопоглощающая ткань на стенах, зеркала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исполнительства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школьная или маркерная доска, пюпитры, домбра, звукопоглощающая ткань на стенах, зеркала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интернет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карты, шпатели, лопаты, ковшовый шнек, совок, поддон, просеиватель, флотационное устройство, кисти, весы, перчатки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ручка pH-измеритель, Станок для шифрования переплетной кожи, Электрическая люминесцентная пленка, Аэрозольный генератор реставрационный, Генератор пара, Реставрационный шпатель, Очиститель реставрационный, Музейный Пылесос, Парогенератор-очиститель с функцией всасывания, Реставрационный лазер, Реставрационный Паровой Карандаш, Реставрационные утюжки, прессы, ванны, сушилки, мольберты, резаки, столярные инструменты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трибуны</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Критерий оценки уполномоченным органом в области культуры сложности оснащения и обслуживания инфраструктуры для проведения занятий имеет следующий допустимый перечень значений:</w:t>
      </w:r>
    </w:p>
    <w:p>
      <w:pPr>
        <w:spacing w:after="0"/>
        <w:ind w:left="0"/>
        <w:jc w:val="both"/>
      </w:pPr>
      <w:r>
        <w:rPr>
          <w:rFonts w:ascii="Times New Roman"/>
          <w:b w:val="false"/>
          <w:i w:val="false"/>
          <w:color w:val="000000"/>
          <w:sz w:val="28"/>
        </w:rPr>
        <w:t>"очень 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 в том числе в жилых помещениях и квартирах;</w:t>
      </w:r>
    </w:p>
    <w:p>
      <w:pPr>
        <w:spacing w:after="0"/>
        <w:ind w:left="0"/>
        <w:jc w:val="both"/>
      </w:pPr>
      <w:r>
        <w:rPr>
          <w:rFonts w:ascii="Times New Roman"/>
          <w:b w:val="false"/>
          <w:i w:val="false"/>
          <w:color w:val="000000"/>
          <w:sz w:val="28"/>
        </w:rPr>
        <w:t>"низкая"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w:t>
      </w:r>
    </w:p>
    <w:p>
      <w:pPr>
        <w:spacing w:after="0"/>
        <w:ind w:left="0"/>
        <w:jc w:val="both"/>
      </w:pPr>
      <w:r>
        <w:rPr>
          <w:rFonts w:ascii="Times New Roman"/>
          <w:b w:val="false"/>
          <w:i w:val="false"/>
          <w:color w:val="000000"/>
          <w:sz w:val="28"/>
        </w:rPr>
        <w:t>"средняя" - инфраструктура, которая отвечает критерию пешей доступности, но ввиду наличия специфичного оборудования может быть развернута только на базе действующей инфраструктуры организаций образования, объектов и сооружений организаций культуры и 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творческого заказа</w:t>
            </w:r>
          </w:p>
        </w:tc>
      </w:tr>
    </w:tbl>
    <w:bookmarkStart w:name="z97" w:id="49"/>
    <w:p>
      <w:pPr>
        <w:spacing w:after="0"/>
        <w:ind w:left="0"/>
        <w:jc w:val="left"/>
      </w:pPr>
      <w:r>
        <w:rPr>
          <w:rFonts w:ascii="Times New Roman"/>
          <w:b/>
          <w:i w:val="false"/>
          <w:color w:val="000000"/>
        </w:rPr>
        <w:t xml:space="preserve"> Список значений корректирующего коэффициента КРЕГИОН</w:t>
      </w:r>
    </w:p>
    <w:bookmarkEnd w:id="49"/>
    <w:p>
      <w:pPr>
        <w:spacing w:after="0"/>
        <w:ind w:left="0"/>
        <w:jc w:val="both"/>
      </w:pPr>
      <w:r>
        <w:rPr>
          <w:rFonts w:ascii="Times New Roman"/>
          <w:b w:val="false"/>
          <w:i w:val="false"/>
          <w:color w:val="ff0000"/>
          <w:sz w:val="28"/>
        </w:rPr>
        <w:t xml:space="preserve">
      Сноска. Приложение 3 - в редакции приказа Министра культуры и спорта РК от 15.09.2022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