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8224" w14:textId="3d18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юстиции Республики Казахстан от 28 мая 2020 года № 62 "Об утверждении Правил оказания государственных услуг по вопросам нотариальной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мая 2021 года № 445. Зарегистрирован в Министерстве юстиции Республики Казахстан 4 июня 2021 года № 22931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28 мая 2020 года № 62 "Об утверждении Правил оказания государственных услуг по вопросам нотариальной деятельности" (зарегистрирован в Реестре государственной регистрации нормативных правовых актов за № 20775)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"Проведение аттестации лиц претендующих на право занятия нотариальной деятельностью":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Лицо, претендующее на право занятия нотариальной деятельностью и успешно прошедшее стажировку у нотариуса, занимающегося частной практикой, или у государственного нотариуса (далее – услугополучатель) направляет в Комиссию по аттестации лиц, претендующих на право занятия нотариальной деятельностью (далее – Комиссия), создаваемой при Департаментах юстиции областей, городов республиканского значения и столицы через веб-портал "электронного правительства" www.egov.kz, www.elicense.kz документы по месту жительства, указанные в пункте 8 Стандарта государственной услуги "Проведение аттестации лиц, претендующих на право занятия нотариальной деятельностью" (далее-Стандарт) в форме электронного документа, подписанного электронной цифровой подписью (далее – ЭЦП)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излагается в следующей редакции, текст на казахском языке не меняется: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Перечень вопросов, подлежащих включению в тесты и экзаменационные билеты формируется и утверждается Министерством юстиции Республики Казахстан. Вопросы для оценки знаний претендентов соответствуют тематике правовых дисциплин, (</w:t>
      </w:r>
      <w:r>
        <w:rPr>
          <w:rFonts w:ascii="Times New Roman"/>
          <w:b w:val="false"/>
          <w:i w:val="false"/>
          <w:color w:val="000000"/>
          <w:sz w:val="28"/>
        </w:rPr>
        <w:t>Гражданское право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Жилищное право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Земельное право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"О государственной регистрации прав на недвижимое имущество" и </w:t>
      </w:r>
      <w:r>
        <w:rPr>
          <w:rFonts w:ascii="Times New Roman"/>
          <w:b w:val="false"/>
          <w:i w:val="false"/>
          <w:color w:val="000000"/>
          <w:sz w:val="28"/>
        </w:rPr>
        <w:t>"О нотариате"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знание которых необходимо для осуществления нотариальной деятельности и содержать не менее трех вариантов ответа с одним правильным.".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