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88e8" w14:textId="f038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июня 2021 года № 205. Зарегистрирован в Министерстве юстиции Республики Казахстан 17 июня 2021 года № 23076. Утратил силу приказом Заместителя Премьер-Министра - Министра труда и социальной защиты населения Республики Казахстан от 22 июня 2023 года № 237.</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22.06.2023 </w:t>
      </w:r>
      <w:r>
        <w:rPr>
          <w:rFonts w:ascii="Times New Roman"/>
          <w:b w:val="false"/>
          <w:i w:val="false"/>
          <w:color w:val="ff0000"/>
          <w:sz w:val="28"/>
        </w:rPr>
        <w:t>№ 237</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за № 20838, опубликован 12 июня 2020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"14. Специалист, принимающий заявление и документы формирует запросы в соответствующие ИС через шлюз "электронного правительства":</w:t>
      </w:r>
    </w:p>
    <w:bookmarkEnd w:id="3"/>
    <w:bookmarkStart w:name="z9" w:id="4"/>
    <w:p>
      <w:pPr>
        <w:spacing w:after="0"/>
        <w:ind w:left="0"/>
        <w:jc w:val="both"/>
      </w:pPr>
      <w:r>
        <w:rPr>
          <w:rFonts w:ascii="Times New Roman"/>
          <w:b w:val="false"/>
          <w:i w:val="false"/>
          <w:color w:val="000000"/>
          <w:sz w:val="28"/>
        </w:rPr>
        <w:t>
      в ИС Государственная база данных "Физические лица" по документам, удостоверяющим личность заявителя;</w:t>
      </w:r>
    </w:p>
    <w:bookmarkEnd w:id="4"/>
    <w:bookmarkStart w:name="z10" w:id="5"/>
    <w:p>
      <w:pPr>
        <w:spacing w:after="0"/>
        <w:ind w:left="0"/>
        <w:jc w:val="both"/>
      </w:pPr>
      <w:r>
        <w:rPr>
          <w:rFonts w:ascii="Times New Roman"/>
          <w:b w:val="false"/>
          <w:i w:val="false"/>
          <w:color w:val="000000"/>
          <w:sz w:val="28"/>
        </w:rPr>
        <w:t>
      в ИС банков второго уровня по сведениям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bookmarkEnd w:id="5"/>
    <w:bookmarkStart w:name="z11" w:id="6"/>
    <w:p>
      <w:pPr>
        <w:spacing w:after="0"/>
        <w:ind w:left="0"/>
        <w:jc w:val="both"/>
      </w:pPr>
      <w:r>
        <w:rPr>
          <w:rFonts w:ascii="Times New Roman"/>
          <w:b w:val="false"/>
          <w:i w:val="false"/>
          <w:color w:val="000000"/>
          <w:sz w:val="28"/>
        </w:rPr>
        <w:t>
      при обращении за назначением социальной выплаты:</w:t>
      </w:r>
    </w:p>
    <w:bookmarkEnd w:id="6"/>
    <w:bookmarkStart w:name="z12" w:id="7"/>
    <w:p>
      <w:pPr>
        <w:spacing w:after="0"/>
        <w:ind w:left="0"/>
        <w:jc w:val="both"/>
      </w:pPr>
      <w:r>
        <w:rPr>
          <w:rFonts w:ascii="Times New Roman"/>
          <w:b w:val="false"/>
          <w:i w:val="false"/>
          <w:color w:val="000000"/>
          <w:sz w:val="28"/>
        </w:rPr>
        <w:t>
      на случай утраты трудоспособности – в ИС "Централизованный банк данных лиц, имеющих инвалидность" по справкам об установлении степени утраты общей трудоспособности, о проведении освидетельствования и установлении группы инвалидности;</w:t>
      </w:r>
    </w:p>
    <w:bookmarkEnd w:id="7"/>
    <w:bookmarkStart w:name="z13" w:id="8"/>
    <w:p>
      <w:pPr>
        <w:spacing w:after="0"/>
        <w:ind w:left="0"/>
        <w:jc w:val="both"/>
      </w:pPr>
      <w:r>
        <w:rPr>
          <w:rFonts w:ascii="Times New Roman"/>
          <w:b w:val="false"/>
          <w:i w:val="false"/>
          <w:color w:val="000000"/>
          <w:sz w:val="28"/>
        </w:rPr>
        <w:t>
      на случай потери кормильца:</w:t>
      </w:r>
    </w:p>
    <w:bookmarkEnd w:id="8"/>
    <w:bookmarkStart w:name="z14" w:id="9"/>
    <w:p>
      <w:pPr>
        <w:spacing w:after="0"/>
        <w:ind w:left="0"/>
        <w:jc w:val="both"/>
      </w:pPr>
      <w:r>
        <w:rPr>
          <w:rFonts w:ascii="Times New Roman"/>
          <w:b w:val="false"/>
          <w:i w:val="false"/>
          <w:color w:val="000000"/>
          <w:sz w:val="28"/>
        </w:rPr>
        <w:t>
      в ИС "РАГС" по свидетельству о рождении ребенка (детей) либо справке, содержащей сведения из записей актов гражданского состояния о рождении, об усыновлении (удочерении) ребенка (детей), о заключении брака либо справки, содержащей сведения из записей актов гражданского состояния о браке, о смерти кормильца (признанным судом безвестно отсутствующим или объявленным умершим) о смерти ребенка (детей) либо справки, содержащей сведения из записей актов гражданского состояния о смерти;</w:t>
      </w:r>
    </w:p>
    <w:bookmarkEnd w:id="9"/>
    <w:bookmarkStart w:name="z15" w:id="10"/>
    <w:p>
      <w:pPr>
        <w:spacing w:after="0"/>
        <w:ind w:left="0"/>
        <w:jc w:val="both"/>
      </w:pPr>
      <w:r>
        <w:rPr>
          <w:rFonts w:ascii="Times New Roman"/>
          <w:b w:val="false"/>
          <w:i w:val="false"/>
          <w:color w:val="000000"/>
          <w:sz w:val="28"/>
        </w:rPr>
        <w:t>
      в ИС "Централизованный банк данных лиц, имеющих инвалидность"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первой или второй группы);</w:t>
      </w:r>
    </w:p>
    <w:bookmarkEnd w:id="10"/>
    <w:bookmarkStart w:name="z16" w:id="11"/>
    <w:p>
      <w:pPr>
        <w:spacing w:after="0"/>
        <w:ind w:left="0"/>
        <w:jc w:val="both"/>
      </w:pPr>
      <w:r>
        <w:rPr>
          <w:rFonts w:ascii="Times New Roman"/>
          <w:b w:val="false"/>
          <w:i w:val="false"/>
          <w:color w:val="000000"/>
          <w:sz w:val="28"/>
        </w:rPr>
        <w:t>
      в ИС "е-Попечительство" по справке об установлении опеки (попечительства) над ребенком;</w:t>
      </w:r>
    </w:p>
    <w:bookmarkEnd w:id="11"/>
    <w:bookmarkStart w:name="z17" w:id="12"/>
    <w:p>
      <w:pPr>
        <w:spacing w:after="0"/>
        <w:ind w:left="0"/>
        <w:jc w:val="both"/>
      </w:pPr>
      <w:r>
        <w:rPr>
          <w:rFonts w:ascii="Times New Roman"/>
          <w:b w:val="false"/>
          <w:i w:val="false"/>
          <w:color w:val="000000"/>
          <w:sz w:val="28"/>
        </w:rPr>
        <w:t>
      на случай потери работы – в ИС "Рынок труда" по справке уполномоченного органа по вопросам занятости о регистрации заявителя в качестве безработного;</w:t>
      </w:r>
    </w:p>
    <w:bookmarkEnd w:id="12"/>
    <w:bookmarkStart w:name="z18" w:id="13"/>
    <w:p>
      <w:pPr>
        <w:spacing w:after="0"/>
        <w:ind w:left="0"/>
        <w:jc w:val="both"/>
      </w:pPr>
      <w:r>
        <w:rPr>
          <w:rFonts w:ascii="Times New Roman"/>
          <w:b w:val="false"/>
          <w:i w:val="false"/>
          <w:color w:val="000000"/>
          <w:sz w:val="28"/>
        </w:rPr>
        <w:t>
      на случаи потери дохода в связи с беременностью и родами, усыновлением (удочерением) новорожденного ребенка (детей):</w:t>
      </w:r>
    </w:p>
    <w:bookmarkEnd w:id="13"/>
    <w:bookmarkStart w:name="z19" w:id="14"/>
    <w:p>
      <w:pPr>
        <w:spacing w:after="0"/>
        <w:ind w:left="0"/>
        <w:jc w:val="both"/>
      </w:pPr>
      <w:r>
        <w:rPr>
          <w:rFonts w:ascii="Times New Roman"/>
          <w:b w:val="false"/>
          <w:i w:val="false"/>
          <w:color w:val="000000"/>
          <w:sz w:val="28"/>
        </w:rPr>
        <w:t>
      в ИС "РБиЖФ" по листу временной нетрудоспособности, выданного в связи с беременностью и родами, усыновлением (удочерением) новорожденного ребенка (детей);</w:t>
      </w:r>
    </w:p>
    <w:bookmarkEnd w:id="14"/>
    <w:bookmarkStart w:name="z20" w:id="15"/>
    <w:p>
      <w:pPr>
        <w:spacing w:after="0"/>
        <w:ind w:left="0"/>
        <w:jc w:val="both"/>
      </w:pPr>
      <w:r>
        <w:rPr>
          <w:rFonts w:ascii="Times New Roman"/>
          <w:b w:val="false"/>
          <w:i w:val="false"/>
          <w:color w:val="000000"/>
          <w:sz w:val="28"/>
        </w:rPr>
        <w:t>
      в ИС "Интегрированная налоговая информационная система" по сведениям о государственной регистрации заявителя в качестве индивидуального предпринимателя, лиц, занимающихся частной практикой, а также глав крестьянских или фермерских хозяйств и в ИС "Централизованные унифицированные лицевые счета" по выписке из лицевого счета налогоплательщика о состоянии расчетов с бюджетом, а также по социальным платежам, выданной органами государственных доходов,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Правилам ведения лицевых счетов, утвержденным приказом Министра финансов Республики Казахстан от 27 февраля 2018 года № 306 (зарегистрирован в Реестре государственной регистрации нормативных правовых актов за № 16601) (при обращении за назначением социальной выплаты на случаи потери дохода в связи с беременностью и родами, усыновлением (удочерением) новорожденного ребенка (детей) индивидуальным предпринимателем, лицом, занимающимся частной практикой, а также главой крестьянского или фермерского хозяйства) за последние двенадцать календарных месяцев, предшествующих месяцу, в котором наступило право на социальную выплату;</w:t>
      </w:r>
    </w:p>
    <w:bookmarkEnd w:id="15"/>
    <w:bookmarkStart w:name="z21" w:id="16"/>
    <w:p>
      <w:pPr>
        <w:spacing w:after="0"/>
        <w:ind w:left="0"/>
        <w:jc w:val="both"/>
      </w:pPr>
      <w:r>
        <w:rPr>
          <w:rFonts w:ascii="Times New Roman"/>
          <w:b w:val="false"/>
          <w:i w:val="false"/>
          <w:color w:val="000000"/>
          <w:sz w:val="28"/>
        </w:rPr>
        <w:t>
      на случай потери дохода в связи с уходом за ребенком по достижении им возраста одного года – в ИС "РАГС" по свидетельству о рождении ребенка (детей) либо справке, содержащей сведения из записей актов гражданского состояния о рождении, об усыновлении (удочерении) ребенка (детей), о заключении брака либо справки, содержащей сведения из записей актов гражданского состояния о браке (в случаях смены фамилии родителя содержащейся в полученных сведениях), о смерти ребенка (детей) либо справки, содержащей сведения из записей актов гражданского состояния о смерти.</w:t>
      </w:r>
    </w:p>
    <w:bookmarkEnd w:id="16"/>
    <w:bookmarkStart w:name="z22" w:id="17"/>
    <w:p>
      <w:pPr>
        <w:spacing w:after="0"/>
        <w:ind w:left="0"/>
        <w:jc w:val="both"/>
      </w:pPr>
      <w:r>
        <w:rPr>
          <w:rFonts w:ascii="Times New Roman"/>
          <w:b w:val="false"/>
          <w:i w:val="false"/>
          <w:color w:val="000000"/>
          <w:sz w:val="28"/>
        </w:rPr>
        <w:t>
      При несоответствии (отсутствии) сведений в ИС к заявлению прилагаются соответствующие документы, за исключением сведений о номере банковского счета.";</w:t>
      </w:r>
    </w:p>
    <w:bookmarkEnd w:id="17"/>
    <w:bookmarkStart w:name="z23"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строку, порядковый номер 2, изложить в следующей редакции:</w:t>
      </w:r>
    </w:p>
    <w:bookmarkEnd w:id="19"/>
    <w:bookmarkStart w:name="z25"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1) Государственная корпорация "Правительство для граждан";</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2) подразделение медико-социальной экспертизы (далее - подразделение МСЭ);</w:t>
            </w:r>
          </w:p>
          <w:p>
            <w:pPr>
              <w:spacing w:after="20"/>
              <w:ind w:left="20"/>
              <w:jc w:val="both"/>
            </w:pPr>
            <w:r>
              <w:rPr>
                <w:rFonts w:ascii="Times New Roman"/>
                <w:b w:val="false"/>
                <w:i w:val="false"/>
                <w:color w:val="000000"/>
                <w:sz w:val="20"/>
              </w:rPr>
              <w:t>
3) абонентское устройство сотовой связи.</w:t>
            </w:r>
          </w:p>
        </w:tc>
      </w:tr>
    </w:tbl>
    <w:bookmarkStart w:name="z28" w:id="22"/>
    <w:p>
      <w:pPr>
        <w:spacing w:after="0"/>
        <w:ind w:left="0"/>
        <w:jc w:val="both"/>
      </w:pPr>
      <w:r>
        <w:rPr>
          <w:rFonts w:ascii="Times New Roman"/>
          <w:b w:val="false"/>
          <w:i w:val="false"/>
          <w:color w:val="000000"/>
          <w:sz w:val="28"/>
        </w:rPr>
        <w:t>
      ";</w:t>
      </w:r>
    </w:p>
    <w:bookmarkEnd w:id="22"/>
    <w:bookmarkStart w:name="z29" w:id="23"/>
    <w:p>
      <w:pPr>
        <w:spacing w:after="0"/>
        <w:ind w:left="0"/>
        <w:jc w:val="both"/>
      </w:pPr>
      <w:r>
        <w:rPr>
          <w:rFonts w:ascii="Times New Roman"/>
          <w:b w:val="false"/>
          <w:i w:val="false"/>
          <w:color w:val="000000"/>
          <w:sz w:val="28"/>
        </w:rPr>
        <w:t xml:space="preserve">
      строку, порядковый номер 4, изложить в следующей редакции: </w:t>
      </w:r>
    </w:p>
    <w:bookmarkEnd w:id="23"/>
    <w:bookmarkStart w:name="z30"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Бумажная/проактивная/оказываемая по принципу "одного заявления"</w:t>
            </w:r>
          </w:p>
        </w:tc>
      </w:tr>
    </w:tbl>
    <w:bookmarkStart w:name="z31" w:id="25"/>
    <w:p>
      <w:pPr>
        <w:spacing w:after="0"/>
        <w:ind w:left="0"/>
        <w:jc w:val="both"/>
      </w:pPr>
      <w:r>
        <w:rPr>
          <w:rFonts w:ascii="Times New Roman"/>
          <w:b w:val="false"/>
          <w:i w:val="false"/>
          <w:color w:val="000000"/>
          <w:sz w:val="28"/>
        </w:rPr>
        <w:t>
      ";</w:t>
      </w:r>
    </w:p>
    <w:bookmarkEnd w:id="25"/>
    <w:bookmarkStart w:name="z32" w:id="26"/>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26"/>
    <w:bookmarkStart w:name="z33"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xml:space="preserve">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 при обращении в подразделение МСЭ предоставляет заявление по форме согласно приложению 3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утвержденных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и следующие документы:</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в соответствии с пунктом 1 статьи 6 Закона Республики Казахстан "О документах, удостоверяющих личность" или удостоверение кандаса для лиц, имеющих статус кандаса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в Государственную корпорацию, указанных в настоящем пункте услугополучателю выдается расписка о приеме соответствующих документов. При подаче услугополучателем документов, в подразделение МСЭ указанных в настоящем пункте услугополучателю выдается вручается отрывной талон заявления с отметкой о принятии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социальной выплаты – согласие услугополучателя на оказание проактивной услуги, посредством абонентского устройства сотовой связи, а также услугополучателю направляется уведомление о подтверждении или предоставлении номера банковского счета.</w:t>
            </w:r>
          </w:p>
          <w:p>
            <w:pPr>
              <w:spacing w:after="20"/>
              <w:ind w:left="20"/>
              <w:jc w:val="both"/>
            </w:pPr>
            <w:r>
              <w:rPr>
                <w:rFonts w:ascii="Times New Roman"/>
                <w:b w:val="false"/>
                <w:i w:val="false"/>
                <w:color w:val="000000"/>
                <w:sz w:val="20"/>
              </w:rPr>
              <w:t>
При этом, представление номера банковского счета не требуется при возможности получения их из банка второго уровня.</w:t>
            </w:r>
          </w:p>
        </w:tc>
      </w:tr>
    </w:tbl>
    <w:bookmarkStart w:name="z41" w:id="29"/>
    <w:p>
      <w:pPr>
        <w:spacing w:after="0"/>
        <w:ind w:left="0"/>
        <w:jc w:val="both"/>
      </w:pPr>
      <w:r>
        <w:rPr>
          <w:rFonts w:ascii="Times New Roman"/>
          <w:b w:val="false"/>
          <w:i w:val="false"/>
          <w:color w:val="000000"/>
          <w:sz w:val="28"/>
        </w:rPr>
        <w:t>
      ";</w:t>
      </w:r>
    </w:p>
    <w:bookmarkEnd w:id="29"/>
    <w:bookmarkStart w:name="z42"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30"/>
    <w:bookmarkStart w:name="z43" w:id="31"/>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31"/>
    <w:bookmarkStart w:name="z44"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xml:space="preserve">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 и следующие документы: </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6 Закона Республики Казахстан "О документах, удостоверяющих личность" или удостоверение кандаса для лиц, имеющих статус кандаса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смерти кормильца или решение суда о признании лица безвестно отсутствующим или об объявлении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документы или сведения, подтверждающие родственные отношения с умершим (признанным судом безвестно отсутствующим или объявленным умершим), свидетельства о рождении ребенка (детей), регистрации рождения ребенка вне пределов Республики Казахстан, выданного компетентными органами иностранных государств при наличии консульской легализации либо специального штампа (апостиля) умершего кормильца и о заключении (расторжении) брака (супружества), об усыновлении (удочерении), об установлении отцовства (материнства);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справки из организации среднего, технического и профессионального, послесреднего, высшего и (или) послевузовского образования о том, что члены семьи в возрасте от восемнадцати до двадцати трех лет являются обучающимися или обучавшимися по очной форме обучения, по форме согласно </w:t>
            </w:r>
            <w:r>
              <w:rPr>
                <w:rFonts w:ascii="Times New Roman"/>
                <w:b w:val="false"/>
                <w:i w:val="false"/>
                <w:color w:val="000000"/>
                <w:sz w:val="20"/>
              </w:rPr>
              <w:t>приложению 31</w:t>
            </w:r>
            <w:r>
              <w:rPr>
                <w:rFonts w:ascii="Times New Roman"/>
                <w:b w:val="false"/>
                <w:i w:val="false"/>
                <w:color w:val="000000"/>
                <w:sz w:val="20"/>
              </w:rPr>
              <w:t xml:space="preserve"> к Правилам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утвержденными приказом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за № 20838) (далее – Правила) (обновляется ежегодно).</w:t>
            </w:r>
          </w:p>
          <w:p>
            <w:pPr>
              <w:spacing w:after="20"/>
              <w:ind w:left="20"/>
              <w:jc w:val="both"/>
            </w:pPr>
            <w:r>
              <w:rPr>
                <w:rFonts w:ascii="Times New Roman"/>
                <w:b w:val="false"/>
                <w:i w:val="false"/>
                <w:color w:val="000000"/>
                <w:sz w:val="20"/>
              </w:rPr>
              <w:t>
</w:t>
            </w:r>
            <w:r>
              <w:rPr>
                <w:rFonts w:ascii="Times New Roman"/>
                <w:b w:val="false"/>
                <w:i w:val="false"/>
                <w:color w:val="000000"/>
                <w:sz w:val="20"/>
              </w:rPr>
              <w:t>6) в случае установления опеки (попечительства), представляется документ, подтверждающий установление опеки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в Государственную корпорацию, указанных в настоящем пункте услугополучателю выдается расписка о приеме соответствующих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социальной выплаты – согласие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 направляется уведомление о подтверждении или предоставлении номера банковского счета.</w:t>
            </w:r>
          </w:p>
          <w:p>
            <w:pPr>
              <w:spacing w:after="20"/>
              <w:ind w:left="20"/>
              <w:jc w:val="both"/>
            </w:pPr>
            <w:r>
              <w:rPr>
                <w:rFonts w:ascii="Times New Roman"/>
                <w:b w:val="false"/>
                <w:i w:val="false"/>
                <w:color w:val="000000"/>
                <w:sz w:val="20"/>
              </w:rPr>
              <w:t>
При этом, представление номера банковского счета не требуется при возможности получения их из банка второго уровня.</w:t>
            </w:r>
          </w:p>
        </w:tc>
      </w:tr>
    </w:tbl>
    <w:bookmarkStart w:name="z56" w:id="34"/>
    <w:p>
      <w:pPr>
        <w:spacing w:after="0"/>
        <w:ind w:left="0"/>
        <w:jc w:val="both"/>
      </w:pPr>
      <w:r>
        <w:rPr>
          <w:rFonts w:ascii="Times New Roman"/>
          <w:b w:val="false"/>
          <w:i w:val="false"/>
          <w:color w:val="000000"/>
          <w:sz w:val="28"/>
        </w:rPr>
        <w:t>
      ";</w:t>
      </w:r>
    </w:p>
    <w:bookmarkEnd w:id="34"/>
    <w:bookmarkStart w:name="z57"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w:t>
      </w:r>
    </w:p>
    <w:bookmarkEnd w:id="35"/>
    <w:bookmarkStart w:name="z58" w:id="36"/>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36"/>
    <w:bookmarkStart w:name="z59"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 при обращении в Центр занятости населения предоставляет заявление по форме согласно приложению 4 к настоящим Правилам и следующие документы:</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6 Закона Республики Казахстан "О документах, удостоверяющих личность" или удостоверение кандаса для лиц, имеющих статус кандаса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в Государственную корпорацию, указанных в настоящем пункте услугополучателю выдается расписка о приеме соответствующих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в Центр занятости населения указанных в настоящем пункте услугополучателю выдается вручается отрывной талон заявления с отметкой о принятии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в Центр занятости населения указанных в настоящем пункте услугополучателю выдается вручается отрывной талон заявления с отметкой о принятии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социальной выплаты на случай потери работы – заявление на назначения социальной выплаты на случай потери работы через портал в форме электронного документа, удостоверенного электронной цифровой подписью услугополучателя согласно приложению 5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удостоверяющем личность услугополучателя, о регистрации в качестве безработного центром занятости населения, о номере банковского счета, открытого в банках и (или) организациях, осуществляющих отдельные виды банковских операций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 назначении социальной выплаты –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услугополучателю через портал – в "личном кабинете" услугополучателя отображается статус о принятии запроса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социальной выплаты – согласие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 направляется уведомление о подтверждении или предоставлении номера банковского счета.</w:t>
            </w:r>
          </w:p>
          <w:p>
            <w:pPr>
              <w:spacing w:after="20"/>
              <w:ind w:left="20"/>
              <w:jc w:val="both"/>
            </w:pPr>
            <w:r>
              <w:rPr>
                <w:rFonts w:ascii="Times New Roman"/>
                <w:b w:val="false"/>
                <w:i w:val="false"/>
                <w:color w:val="000000"/>
                <w:sz w:val="20"/>
              </w:rPr>
              <w:t>
При этом, представление номера банковского счета не требуется при возможности получения их из банка второго уровня.</w:t>
            </w:r>
          </w:p>
        </w:tc>
      </w:tr>
    </w:tbl>
    <w:bookmarkStart w:name="z74" w:id="39"/>
    <w:p>
      <w:pPr>
        <w:spacing w:after="0"/>
        <w:ind w:left="0"/>
        <w:jc w:val="both"/>
      </w:pPr>
      <w:r>
        <w:rPr>
          <w:rFonts w:ascii="Times New Roman"/>
          <w:b w:val="false"/>
          <w:i w:val="false"/>
          <w:color w:val="000000"/>
          <w:sz w:val="28"/>
        </w:rPr>
        <w:t>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приложению к настоящему приказу.</w:t>
      </w:r>
    </w:p>
    <w:bookmarkStart w:name="z76"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10</w:t>
      </w:r>
      <w:r>
        <w:rPr>
          <w:rFonts w:ascii="Times New Roman"/>
          <w:b w:val="false"/>
          <w:i w:val="false"/>
          <w:color w:val="000000"/>
          <w:sz w:val="28"/>
        </w:rPr>
        <w:t>:</w:t>
      </w:r>
    </w:p>
    <w:bookmarkEnd w:id="40"/>
    <w:bookmarkStart w:name="z77" w:id="41"/>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41"/>
    <w:bookmarkStart w:name="z78"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3"/>
          <w:p>
            <w:pPr>
              <w:spacing w:after="20"/>
              <w:ind w:left="20"/>
              <w:jc w:val="both"/>
            </w:pPr>
            <w:r>
              <w:rPr>
                <w:rFonts w:ascii="Times New Roman"/>
                <w:b w:val="false"/>
                <w:i w:val="false"/>
                <w:color w:val="000000"/>
                <w:sz w:val="20"/>
              </w:rPr>
              <w:t>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 и следующие документы:</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6 Закона Республики Казахстан "О документах, удостоверяющих личность" или удостоверение кандаса для лиц, имеющих статус кандаса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(свидетельства) о рождении ребенка (детей) (либо справка, содержащая сведения из записей актов гражданского состояния о рождении)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необходимости (в зависимости от их наличия) представляется: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подтверждающий регистрацию рождения ребенка вне пределов Республики Казахстан, выданного компетентными органами иностранных государств при наличии консульской легализации либо специального штампа (апостиля)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(свидетельств) о смерти ребенка (детей) выданных документов вне пределов Республики Казахстан (либо справки, содержащей сведения из записей актов гражданского состояния о смерти)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случаях усыновления (удочерения) ребенка (детей) в возрасте до одного года – выписка из решения суда об усыновлении (удочерении) ребенка (детей), выданная органом, осуществляющим функции по опеке или попечительству;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установления опеки (попечительства), представляется документ, подтверждающий установление опеки (попечительства) над ребенком.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в Государственную корпорацию, указанных в настоящем пункте услугополучателю выдается расписка о приеме соответствующих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социальной выплаты - заявление на назначение через портал в форме электронного документа, удостоверенного ЭЦП услугополучателя, по форме согласно приложению 5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 назначении социальной выплаты –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заявителя, документа, подтверждающего регистрацию по постоянному месту жительства услугополучателя, сведения о номере банковского счета, свидетельства о рождении ребенка (детей) или выписки из актовой записи о рождении, документа об установлении опеки (попечительства) указанные в электронном заявлении заявитель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услугополучателю через портал – в "личном кабинете" услугополучателя отображается статус о принятии запроса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социальной выплаты – согласие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 направляется уведомление о подтверждении или предоставлении номера банковского счета.</w:t>
            </w:r>
          </w:p>
          <w:p>
            <w:pPr>
              <w:spacing w:after="20"/>
              <w:ind w:left="20"/>
              <w:jc w:val="both"/>
            </w:pPr>
            <w:r>
              <w:rPr>
                <w:rFonts w:ascii="Times New Roman"/>
                <w:b w:val="false"/>
                <w:i w:val="false"/>
                <w:color w:val="000000"/>
                <w:sz w:val="20"/>
              </w:rPr>
              <w:t>
При этом, представление номера банковского счета не требуется при возможности получения их из банка второго уровня.</w:t>
            </w:r>
          </w:p>
        </w:tc>
      </w:tr>
    </w:tbl>
    <w:bookmarkStart w:name="z97" w:id="44"/>
    <w:p>
      <w:pPr>
        <w:spacing w:after="0"/>
        <w:ind w:left="0"/>
        <w:jc w:val="both"/>
      </w:pPr>
      <w:r>
        <w:rPr>
          <w:rFonts w:ascii="Times New Roman"/>
          <w:b w:val="false"/>
          <w:i w:val="false"/>
          <w:color w:val="000000"/>
          <w:sz w:val="28"/>
        </w:rPr>
        <w:t>
      ";</w:t>
      </w:r>
    </w:p>
    <w:bookmarkEnd w:id="44"/>
    <w:bookmarkStart w:name="z98" w:id="45"/>
    <w:p>
      <w:pPr>
        <w:spacing w:after="0"/>
        <w:ind w:left="0"/>
        <w:jc w:val="both"/>
      </w:pPr>
      <w:r>
        <w:rPr>
          <w:rFonts w:ascii="Times New Roman"/>
          <w:b w:val="false"/>
          <w:i w:val="false"/>
          <w:color w:val="000000"/>
          <w:sz w:val="28"/>
        </w:rPr>
        <w:t>
      2. Департаменту политики социального страхования, базового социального и пенсионного обеспечения в установленном законодательством порядке обеспечить:</w:t>
      </w:r>
    </w:p>
    <w:bookmarkEnd w:id="45"/>
    <w:bookmarkStart w:name="z99" w:id="4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6"/>
    <w:bookmarkStart w:name="z100" w:id="47"/>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7"/>
    <w:bookmarkStart w:name="z101" w:id="4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48"/>
    <w:bookmarkStart w:name="z102" w:id="4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Биржанова Е.Е.</w:t>
      </w:r>
    </w:p>
    <w:bookmarkEnd w:id="49"/>
    <w:bookmarkStart w:name="z103" w:id="5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2021 года №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исчисления (определения), </w:t>
            </w:r>
            <w:r>
              <w:br/>
            </w:r>
            <w:r>
              <w:rPr>
                <w:rFonts w:ascii="Times New Roman"/>
                <w:b w:val="false"/>
                <w:i w:val="false"/>
                <w:color w:val="000000"/>
                <w:sz w:val="20"/>
              </w:rPr>
              <w:t xml:space="preserve">размеров социальных выплат, </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приостановления, возобновления,</w:t>
            </w:r>
            <w:r>
              <w:br/>
            </w:r>
            <w:r>
              <w:rPr>
                <w:rFonts w:ascii="Times New Roman"/>
                <w:b w:val="false"/>
                <w:i w:val="false"/>
                <w:color w:val="000000"/>
                <w:sz w:val="20"/>
              </w:rPr>
              <w:t xml:space="preserve">прекращения и осуществления </w:t>
            </w:r>
            <w:r>
              <w:br/>
            </w:r>
            <w:r>
              <w:rPr>
                <w:rFonts w:ascii="Times New Roman"/>
                <w:b w:val="false"/>
                <w:i w:val="false"/>
                <w:color w:val="000000"/>
                <w:sz w:val="20"/>
              </w:rPr>
              <w:t xml:space="preserve">социальных выплат из </w:t>
            </w:r>
            <w:r>
              <w:br/>
            </w:r>
            <w:r>
              <w:rPr>
                <w:rFonts w:ascii="Times New Roman"/>
                <w:b w:val="false"/>
                <w:i w:val="false"/>
                <w:color w:val="000000"/>
                <w:sz w:val="20"/>
              </w:rPr>
              <w:t xml:space="preserve">Государственного фонда </w:t>
            </w:r>
            <w:r>
              <w:br/>
            </w:r>
            <w:r>
              <w:rPr>
                <w:rFonts w:ascii="Times New Roman"/>
                <w:b w:val="false"/>
                <w:i w:val="false"/>
                <w:color w:val="000000"/>
                <w:sz w:val="20"/>
              </w:rPr>
              <w:t>социального страхования</w:t>
            </w:r>
            <w:r>
              <w:br/>
            </w:r>
            <w:r>
              <w:rPr>
                <w:rFonts w:ascii="Times New Roman"/>
                <w:b w:val="false"/>
                <w:i w:val="false"/>
                <w:color w:val="000000"/>
                <w:sz w:val="20"/>
              </w:rPr>
              <w:t xml:space="preserve"> и их осуществления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"Назначение социальной выплаты на случаи потери дохода в связи с беременностью и родами, усыновлением (удочерением) новорожденного ребенка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"Государственный фонд социального страхования" и его филиалы (далее - Фонд)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1"/>
          <w:p>
            <w:pPr>
              <w:spacing w:after="20"/>
              <w:ind w:left="20"/>
              <w:jc w:val="both"/>
            </w:pPr>
            <w:r>
              <w:rPr>
                <w:rFonts w:ascii="Times New Roman"/>
                <w:b w:val="false"/>
                <w:i w:val="false"/>
                <w:color w:val="000000"/>
                <w:sz w:val="20"/>
              </w:rPr>
              <w:t>
1) Государственная корпорация "Правительство для граждан";</w:t>
            </w:r>
          </w:p>
          <w:bookmarkEnd w:id="51"/>
          <w:p>
            <w:pPr>
              <w:spacing w:after="20"/>
              <w:ind w:left="20"/>
              <w:jc w:val="both"/>
            </w:pPr>
            <w:r>
              <w:rPr>
                <w:rFonts w:ascii="Times New Roman"/>
                <w:b w:val="false"/>
                <w:i w:val="false"/>
                <w:color w:val="000000"/>
                <w:sz w:val="20"/>
              </w:rPr>
              <w:t>
2)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2"/>
          <w:p>
            <w:pPr>
              <w:spacing w:after="20"/>
              <w:ind w:left="20"/>
              <w:jc w:val="both"/>
            </w:pPr>
            <w:r>
              <w:rPr>
                <w:rFonts w:ascii="Times New Roman"/>
                <w:b w:val="false"/>
                <w:i w:val="false"/>
                <w:color w:val="000000"/>
                <w:sz w:val="20"/>
              </w:rPr>
              <w:t>
8 (восемь) рабочих дней.</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в Государственную корпорацию "Правительство для граждан" – 15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в Государственной корпорации "Правительство для граждан"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3"/>
          <w:p>
            <w:pPr>
              <w:spacing w:after="20"/>
              <w:ind w:left="20"/>
              <w:jc w:val="both"/>
            </w:pPr>
            <w:r>
              <w:rPr>
                <w:rFonts w:ascii="Times New Roman"/>
                <w:b w:val="false"/>
                <w:i w:val="false"/>
                <w:color w:val="000000"/>
                <w:sz w:val="20"/>
              </w:rPr>
              <w:t>
Уведомление о назначении (отказе в назначении) социальных выплат на случаи социальных рисков по форме, согласно приложению 27 к настоящим Правилам.</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через проактивную услугу:</w:t>
            </w:r>
          </w:p>
          <w:p>
            <w:pPr>
              <w:spacing w:after="20"/>
              <w:ind w:left="20"/>
              <w:jc w:val="both"/>
            </w:pPr>
            <w:r>
              <w:rPr>
                <w:rFonts w:ascii="Times New Roman"/>
                <w:b w:val="false"/>
                <w:i w:val="false"/>
                <w:color w:val="000000"/>
                <w:sz w:val="20"/>
              </w:rPr>
              <w:t>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4"/>
          <w:p>
            <w:pPr>
              <w:spacing w:after="20"/>
              <w:ind w:left="20"/>
              <w:jc w:val="both"/>
            </w:pPr>
            <w:r>
              <w:rPr>
                <w:rFonts w:ascii="Times New Roman"/>
                <w:b w:val="false"/>
                <w:i w:val="false"/>
                <w:color w:val="000000"/>
                <w:sz w:val="20"/>
              </w:rPr>
              <w:t xml:space="preserve">
1)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жительства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2) фонда - с понедельника по пятницу включительно, в соответствии графиком работы с 9.00 часов до 18.30 часов с перерывом на обед с 13.00 часов до 14.30 часов, кроме субботы, воскресенья и праздничных дней, согласно Трудовому кодексу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5"/>
          <w:p>
            <w:pPr>
              <w:spacing w:after="20"/>
              <w:ind w:left="20"/>
              <w:jc w:val="both"/>
            </w:pPr>
            <w:r>
              <w:rPr>
                <w:rFonts w:ascii="Times New Roman"/>
                <w:b w:val="false"/>
                <w:i w:val="false"/>
                <w:color w:val="000000"/>
                <w:sz w:val="20"/>
              </w:rPr>
              <w:t>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 и следующие документы:</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6 Закона Республики Казахстан "О документах, удостоверяющих личность" или удостоверение кандаса для лиц, имеющих статус кандаса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лист (листы) временной нетрудоспособности, выданные в связи с беременностью и родами, усыновлением (удочерением) новорожденного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услугополучателем документов в Государственную корпорацию, указанных в настоящем пункте услугополучателю выдается расписка о приеме соответствующих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социальной выплаты – согласие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 направляется уведомление о подтверждении или предоставлении номера банковского счета.</w:t>
            </w:r>
          </w:p>
          <w:p>
            <w:pPr>
              <w:spacing w:after="20"/>
              <w:ind w:left="20"/>
              <w:jc w:val="both"/>
            </w:pPr>
            <w:r>
              <w:rPr>
                <w:rFonts w:ascii="Times New Roman"/>
                <w:b w:val="false"/>
                <w:i w:val="false"/>
                <w:color w:val="000000"/>
                <w:sz w:val="20"/>
              </w:rPr>
              <w:t>
При этом, представление номера банковского счета не требуется при возможности получения их из банка второго уровня.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6"/>
          <w:p>
            <w:pPr>
              <w:spacing w:after="20"/>
              <w:ind w:left="20"/>
              <w:jc w:val="both"/>
            </w:pPr>
            <w:r>
              <w:rPr>
                <w:rFonts w:ascii="Times New Roman"/>
                <w:b w:val="false"/>
                <w:i w:val="false"/>
                <w:color w:val="000000"/>
                <w:sz w:val="20"/>
              </w:rPr>
              <w:t>
1) установление недостоверности документов (сведений), представленных услугополучателем для получения государственной услуги, и (или) данных (сведений), содержащихся в них;</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7"/>
          <w:p>
            <w:pPr>
              <w:spacing w:after="20"/>
              <w:ind w:left="20"/>
              <w:jc w:val="both"/>
            </w:pPr>
            <w:r>
              <w:rPr>
                <w:rFonts w:ascii="Times New Roman"/>
                <w:b w:val="false"/>
                <w:i w:val="false"/>
                <w:color w:val="000000"/>
                <w:sz w:val="20"/>
              </w:rPr>
              <w:t>
Назначение социальной выплаты на случаи потери дохода в связи с беременностью и родами, усыновлением (удочерением) новорожденного ребенка (детей)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 (при регистрации телефонного номера абонентского устройства сотовой связи услугополучателя на портале, получение уведомления о выдачи листа временной нетрудоспособнойсти в связи с беременностью и родами, наличие социальных отчислений у услугополучателя за месяц предшествующей дате освобождения от работы по Листу нетрудоспособности, наличии сведений освобождения от работы в связи с беременностью и родами в информационной системе "Единая система учета трудовых договоров", наличие необходимого стажа участия в системе обязательного социального страхования, наличие номера банковского счета, открытого в банках и (или) организациях, осуществляющих отдельные виды банковских операций).</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"Правительство для граждан"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посредством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Адреса мест оказания государственной услуги размещены на интернет-ресурсах: </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"Правительство для граждан" – www.gov4c.kz.</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