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7d11" w14:textId="32f7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p>
      <w:pPr>
        <w:spacing w:after="0"/>
        <w:ind w:left="0"/>
        <w:jc w:val="both"/>
      </w:pPr>
      <w:r>
        <w:rPr>
          <w:rFonts w:ascii="Times New Roman"/>
          <w:b w:val="false"/>
          <w:i w:val="false"/>
          <w:color w:val="000000"/>
          <w:sz w:val="28"/>
        </w:rPr>
        <w:t>Совместный приказ Министра торговли и интеграции Республики Казахстан от 30 июня 2021 года № 439-НҚ и Министра национальной экономики Республики Казахстан от 1 июля 2021 года № 68. Зарегистрирован в Министерстве юстиции Республики Казахстан 19 июля 2021 года № 23431.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01.07.2021.</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торговли и интеграции РК от 16.01.2023 № 13-НҚ и Министра национальной экономики РК от 18.01.2023 № 4 (вводится в действие с 01.01.2023).</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8" w:id="3"/>
    <w:p>
      <w:pPr>
        <w:spacing w:after="0"/>
        <w:ind w:left="0"/>
        <w:jc w:val="both"/>
      </w:pPr>
      <w:r>
        <w:rPr>
          <w:rFonts w:ascii="Times New Roman"/>
          <w:b w:val="false"/>
          <w:i w:val="false"/>
          <w:color w:val="000000"/>
          <w:sz w:val="28"/>
        </w:rPr>
        <w:t xml:space="preserve">
      2) проверочный лист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9" w:id="4"/>
    <w:p>
      <w:pPr>
        <w:spacing w:after="0"/>
        <w:ind w:left="0"/>
        <w:jc w:val="both"/>
      </w:pPr>
      <w:r>
        <w:rPr>
          <w:rFonts w:ascii="Times New Roman"/>
          <w:b w:val="false"/>
          <w:i w:val="false"/>
          <w:color w:val="000000"/>
          <w:sz w:val="28"/>
        </w:rPr>
        <w:t>
      2. Департаменту внутренней торговли Министерства торговли и интеграции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торговли и интеграции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курирующих вице-министров торговли и интеграции,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совместный приказ вводится в действие с 1 июля 2021 года и подлежит официальному опубликованию.</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p>
            <w:pPr>
              <w:spacing w:after="20"/>
              <w:ind w:left="20"/>
              <w:jc w:val="both"/>
            </w:pPr>
            <w:r>
              <w:rPr>
                <w:rFonts w:ascii="Times New Roman"/>
                <w:b w:val="false"/>
                <w:i w:val="false"/>
                <w:color w:val="000000"/>
                <w:sz w:val="20"/>
              </w:rPr>
              <w:t>Республики Казахстан 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w:t>
            </w:r>
          </w:p>
          <w:p>
            <w:pPr>
              <w:spacing w:after="20"/>
              <w:ind w:left="20"/>
              <w:jc w:val="both"/>
            </w:pPr>
            <w:r>
              <w:rPr>
                <w:rFonts w:ascii="Times New Roman"/>
                <w:b w:val="false"/>
                <w:i w:val="false"/>
                <w:color w:val="000000"/>
                <w:sz w:val="20"/>
              </w:rPr>
              <w:t>Республики Казахстан __________ Б. Сұлтанов</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439-НҚ</w:t>
            </w:r>
          </w:p>
        </w:tc>
      </w:tr>
    </w:tbl>
    <w:bookmarkStart w:name="z77" w:id="10"/>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0"/>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17.05.2023 № 177-НҚ и Министра национальной экономики РК от 17.05.2023 № 70 (вводится в действие по истечении десяти календарных дней после дня его первого официального опубликования).</w:t>
      </w:r>
    </w:p>
    <w:bookmarkStart w:name="z79" w:id="11"/>
    <w:p>
      <w:pPr>
        <w:spacing w:after="0"/>
        <w:ind w:left="0"/>
        <w:jc w:val="left"/>
      </w:pPr>
      <w:r>
        <w:rPr>
          <w:rFonts w:ascii="Times New Roman"/>
          <w:b/>
          <w:i w:val="false"/>
          <w:color w:val="000000"/>
        </w:rPr>
        <w:t xml:space="preserve"> Глава 1. Общие положения</w:t>
      </w:r>
    </w:p>
    <w:bookmarkEnd w:id="11"/>
    <w:bookmarkStart w:name="z80" w:id="12"/>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а также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23 июня 2022 года № 48 (зарегистрирован в Реестре государственной регистрации нормативных правовых актов за № 28577).</w:t>
      </w:r>
    </w:p>
    <w:bookmarkEnd w:id="12"/>
    <w:bookmarkStart w:name="z81" w:id="1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3"/>
    <w:bookmarkStart w:name="z82" w:id="14"/>
    <w:p>
      <w:pPr>
        <w:spacing w:after="0"/>
        <w:ind w:left="0"/>
        <w:jc w:val="both"/>
      </w:pPr>
      <w:r>
        <w:rPr>
          <w:rFonts w:ascii="Times New Roman"/>
          <w:b w:val="false"/>
          <w:i w:val="false"/>
          <w:color w:val="000000"/>
          <w:sz w:val="28"/>
        </w:rPr>
        <w:t>
      1) субъекты (объекты) контроля – индивидуальные предприниматели и юридические лица за деятельностью которых осуществляется контроль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4"/>
    <w:bookmarkStart w:name="z83" w:id="15"/>
    <w:p>
      <w:pPr>
        <w:spacing w:after="0"/>
        <w:ind w:left="0"/>
        <w:jc w:val="both"/>
      </w:pPr>
      <w:r>
        <w:rPr>
          <w:rFonts w:ascii="Times New Roman"/>
          <w:b w:val="false"/>
          <w:i w:val="false"/>
          <w:color w:val="000000"/>
          <w:sz w:val="28"/>
        </w:rPr>
        <w:t>
      2) балл – количественная мера исчисления риска;</w:t>
      </w:r>
    </w:p>
    <w:bookmarkEnd w:id="15"/>
    <w:bookmarkStart w:name="z84" w:id="16"/>
    <w:p>
      <w:pPr>
        <w:spacing w:after="0"/>
        <w:ind w:left="0"/>
        <w:jc w:val="both"/>
      </w:pPr>
      <w:r>
        <w:rPr>
          <w:rFonts w:ascii="Times New Roman"/>
          <w:b w:val="false"/>
          <w:i w:val="false"/>
          <w:color w:val="000000"/>
          <w:sz w:val="28"/>
        </w:rPr>
        <w:t>
      3) незначительные нарушения – нарушение, связанное с отсутствием товарно-сопроводительных документов на продовольственные товары, оформленных изготовителем или поставщиком (продавцом);</w:t>
      </w:r>
    </w:p>
    <w:bookmarkEnd w:id="16"/>
    <w:bookmarkStart w:name="z85" w:id="17"/>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7"/>
    <w:bookmarkStart w:name="z86" w:id="18"/>
    <w:p>
      <w:pPr>
        <w:spacing w:after="0"/>
        <w:ind w:left="0"/>
        <w:jc w:val="both"/>
      </w:pPr>
      <w:r>
        <w:rPr>
          <w:rFonts w:ascii="Times New Roman"/>
          <w:b w:val="false"/>
          <w:i w:val="false"/>
          <w:color w:val="000000"/>
          <w:sz w:val="28"/>
        </w:rPr>
        <w:t>
      5) значительные нарушения - нарушения, связанные с отсутствием договора поставки продовольственных товаров, наличием одной подтвержденной жалобы или обращения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8"/>
    <w:bookmarkStart w:name="z87" w:id="19"/>
    <w:p>
      <w:pPr>
        <w:spacing w:after="0"/>
        <w:ind w:left="0"/>
        <w:jc w:val="both"/>
      </w:pPr>
      <w:r>
        <w:rPr>
          <w:rFonts w:ascii="Times New Roman"/>
          <w:b w:val="false"/>
          <w:i w:val="false"/>
          <w:color w:val="000000"/>
          <w:sz w:val="28"/>
        </w:rPr>
        <w:t>
      6) грубые нарушения - нарушения, связанные с не установлением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превышением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bookmarkEnd w:id="19"/>
    <w:bookmarkStart w:name="z88" w:id="20"/>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(объекта)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0"/>
    <w:bookmarkStart w:name="z89" w:id="21"/>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1"/>
    <w:bookmarkStart w:name="z90" w:id="22"/>
    <w:p>
      <w:pPr>
        <w:spacing w:after="0"/>
        <w:ind w:left="0"/>
        <w:jc w:val="both"/>
      </w:pPr>
      <w:r>
        <w:rPr>
          <w:rFonts w:ascii="Times New Roman"/>
          <w:b w:val="false"/>
          <w:i w:val="false"/>
          <w:color w:val="000000"/>
          <w:sz w:val="28"/>
        </w:rPr>
        <w:t>
      9) объективные критерии оценки степени риска (далее - объективные критерии) – критерии оценки степени риска, используемые для отбора субъектов контроля в зависимости от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и не зависящие непосредственно от отдельного субъекта (объекта) контроля;</w:t>
      </w:r>
    </w:p>
    <w:bookmarkEnd w:id="22"/>
    <w:bookmarkStart w:name="z91" w:id="23"/>
    <w:p>
      <w:pPr>
        <w:spacing w:after="0"/>
        <w:ind w:left="0"/>
        <w:jc w:val="both"/>
      </w:pPr>
      <w:r>
        <w:rPr>
          <w:rFonts w:ascii="Times New Roman"/>
          <w:b w:val="false"/>
          <w:i w:val="false"/>
          <w:color w:val="000000"/>
          <w:sz w:val="28"/>
        </w:rPr>
        <w:t>
      10)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контроля;</w:t>
      </w:r>
    </w:p>
    <w:bookmarkEnd w:id="23"/>
    <w:bookmarkStart w:name="z92" w:id="24"/>
    <w:p>
      <w:pPr>
        <w:spacing w:after="0"/>
        <w:ind w:left="0"/>
        <w:jc w:val="both"/>
      </w:pPr>
      <w:r>
        <w:rPr>
          <w:rFonts w:ascii="Times New Roman"/>
          <w:b w:val="false"/>
          <w:i w:val="false"/>
          <w:color w:val="000000"/>
          <w:sz w:val="28"/>
        </w:rPr>
        <w:t>
      11)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4"/>
    <w:bookmarkStart w:name="z93" w:id="25"/>
    <w:p>
      <w:pPr>
        <w:spacing w:after="0"/>
        <w:ind w:left="0"/>
        <w:jc w:val="both"/>
      </w:pPr>
      <w:r>
        <w:rPr>
          <w:rFonts w:ascii="Times New Roman"/>
          <w:b w:val="false"/>
          <w:i w:val="false"/>
          <w:color w:val="000000"/>
          <w:sz w:val="28"/>
        </w:rPr>
        <w:t xml:space="preserve">
      12)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5"/>
    <w:bookmarkStart w:name="z94" w:id="26"/>
    <w:p>
      <w:pPr>
        <w:spacing w:after="0"/>
        <w:ind w:left="0"/>
        <w:jc w:val="both"/>
      </w:pPr>
      <w:r>
        <w:rPr>
          <w:rFonts w:ascii="Times New Roman"/>
          <w:b w:val="false"/>
          <w:i w:val="false"/>
          <w:color w:val="000000"/>
          <w:sz w:val="28"/>
        </w:rPr>
        <w:t xml:space="preserve">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 </w:t>
      </w:r>
    </w:p>
    <w:bookmarkEnd w:id="26"/>
    <w:bookmarkStart w:name="z95" w:id="27"/>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применяется в отношении субъекта контроля, отнесенного к высокой степени риска.</w:t>
      </w:r>
    </w:p>
    <w:bookmarkEnd w:id="27"/>
    <w:bookmarkStart w:name="z96" w:id="28"/>
    <w:p>
      <w:pPr>
        <w:spacing w:after="0"/>
        <w:ind w:left="0"/>
        <w:jc w:val="both"/>
      </w:pPr>
      <w:r>
        <w:rPr>
          <w:rFonts w:ascii="Times New Roman"/>
          <w:b w:val="false"/>
          <w:i w:val="false"/>
          <w:color w:val="000000"/>
          <w:sz w:val="28"/>
        </w:rPr>
        <w:t xml:space="preserve">
      4. Профилактический контроль с посещением субъектов (объектов) контроля проводится на основании списков проведения профилактического контроля с посещением субъектов (объектов) контроля, формируемых на полугодие, по результатам проводимого анализа и оценки, утвержденных приказом первого руководителя регулирующего государственного органа или местного исполнительного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 за исключением случая формирования графиков и полугодовых списков в информационных системах оценки и управления рисками в автоматическом режиме. </w:t>
      </w:r>
    </w:p>
    <w:bookmarkEnd w:id="28"/>
    <w:bookmarkStart w:name="z97" w:id="29"/>
    <w:p>
      <w:pPr>
        <w:spacing w:after="0"/>
        <w:ind w:left="0"/>
        <w:jc w:val="both"/>
      </w:pPr>
      <w:r>
        <w:rPr>
          <w:rFonts w:ascii="Times New Roman"/>
          <w:b w:val="false"/>
          <w:i w:val="false"/>
          <w:color w:val="000000"/>
          <w:sz w:val="28"/>
        </w:rPr>
        <w:t>
      5. Списки проведения профилактического контроля с посещением субъекта (объекта) контроля составляются с учетом приоритетности субъекта (объекта) контроля с наибольшим показателем степени риска по субъективным критериям.</w:t>
      </w:r>
    </w:p>
    <w:bookmarkEnd w:id="29"/>
    <w:bookmarkStart w:name="z98" w:id="30"/>
    <w:p>
      <w:pPr>
        <w:spacing w:after="0"/>
        <w:ind w:left="0"/>
        <w:jc w:val="left"/>
      </w:pPr>
      <w:r>
        <w:rPr>
          <w:rFonts w:ascii="Times New Roman"/>
          <w:b/>
          <w:i w:val="false"/>
          <w:color w:val="000000"/>
        </w:rPr>
        <w:t xml:space="preserve"> Глава 2. Объективные критерии</w:t>
      </w:r>
    </w:p>
    <w:bookmarkEnd w:id="30"/>
    <w:bookmarkStart w:name="z99" w:id="31"/>
    <w:p>
      <w:pPr>
        <w:spacing w:after="0"/>
        <w:ind w:left="0"/>
        <w:jc w:val="both"/>
      </w:pPr>
      <w:r>
        <w:rPr>
          <w:rFonts w:ascii="Times New Roman"/>
          <w:b w:val="false"/>
          <w:i w:val="false"/>
          <w:color w:val="000000"/>
          <w:sz w:val="28"/>
        </w:rPr>
        <w:t>
      6. В регулировании торговой деятельности в части соблюдения размера торговой надбавки и вознаграждения к высокой степени риска относятся риски вероятности причинения вреда законным интересам физических и юридических лиц, имущественным интересам государства субъектами контроля.</w:t>
      </w:r>
    </w:p>
    <w:bookmarkEnd w:id="31"/>
    <w:bookmarkStart w:name="z100" w:id="32"/>
    <w:p>
      <w:pPr>
        <w:spacing w:after="0"/>
        <w:ind w:left="0"/>
        <w:jc w:val="both"/>
      </w:pPr>
      <w:r>
        <w:rPr>
          <w:rFonts w:ascii="Times New Roman"/>
          <w:b w:val="false"/>
          <w:i w:val="false"/>
          <w:color w:val="000000"/>
          <w:sz w:val="28"/>
        </w:rPr>
        <w:t>
      По объективным критериям к высокой степени риска относятся субъекты внутренней торговли, осуществляющие деятельность на торговых объектах.</w:t>
      </w:r>
    </w:p>
    <w:bookmarkEnd w:id="32"/>
    <w:bookmarkStart w:name="z101" w:id="33"/>
    <w:p>
      <w:pPr>
        <w:spacing w:after="0"/>
        <w:ind w:left="0"/>
        <w:jc w:val="both"/>
      </w:pPr>
      <w:r>
        <w:rPr>
          <w:rFonts w:ascii="Times New Roman"/>
          <w:b w:val="false"/>
          <w:i w:val="false"/>
          <w:color w:val="000000"/>
          <w:sz w:val="28"/>
        </w:rPr>
        <w:t xml:space="preserve">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 </w:t>
      </w:r>
    </w:p>
    <w:bookmarkEnd w:id="33"/>
    <w:bookmarkStart w:name="z102" w:id="34"/>
    <w:p>
      <w:pPr>
        <w:spacing w:after="0"/>
        <w:ind w:left="0"/>
        <w:jc w:val="both"/>
      </w:pPr>
      <w:r>
        <w:rPr>
          <w:rFonts w:ascii="Times New Roman"/>
          <w:b w:val="false"/>
          <w:i w:val="false"/>
          <w:color w:val="000000"/>
          <w:sz w:val="28"/>
        </w:rPr>
        <w:t>
      Субъекты внутренней торговли, осуществляющие деятельность на коммунальных рынках, относятся к низкой степени риска. В отношении таких субъектов проводятся внеплановые проверки.</w:t>
      </w:r>
    </w:p>
    <w:bookmarkEnd w:id="34"/>
    <w:bookmarkStart w:name="z103" w:id="35"/>
    <w:p>
      <w:pPr>
        <w:spacing w:after="0"/>
        <w:ind w:left="0"/>
        <w:jc w:val="left"/>
      </w:pPr>
      <w:r>
        <w:rPr>
          <w:rFonts w:ascii="Times New Roman"/>
          <w:b/>
          <w:i w:val="false"/>
          <w:color w:val="000000"/>
        </w:rPr>
        <w:t xml:space="preserve"> Глава 3. Субъективные критерии</w:t>
      </w:r>
    </w:p>
    <w:bookmarkEnd w:id="35"/>
    <w:bookmarkStart w:name="z104" w:id="36"/>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36"/>
    <w:bookmarkStart w:name="z105" w:id="37"/>
    <w:p>
      <w:pPr>
        <w:spacing w:after="0"/>
        <w:ind w:left="0"/>
        <w:jc w:val="both"/>
      </w:pPr>
      <w:r>
        <w:rPr>
          <w:rFonts w:ascii="Times New Roman"/>
          <w:b w:val="false"/>
          <w:i w:val="false"/>
          <w:color w:val="000000"/>
          <w:sz w:val="28"/>
        </w:rPr>
        <w:t>
      1) формирование базы данных и сбор информации;</w:t>
      </w:r>
    </w:p>
    <w:bookmarkEnd w:id="37"/>
    <w:bookmarkStart w:name="z106" w:id="38"/>
    <w:p>
      <w:pPr>
        <w:spacing w:after="0"/>
        <w:ind w:left="0"/>
        <w:jc w:val="both"/>
      </w:pPr>
      <w:r>
        <w:rPr>
          <w:rFonts w:ascii="Times New Roman"/>
          <w:b w:val="false"/>
          <w:i w:val="false"/>
          <w:color w:val="000000"/>
          <w:sz w:val="28"/>
        </w:rPr>
        <w:t>
      2) анализ информации и оценка рисков.</w:t>
      </w:r>
    </w:p>
    <w:bookmarkEnd w:id="38"/>
    <w:bookmarkStart w:name="z107" w:id="39"/>
    <w:p>
      <w:pPr>
        <w:spacing w:after="0"/>
        <w:ind w:left="0"/>
        <w:jc w:val="both"/>
      </w:pPr>
      <w:r>
        <w:rPr>
          <w:rFonts w:ascii="Times New Roman"/>
          <w:b w:val="false"/>
          <w:i w:val="false"/>
          <w:color w:val="000000"/>
          <w:sz w:val="28"/>
        </w:rPr>
        <w:t>
      8.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39"/>
    <w:bookmarkStart w:name="z108" w:id="40"/>
    <w:p>
      <w:pPr>
        <w:spacing w:after="0"/>
        <w:ind w:left="0"/>
        <w:jc w:val="both"/>
      </w:pPr>
      <w:r>
        <w:rPr>
          <w:rFonts w:ascii="Times New Roman"/>
          <w:b w:val="false"/>
          <w:i w:val="false"/>
          <w:color w:val="000000"/>
          <w:sz w:val="28"/>
        </w:rPr>
        <w:t>
      Для оценки степени риска используются результаты предыдущих проверок и профилактического контроля с посещением субъектов (объектов) контроля.</w:t>
      </w:r>
    </w:p>
    <w:bookmarkEnd w:id="40"/>
    <w:bookmarkStart w:name="z109" w:id="41"/>
    <w:p>
      <w:pPr>
        <w:spacing w:after="0"/>
        <w:ind w:left="0"/>
        <w:jc w:val="both"/>
      </w:pPr>
      <w:r>
        <w:rPr>
          <w:rFonts w:ascii="Times New Roman"/>
          <w:b w:val="false"/>
          <w:i w:val="false"/>
          <w:color w:val="000000"/>
          <w:sz w:val="28"/>
        </w:rPr>
        <w:t xml:space="preserve">
      9. Для отнесения субъекта контроля к степени риска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Критериев применяется следующий порядок расчета показателя степени риска.</w:t>
      </w:r>
    </w:p>
    <w:bookmarkEnd w:id="41"/>
    <w:bookmarkStart w:name="z110" w:id="42"/>
    <w:p>
      <w:pPr>
        <w:spacing w:after="0"/>
        <w:ind w:left="0"/>
        <w:jc w:val="both"/>
      </w:pPr>
      <w:r>
        <w:rPr>
          <w:rFonts w:ascii="Times New Roman"/>
          <w:b w:val="false"/>
          <w:i w:val="false"/>
          <w:color w:val="000000"/>
          <w:sz w:val="28"/>
        </w:rPr>
        <w:t xml:space="preserve">
      Государственный орган собирает информацию и формирует базу данных по субъективным критериям из источников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Критериям.</w:t>
      </w:r>
    </w:p>
    <w:bookmarkEnd w:id="42"/>
    <w:bookmarkStart w:name="z111" w:id="43"/>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Критериев (SC), с последующей нормализацией значений данных в диапазон от 0 до 100 баллов.</w:t>
      </w:r>
    </w:p>
    <w:bookmarkEnd w:id="43"/>
    <w:bookmarkStart w:name="z112" w:id="4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44"/>
    <w:bookmarkStart w:name="z113" w:id="4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45"/>
    <w:bookmarkStart w:name="z114" w:id="46"/>
    <w:p>
      <w:pPr>
        <w:spacing w:after="0"/>
        <w:ind w:left="0"/>
        <w:jc w:val="both"/>
      </w:pPr>
      <w:r>
        <w:rPr>
          <w:rFonts w:ascii="Times New Roman"/>
          <w:b w:val="false"/>
          <w:i w:val="false"/>
          <w:color w:val="000000"/>
          <w:sz w:val="28"/>
        </w:rPr>
        <w:t>
      SР – показатель степени риска по нарушениям,</w:t>
      </w:r>
    </w:p>
    <w:bookmarkEnd w:id="46"/>
    <w:bookmarkStart w:name="z115" w:id="47"/>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Критерии.</w:t>
      </w:r>
    </w:p>
    <w:bookmarkEnd w:id="47"/>
    <w:bookmarkStart w:name="z116" w:id="4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48"/>
    <w:bookmarkStart w:name="z117" w:id="49"/>
    <w:p>
      <w:pPr>
        <w:spacing w:after="0"/>
        <w:ind w:left="0"/>
        <w:jc w:val="both"/>
      </w:pPr>
      <w:r>
        <w:rPr>
          <w:rFonts w:ascii="Times New Roman"/>
          <w:b w:val="false"/>
          <w:i w:val="false"/>
          <w:color w:val="000000"/>
          <w:sz w:val="28"/>
        </w:rPr>
        <w:t>
      10. Субъективные критерии разработаны на основании требований проверочных листов, несоблюдение которых в соответствии с субъективными критериями оценки степени рисков субъектов в сферах о регулировании торговой деятельности в части соблюдения размера торговой надбавки на социально значимые продовольственные товары и вознаграждения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49"/>
    <w:bookmarkStart w:name="z118" w:id="50"/>
    <w:p>
      <w:pPr>
        <w:spacing w:after="0"/>
        <w:ind w:left="0"/>
        <w:jc w:val="both"/>
      </w:pPr>
      <w:r>
        <w:rPr>
          <w:rFonts w:ascii="Times New Roman"/>
          <w:b w:val="false"/>
          <w:i w:val="false"/>
          <w:color w:val="000000"/>
          <w:sz w:val="28"/>
        </w:rPr>
        <w:t xml:space="preserve">
      Субъективные критерии к оценке степени риска деятельности субъектов контроля изложены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p>
    <w:bookmarkEnd w:id="50"/>
    <w:bookmarkStart w:name="z119" w:id="51"/>
    <w:p>
      <w:pPr>
        <w:spacing w:after="0"/>
        <w:ind w:left="0"/>
        <w:jc w:val="both"/>
      </w:pPr>
      <w:r>
        <w:rPr>
          <w:rFonts w:ascii="Times New Roman"/>
          <w:b w:val="false"/>
          <w:i w:val="false"/>
          <w:color w:val="000000"/>
          <w:sz w:val="28"/>
        </w:rPr>
        <w:t>
      11.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51"/>
    <w:bookmarkStart w:name="z120" w:id="52"/>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52"/>
    <w:bookmarkStart w:name="z121" w:id="53"/>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53"/>
    <w:bookmarkStart w:name="z122" w:id="54"/>
    <w:p>
      <w:pPr>
        <w:spacing w:after="0"/>
        <w:ind w:left="0"/>
        <w:jc w:val="both"/>
      </w:pPr>
      <w:r>
        <w:rPr>
          <w:rFonts w:ascii="Times New Roman"/>
          <w:b w:val="false"/>
          <w:i w:val="false"/>
          <w:color w:val="000000"/>
          <w:sz w:val="28"/>
        </w:rPr>
        <w:t>
      2) к низкой степени риска – при показателе степени риска от 0 до 30 включительно.</w:t>
      </w:r>
    </w:p>
    <w:bookmarkEnd w:id="54"/>
    <w:bookmarkStart w:name="z123" w:id="55"/>
    <w:p>
      <w:pPr>
        <w:spacing w:after="0"/>
        <w:ind w:left="0"/>
        <w:jc w:val="both"/>
      </w:pPr>
      <w:r>
        <w:rPr>
          <w:rFonts w:ascii="Times New Roman"/>
          <w:b w:val="false"/>
          <w:i w:val="false"/>
          <w:color w:val="000000"/>
          <w:sz w:val="28"/>
        </w:rPr>
        <w:t>
      12.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55"/>
    <w:bookmarkStart w:name="z124" w:id="56"/>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56"/>
    <w:bookmarkStart w:name="z125" w:id="57"/>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7"/>
    <w:bookmarkStart w:name="z126" w:id="5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58"/>
    <w:bookmarkStart w:name="z127" w:id="59"/>
    <w:p>
      <w:pPr>
        <w:spacing w:after="0"/>
        <w:ind w:left="0"/>
        <w:jc w:val="both"/>
      </w:pPr>
      <w:r>
        <w:rPr>
          <w:rFonts w:ascii="Times New Roman"/>
          <w:b w:val="false"/>
          <w:i w:val="false"/>
          <w:color w:val="000000"/>
          <w:sz w:val="28"/>
        </w:rPr>
        <w:t>
      где:</w:t>
      </w:r>
    </w:p>
    <w:bookmarkEnd w:id="59"/>
    <w:bookmarkStart w:name="z128" w:id="6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60"/>
    <w:bookmarkStart w:name="z129" w:id="6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61"/>
    <w:bookmarkStart w:name="z130" w:id="6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62"/>
    <w:bookmarkStart w:name="z131" w:id="63"/>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63"/>
    <w:bookmarkStart w:name="z132" w:id="6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64"/>
    <w:bookmarkStart w:name="z133" w:id="65"/>
    <w:p>
      <w:pPr>
        <w:spacing w:after="0"/>
        <w:ind w:left="0"/>
        <w:jc w:val="both"/>
      </w:pPr>
      <w:r>
        <w:rPr>
          <w:rFonts w:ascii="Times New Roman"/>
          <w:b w:val="false"/>
          <w:i w:val="false"/>
          <w:color w:val="000000"/>
          <w:sz w:val="28"/>
        </w:rPr>
        <w:t>
      где:</w:t>
      </w:r>
    </w:p>
    <w:bookmarkEnd w:id="65"/>
    <w:bookmarkStart w:name="z134" w:id="6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66"/>
    <w:bookmarkStart w:name="z135" w:id="6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67"/>
    <w:bookmarkStart w:name="z136" w:id="6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68"/>
    <w:bookmarkStart w:name="z137" w:id="69"/>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9"/>
    <w:bookmarkStart w:name="z138" w:id="70"/>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bookmarkEnd w:id="70"/>
    <w:bookmarkStart w:name="z139" w:id="71"/>
    <w:p>
      <w:pPr>
        <w:spacing w:after="0"/>
        <w:ind w:left="0"/>
        <w:jc w:val="both"/>
      </w:pPr>
      <w:r>
        <w:rPr>
          <w:rFonts w:ascii="Times New Roman"/>
          <w:b w:val="false"/>
          <w:i w:val="false"/>
          <w:color w:val="000000"/>
          <w:sz w:val="28"/>
        </w:rPr>
        <w:t>
      где:</w:t>
      </w:r>
    </w:p>
    <w:bookmarkEnd w:id="71"/>
    <w:bookmarkStart w:name="z140" w:id="72"/>
    <w:p>
      <w:pPr>
        <w:spacing w:after="0"/>
        <w:ind w:left="0"/>
        <w:jc w:val="both"/>
      </w:pPr>
      <w:r>
        <w:rPr>
          <w:rFonts w:ascii="Times New Roman"/>
          <w:b w:val="false"/>
          <w:i w:val="false"/>
          <w:color w:val="000000"/>
          <w:sz w:val="28"/>
        </w:rPr>
        <w:t>
      SР – общий показатель степени риска;</w:t>
      </w:r>
    </w:p>
    <w:bookmarkEnd w:id="72"/>
    <w:bookmarkStart w:name="z141" w:id="7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73"/>
    <w:bookmarkStart w:name="z142" w:id="7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74"/>
    <w:bookmarkStart w:name="z143" w:id="75"/>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определяется критериями оценки степени риска, не чаще двух раз в год.</w:t>
      </w:r>
    </w:p>
    <w:bookmarkEnd w:id="75"/>
    <w:bookmarkStart w:name="z144" w:id="76"/>
    <w:p>
      <w:pPr>
        <w:spacing w:after="0"/>
        <w:ind w:left="0"/>
        <w:jc w:val="left"/>
      </w:pPr>
      <w:r>
        <w:rPr>
          <w:rFonts w:ascii="Times New Roman"/>
          <w:b/>
          <w:i w:val="false"/>
          <w:color w:val="000000"/>
        </w:rPr>
        <w:t xml:space="preserve"> Глава 4. Управление рисками</w:t>
      </w:r>
    </w:p>
    <w:bookmarkEnd w:id="76"/>
    <w:bookmarkStart w:name="z145" w:id="77"/>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77"/>
    <w:bookmarkStart w:name="z146" w:id="78"/>
    <w:p>
      <w:pPr>
        <w:spacing w:after="0"/>
        <w:ind w:left="0"/>
        <w:jc w:val="both"/>
      </w:pPr>
      <w:r>
        <w:rPr>
          <w:rFonts w:ascii="Times New Roman"/>
          <w:b w:val="false"/>
          <w:i w:val="false"/>
          <w:color w:val="000000"/>
          <w:sz w:val="28"/>
        </w:rPr>
        <w:t>
      15. Субъекты (объекты) контроля переводятся с применением информационной системы с высокой степени риска в низкую степень риска в соответствующих сферах деятельности субъектов контроля в случаях:</w:t>
      </w:r>
    </w:p>
    <w:bookmarkEnd w:id="78"/>
    <w:bookmarkStart w:name="z147" w:id="79"/>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79"/>
    <w:bookmarkStart w:name="z148" w:id="80"/>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регулирующего государственного органа определены случаи освобождения от профилактического контроля с посещением субъекта (объекта) контроля;</w:t>
      </w:r>
    </w:p>
    <w:bookmarkEnd w:id="80"/>
    <w:bookmarkStart w:name="z149" w:id="81"/>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81"/>
    <w:bookmarkStart w:name="z150" w:id="82"/>
    <w:p>
      <w:pPr>
        <w:spacing w:after="0"/>
        <w:ind w:left="0"/>
        <w:jc w:val="both"/>
      </w:pPr>
      <w:r>
        <w:rPr>
          <w:rFonts w:ascii="Times New Roman"/>
          <w:b w:val="false"/>
          <w:i w:val="false"/>
          <w:color w:val="000000"/>
          <w:sz w:val="28"/>
        </w:rPr>
        <w:t>
      16. В целях освобождения от профилактического контроля с посещением субъекта (объекта) контроля, регулирующим государственным органом учитываются смягчающие индикаторы.</w:t>
      </w:r>
    </w:p>
    <w:bookmarkEnd w:id="82"/>
    <w:bookmarkStart w:name="z151" w:id="83"/>
    <w:p>
      <w:pPr>
        <w:spacing w:after="0"/>
        <w:ind w:left="0"/>
        <w:jc w:val="both"/>
      </w:pPr>
      <w:r>
        <w:rPr>
          <w:rFonts w:ascii="Times New Roman"/>
          <w:b w:val="false"/>
          <w:i w:val="false"/>
          <w:color w:val="000000"/>
          <w:sz w:val="28"/>
        </w:rPr>
        <w:t>
      К смягчающим индикаторам относится:</w:t>
      </w:r>
    </w:p>
    <w:bookmarkEnd w:id="83"/>
    <w:bookmarkStart w:name="z152" w:id="84"/>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84"/>
    <w:bookmarkStart w:name="z153" w:id="85"/>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государственного органа.</w:t>
      </w:r>
    </w:p>
    <w:bookmarkEnd w:id="85"/>
    <w:bookmarkStart w:name="z154" w:id="86"/>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регулирующим государственным органом осуществляется в части требований, данные по которым получены указанными в смягчающих индикаторах способами.</w:t>
      </w:r>
    </w:p>
    <w:bookmarkEnd w:id="86"/>
    <w:bookmarkStart w:name="z155" w:id="87"/>
    <w:p>
      <w:pPr>
        <w:spacing w:after="0"/>
        <w:ind w:left="0"/>
        <w:jc w:val="left"/>
      </w:pPr>
      <w:r>
        <w:rPr>
          <w:rFonts w:ascii="Times New Roman"/>
          <w:b/>
          <w:i w:val="false"/>
          <w:color w:val="000000"/>
        </w:rPr>
        <w:t xml:space="preserve"> Глава 5.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87"/>
    <w:bookmarkStart w:name="z156" w:id="88"/>
    <w:p>
      <w:pPr>
        <w:spacing w:after="0"/>
        <w:ind w:left="0"/>
        <w:jc w:val="both"/>
      </w:pPr>
      <w:r>
        <w:rPr>
          <w:rFonts w:ascii="Times New Roman"/>
          <w:b w:val="false"/>
          <w:i w:val="false"/>
          <w:color w:val="000000"/>
          <w:sz w:val="28"/>
        </w:rPr>
        <w:t>
      17.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88"/>
    <w:bookmarkStart w:name="z157" w:id="89"/>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за соблюдением</w:t>
            </w:r>
            <w:r>
              <w:br/>
            </w:r>
            <w:r>
              <w:rPr>
                <w:rFonts w:ascii="Times New Roman"/>
                <w:b w:val="false"/>
                <w:i w:val="false"/>
                <w:color w:val="000000"/>
                <w:sz w:val="20"/>
              </w:rPr>
              <w:t>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регулировании торговой</w:t>
            </w:r>
            <w:r>
              <w:br/>
            </w:r>
            <w:r>
              <w:rPr>
                <w:rFonts w:ascii="Times New Roman"/>
                <w:b w:val="false"/>
                <w:i w:val="false"/>
                <w:color w:val="000000"/>
                <w:sz w:val="20"/>
              </w:rPr>
              <w:t>деятельности в части</w:t>
            </w:r>
            <w:r>
              <w:br/>
            </w:r>
            <w:r>
              <w:rPr>
                <w:rFonts w:ascii="Times New Roman"/>
                <w:b w:val="false"/>
                <w:i w:val="false"/>
                <w:color w:val="000000"/>
                <w:sz w:val="20"/>
              </w:rPr>
              <w:t>соблюдения размера торговой</w:t>
            </w:r>
            <w:r>
              <w:br/>
            </w:r>
            <w:r>
              <w:rPr>
                <w:rFonts w:ascii="Times New Roman"/>
                <w:b w:val="false"/>
                <w:i w:val="false"/>
                <w:color w:val="000000"/>
                <w:sz w:val="20"/>
              </w:rPr>
              <w:t>надбавки на социально</w:t>
            </w:r>
            <w:r>
              <w:br/>
            </w:r>
            <w:r>
              <w:rPr>
                <w:rFonts w:ascii="Times New Roman"/>
                <w:b w:val="false"/>
                <w:i w:val="false"/>
                <w:color w:val="000000"/>
                <w:sz w:val="20"/>
              </w:rPr>
              <w:t>значимые продовольственные</w:t>
            </w:r>
            <w:r>
              <w:br/>
            </w:r>
            <w:r>
              <w:rPr>
                <w:rFonts w:ascii="Times New Roman"/>
                <w:b w:val="false"/>
                <w:i w:val="false"/>
                <w:color w:val="000000"/>
                <w:sz w:val="20"/>
              </w:rPr>
              <w:t>товары и вознаграждения</w:t>
            </w:r>
          </w:p>
        </w:tc>
      </w:tr>
    </w:tbl>
    <w:bookmarkStart w:name="z159" w:id="90"/>
    <w:p>
      <w:pPr>
        <w:spacing w:after="0"/>
        <w:ind w:left="0"/>
        <w:jc w:val="left"/>
      </w:pPr>
      <w:r>
        <w:rPr>
          <w:rFonts w:ascii="Times New Roman"/>
          <w:b/>
          <w:i w:val="false"/>
          <w:color w:val="000000"/>
        </w:rPr>
        <w:t xml:space="preserve"> Степень нарушений требований в части соблюдения размера торговой надбавки на социально значимые продовольственные товары и вознаграждения</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товарно-сопроводительных документов на продовольственные товары, оформленных изготовителем или поставщиком (продавцом)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поставки социально значимых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439-НҚ</w:t>
            </w:r>
          </w:p>
        </w:tc>
      </w:tr>
    </w:tbl>
    <w:bookmarkStart w:name="z78" w:id="91"/>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 регулировании торговой деятельности в части соблюдения размера торговой</w:t>
      </w:r>
      <w:r>
        <w:br/>
      </w:r>
      <w:r>
        <w:rPr>
          <w:rFonts w:ascii="Times New Roman"/>
          <w:b/>
          <w:i w:val="false"/>
          <w:color w:val="000000"/>
        </w:rPr>
        <w:t>надбавки на социально значимые продовольственные товары и вознаграждения</w:t>
      </w:r>
    </w:p>
    <w:bookmarkEnd w:id="91"/>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17.05.2023 № 177-НҚ и Министра национальной экономики РК от 17.05.2023 № 70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0" w:id="9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92"/>
    <w:p>
      <w:pPr>
        <w:spacing w:after="0"/>
        <w:ind w:left="0"/>
        <w:jc w:val="both"/>
      </w:pPr>
      <w:r>
        <w:rPr>
          <w:rFonts w:ascii="Times New Roman"/>
          <w:b w:val="false"/>
          <w:i w:val="false"/>
          <w:color w:val="000000"/>
          <w:sz w:val="28"/>
        </w:rPr>
        <w:t>В отношении субъекта внутренней торговли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товарно-сопроводительных документов на продовольственные товары, оформленных изготовителем или поставщиком (продавцом)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поставки социально значимых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93"/>
      <w:r>
        <w:rPr>
          <w:rFonts w:ascii="Times New Roman"/>
          <w:b w:val="false"/>
          <w:i w:val="false"/>
          <w:color w:val="000000"/>
          <w:sz w:val="28"/>
        </w:rPr>
        <w:t>
      Должностное (ые) лицо (а) ____________________________________________</w:t>
      </w:r>
    </w:p>
    <w:bookmarkEnd w:id="9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Руководитель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