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ffb0" w14:textId="7c7f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материально-технического обеспечения государственных органов</w:t>
      </w:r>
    </w:p>
    <w:p>
      <w:pPr>
        <w:spacing w:after="0"/>
        <w:ind w:left="0"/>
        <w:jc w:val="both"/>
      </w:pPr>
      <w:r>
        <w:rPr>
          <w:rFonts w:ascii="Times New Roman"/>
          <w:b w:val="false"/>
          <w:i w:val="false"/>
          <w:color w:val="000000"/>
          <w:sz w:val="28"/>
        </w:rPr>
        <w:t>Приказ Министра финансов Республики Казахстан от 1 июля 2021 года № 633. Зарегистрирован в Министерстве юстиции Республики Казахстан 9 июля 2021 года № 23445.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материально-технического обеспечения государственных органов.</w:t>
      </w:r>
    </w:p>
    <w:bookmarkEnd w:id="1"/>
    <w:bookmarkStart w:name="z23" w:id="2"/>
    <w:p>
      <w:pPr>
        <w:spacing w:after="0"/>
        <w:ind w:left="0"/>
        <w:jc w:val="both"/>
      </w:pPr>
      <w:r>
        <w:rPr>
          <w:rFonts w:ascii="Times New Roman"/>
          <w:b w:val="false"/>
          <w:i w:val="false"/>
          <w:color w:val="000000"/>
          <w:sz w:val="28"/>
        </w:rPr>
        <w:t>
      1-1. Установить натуральные нормы обеспечения канцелярскими принадлежностями и другими расходными материалами для государственных органов в размере 8 (восьми) месячных расчетных показателей на 1 (одного) работника (сотрудника) в год.</w:t>
      </w:r>
    </w:p>
    <w:bookmarkEnd w:id="2"/>
    <w:bookmarkStart w:name="z24" w:id="3"/>
    <w:p>
      <w:pPr>
        <w:spacing w:after="0"/>
        <w:ind w:left="0"/>
        <w:jc w:val="both"/>
      </w:pPr>
      <w:r>
        <w:rPr>
          <w:rFonts w:ascii="Times New Roman"/>
          <w:b w:val="false"/>
          <w:i w:val="false"/>
          <w:color w:val="000000"/>
          <w:sz w:val="28"/>
        </w:rPr>
        <w:t>
      Для работников структурных подразделений по защите информации, документационного обеспечения государственных органов и осуществляющих деятельность Республиканской бюджетной комиссии, ведомственной бюджетной комиссии натуральные нормы обеспечения канцелярскими принадлежностями и другими расходными материалами не распространяются.</w:t>
      </w:r>
    </w:p>
    <w:bookmarkEnd w:id="3"/>
    <w:bookmarkStart w:name="z25" w:id="4"/>
    <w:p>
      <w:pPr>
        <w:spacing w:after="0"/>
        <w:ind w:left="0"/>
        <w:jc w:val="both"/>
      </w:pPr>
      <w:r>
        <w:rPr>
          <w:rFonts w:ascii="Times New Roman"/>
          <w:b w:val="false"/>
          <w:i w:val="false"/>
          <w:color w:val="000000"/>
          <w:sz w:val="28"/>
        </w:rPr>
        <w:t>
      Государственные органы с учетом специфики деятельности структурных подразделений по защите информации, документационного обеспечения государственных органов и осуществляющих деятельность Республиканской бюджетной комиссии, ведомственной бюджетной комиссии при необходимости самостоятельно разрабатывают и утверждают внутренний порядок обеспечения канцелярскими принадлежностями и другими расходными материалами.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1-1 в соответствии с приказом Министра финансов РК от 14.10.2024 </w:t>
      </w:r>
      <w:r>
        <w:rPr>
          <w:rFonts w:ascii="Times New Roman"/>
          <w:b w:val="false"/>
          <w:i w:val="false"/>
          <w:color w:val="000000"/>
          <w:sz w:val="28"/>
        </w:rPr>
        <w:t>№ 694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
    <w:bookmarkStart w:name="z7"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9" w:id="8"/>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8"/>
    <w:bookmarkStart w:name="z10" w:id="9"/>
    <w:p>
      <w:pPr>
        <w:spacing w:after="0"/>
        <w:ind w:left="0"/>
        <w:jc w:val="both"/>
      </w:pPr>
      <w:r>
        <w:rPr>
          <w:rFonts w:ascii="Times New Roman"/>
          <w:b w:val="false"/>
          <w:i w:val="false"/>
          <w:color w:val="000000"/>
          <w:sz w:val="28"/>
        </w:rPr>
        <w:t>
      3. Реализацию данного приказа осуществлять в пределах средств, предусмотренных в бюджете на соответствующий период.</w:t>
      </w:r>
    </w:p>
    <w:bookmarkEnd w:id="9"/>
    <w:bookmarkStart w:name="z11"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633</w:t>
            </w:r>
          </w:p>
        </w:tc>
      </w:tr>
    </w:tbl>
    <w:bookmarkStart w:name="z14" w:id="11"/>
    <w:p>
      <w:pPr>
        <w:spacing w:after="0"/>
        <w:ind w:left="0"/>
        <w:jc w:val="left"/>
      </w:pPr>
      <w:r>
        <w:rPr>
          <w:rFonts w:ascii="Times New Roman"/>
          <w:b/>
          <w:i w:val="false"/>
          <w:color w:val="000000"/>
        </w:rPr>
        <w:t xml:space="preserve"> Натуральные нормы материально-технического обеспечения государственных органов</w:t>
      </w:r>
    </w:p>
    <w:bookmarkEnd w:id="11"/>
    <w:p>
      <w:pPr>
        <w:spacing w:after="0"/>
        <w:ind w:left="0"/>
        <w:jc w:val="both"/>
      </w:pPr>
      <w:r>
        <w:rPr>
          <w:rFonts w:ascii="Times New Roman"/>
          <w:b w:val="false"/>
          <w:i w:val="false"/>
          <w:color w:val="ff0000"/>
          <w:sz w:val="28"/>
        </w:rPr>
        <w:t xml:space="preserve">
      Сноска. Натуральные нормы с изменениями, внесенными приказами Заместителя Премьер-Министра - Министра финансов РК от 09.06.2022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18.05.2023 </w:t>
      </w:r>
      <w:r>
        <w:rPr>
          <w:rFonts w:ascii="Times New Roman"/>
          <w:b w:val="false"/>
          <w:i w:val="false"/>
          <w:color w:val="ff0000"/>
          <w:sz w:val="28"/>
        </w:rPr>
        <w:t>№ 520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14.10.2024 </w:t>
      </w:r>
      <w:r>
        <w:rPr>
          <w:rFonts w:ascii="Times New Roman"/>
          <w:b w:val="false"/>
          <w:i w:val="false"/>
          <w:color w:val="ff0000"/>
          <w:sz w:val="28"/>
        </w:rPr>
        <w:t>№ 694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 наименование должности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службы/срок эксплуатации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центральных государственных органов и местных исполнительных органов (министр, вице-министры, руководитель аппарата, председатели комитетов,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материал подлокотников: натуральное дерево/пластик/металл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материал подлокотников: натуральное дерево/пластик/металл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диван 2 кресла)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материал подлокотников: натуральное дерево/пластик/металл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плотная портьерная ткань; не более 70% полиэстера; не более 50% шелка; не более 30% вискозы; плотность: не более 600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лен и полиэстер; 70% полиэстера;30% льна; плотность не более 90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полиэфирная ткань; сатиновое плетение; светопроницаемость: не более 70%; плотность: не более 300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односторонние клеевое напыление; материал: плотная портьерная ткань; поперечная драпировка из плотной тяжелой ткани с воланами, складками или бахромой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секретности: не более 7 уровня; ширина входного паза: не более 400 мм; мощность резки: не более25 листов (80 г/м²); резка листа A4: не более на 9000 фрагментов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политико-административная в багете; материал багета: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магнитно-маркерная с подставкой на колесиках; рамка из алюминия с пластиковыми уголками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натуральное дерево, ЛДСтП или МДФ, пластик, металл,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ворсовый; плотность ковра: не более 200000 пучков на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плечики фигурные; материал: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огнестойкость; количество полок: не более 4; типы замка: ключевой/кодовый электронный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989-2014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988-2007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цифровой или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 монитор: диагональ не менее 21 дюйма; процессор – не менее 3.70 GHz, HDD не менее 1 TB, SSD не менее 250 GB, ОЗУ не менее 8 GВ, операционная система, офисный пакет, антивирус.</w:t>
            </w:r>
          </w:p>
          <w:p>
            <w:pPr>
              <w:spacing w:after="20"/>
              <w:ind w:left="20"/>
              <w:jc w:val="both"/>
            </w:pPr>
            <w:r>
              <w:rPr>
                <w:rFonts w:ascii="Times New Roman"/>
                <w:b w:val="false"/>
                <w:i w:val="false"/>
                <w:color w:val="000000"/>
                <w:sz w:val="20"/>
              </w:rPr>
              <w:t>
Ноутбук: Монитор: диагональ не менее 15.6 дюйма;</w:t>
            </w:r>
          </w:p>
          <w:p>
            <w:pPr>
              <w:spacing w:after="20"/>
              <w:ind w:left="20"/>
              <w:jc w:val="both"/>
            </w:pPr>
            <w:r>
              <w:rPr>
                <w:rFonts w:ascii="Times New Roman"/>
                <w:b w:val="false"/>
                <w:i w:val="false"/>
                <w:color w:val="000000"/>
                <w:sz w:val="20"/>
              </w:rPr>
              <w:t>
Процессор – не менее 1.8 GHz, SSD не менее 250 GB, ОЗУ не менее 8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случае производственной необходимости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3,70 GHz, HDD не менее 1 TB, SSD не менее 250 GB, ОЗУ не менее 8 GВ</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печати: не менее 20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диван 2 кресла)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подлокотники: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 материал декоративного профиля: натуральное дерево,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натуральное дерево,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плотная портьерная ткань; не более 70% полиэстера; не более 50% шелка; не более 30% вискозы; плотность: не более 600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лен и полиэстер;70% полиэстера;30% льна; плотность 83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полиэфирная ткань; сатиновое плетение; светопроницаемость: не более 80%; плотность: не более 400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односторонние клеевое напыление; материал: плотная портьерная ткань; поперечная драпировка из плотной тяжелой ткани с воланами, складками или бахромой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ворсовый; плотность ковра: не более 200000 пучков на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плечики фигурные; материал: натуральное дерево,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натуральная кожа, экокожа или гобелен; материал подлокотников: натуральное дерево, пластик или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 фурнитура: импортного или отечественного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натуральное дерево, ЛДСтП или МДФ; фурнитура: импортного или отечественного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напольный, настольный; для воды: холодный/горячий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экокожа/гобилен; материал подлокотников: 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экокожа/гобилен; материал подлокотников: 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напольный, настольный; для воды: холодный/горячий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(2 кресла)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экокожа/гобилен; подлокотники: ЛДСтП/МДФ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плотная портьерная ткань; не более 70% полиэстера; не более 50% шелка; не более 30% вискозы; плотность: не более 600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лен и полиэстер; 70% полиэстера; 30% льна; плотность 83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полиэфирная ткань; сатиновое плетение; светопроницаемость: не более 80%; плотность: не более 400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односторонние клеевое напыление; материал: плотная портьерная ткань; поперечная драпировка из плотной тяжелой ткани с воланами, складками или бахромой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ворсовый; плотность ковра: не более 200000 пучков на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форма: кактус, материал: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цифровой или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сканер, копир. максимальная скорость печати: не менее 40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финансов РК от 14.10.2024 </w:t>
            </w:r>
            <w:r>
              <w:rPr>
                <w:rFonts w:ascii="Times New Roman"/>
                <w:b w:val="false"/>
                <w:i w:val="false"/>
                <w:color w:val="ff0000"/>
                <w:sz w:val="20"/>
              </w:rPr>
              <w:t>№ 694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Департаментов центральных государственных органов и заместители председателей Комитетов, руководитель территориального органа центральных государственных органов в областях, городах республиканского значения, руководитель территориального органа центральных государственных органов в районах (городах районного значения), руководитель структурного подразделения аппарата акима областей, городов республиканского значения, столицы, районов (городов областного значения), руководитель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плотная портьерная ткань; не более 70% полиэстера; не более 50% шелка; не более 30% вискозы; плотность: не более 600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лен и полиэстер;70% полиэстера;30% льна; плотность не более 90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полиэфирная ткань; сатиновое плетение; светопроницаемость: не более 70%; плотность: не более 300 г/м²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односторонние клеевое напыление; материал: плотная портьерная ткань; поперечная драпировка из плотной тяжелой ткани с воланами, складками или бахромой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степень секретности: не более 7</w:t>
            </w:r>
          </w:p>
          <w:bookmarkEnd w:id="12"/>
          <w:p>
            <w:pPr>
              <w:spacing w:after="20"/>
              <w:ind w:left="20"/>
              <w:jc w:val="both"/>
            </w:pPr>
            <w:r>
              <w:rPr>
                <w:rFonts w:ascii="Times New Roman"/>
                <w:b w:val="false"/>
                <w:i w:val="false"/>
                <w:color w:val="000000"/>
                <w:sz w:val="20"/>
              </w:rPr>
              <w:t>
уровня; ширина входного паза: не более 400 мм; мощность резки: не более25 листов (80 г/м²); резка листа A4: не более на 9000 фрагментов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ворсовый; плотность ковра: не более 200000 пучков на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плечики фигурные; материал:ЛДСтП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огнестойкость; количество полок: не более 4; типы замка: ключевой/кодовый электронный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989-2014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988-2007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цифровой или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 ноутбук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 При необходимости улучшенная комплектация процессор – не менее 3.70 GHz, HDD не менее 1 TB, SSD не менее 250 GB, ОЗУ не менее 16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монитор: диагональ не менее 15.6 дюйма;</w:t>
            </w:r>
          </w:p>
          <w:bookmarkEnd w:id="13"/>
          <w:p>
            <w:pPr>
              <w:spacing w:after="20"/>
              <w:ind w:left="20"/>
              <w:jc w:val="both"/>
            </w:pPr>
            <w:r>
              <w:rPr>
                <w:rFonts w:ascii="Times New Roman"/>
                <w:b w:val="false"/>
                <w:i w:val="false"/>
                <w:color w:val="000000"/>
                <w:sz w:val="20"/>
              </w:rPr>
              <w:t>
процессор – не менее 1.8 GHz, SSD не менее 250 GB, ОЗУ не менее 8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печати: не менее 20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напольный, настольный; для воды: холодный/горячий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тканевые, алюминивые, пластиковые; вид: горизонтальный или вертикальный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форма: кактус, материал: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сканер, копир. Максимальная скорость печати: не менее 40 страниц в минуты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финансов РК от 14.10.2024 </w:t>
            </w:r>
            <w:r>
              <w:rPr>
                <w:rFonts w:ascii="Times New Roman"/>
                <w:b w:val="false"/>
                <w:i w:val="false"/>
                <w:color w:val="ff0000"/>
                <w:sz w:val="20"/>
              </w:rPr>
              <w:t>№ 694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руководитель управления центральных государственных органов и Комитетов, заместитель руководителя территориального органа центральных государственных органов в областях, городах республиканского значения, столице, заместитель руководителя исполнительного органа, финансируемых из областного бюджета, бюджетов города республиканского значения, столицы, бюджета района (города областного значения), секретарь маслихата области, города республиканского значения и столицы, района (города областного значения), руководитель аппарата маслихата области, города республиканского значения и столицы,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тканевые, алюминивые, пластиковые; вид: горизонтальный или вертикальный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напольный; плечики фигурные; материал:ЛДСтП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цифровой или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огнестойкость; количество полок: не более 4; типы замка: ключевой/кодовый электронный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 материал багета: ЛДСтП или МДФ, пластик, 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секретности: не более 7 уровня; ширина входного паза: не более 400 мм; мощность резки: не более25 листов (80 г/м²); резка листа A4: не более на 9000 фрагментов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 При необходимости улучшенная комплектация процессор – не менее 3.70 GHz, HDD не менее 1 TB, SSD не менее 250 GB, ОЗУ не менее 16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печати: не менее 20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финансов РК от 14.10.2024 </w:t>
            </w:r>
            <w:r>
              <w:rPr>
                <w:rFonts w:ascii="Times New Roman"/>
                <w:b w:val="false"/>
                <w:i w:val="false"/>
                <w:color w:val="ff0000"/>
                <w:sz w:val="20"/>
              </w:rPr>
              <w:t>№ 694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территориального органа центральных государственных органов в областях, городах республиканского значения, столице, руководитель территориального органа центральных государственных органов в районах (городах районного значения), работники, акимы района в городе, города районного значения, поселка, села, руководитель структурного подразделения исполнительного органа, финансируемых из областного бюджета, бюджетов города республиканского значения, столицы, бюджета района (города областного значения), работники аппарата акима области, городов республиканского значения, столицы, района (городов областного значения), работники исполнительного органа, финансируемых из областного бюджета, бюджетов города республиканского значения, столицы, бюджета района (города областного значения), работники ревизионных комиссий областей, городов республиканского значения, столицы, работники аппарата маслихата области, города республиканского значения и столицы,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и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ЛДСтП или МДФ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обивка: экокожа или гобелен; материал подлокотников: ЛДСтП или МДФ/пластик/металл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тканевые; вид: вертикальный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аналоговый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настенное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ЛДСтП или МДФ, пластик, металл; вид: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лет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огнестойкость; количество полок: не более 4; типы замка: ключевой/кодовый электронный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уничтожитель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секретности: не более 7 уровня; ширина входного паза: не более 400 мм; мощность резки: не более 25 листов (80 г/м²); резка листа A4: не более на 9000 фрагментов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финансов РК от 14.10.2024 </w:t>
            </w:r>
            <w:r>
              <w:rPr>
                <w:rFonts w:ascii="Times New Roman"/>
                <w:b w:val="false"/>
                <w:i w:val="false"/>
                <w:color w:val="ff0000"/>
                <w:sz w:val="20"/>
              </w:rPr>
              <w:t>№ 694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не менее 21 дюйма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 При необходимости улучшенная комплектация процессор – не менее 3.70 GHz, HDD не менее 1 TB, SSD не менее 250 GB, ОЗУ не менее 16 GВ, операционная система, офисный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комплект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(USB), казахский/русский английский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мышь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проводная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kv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100 пользователей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аппарата: печать, копирование, сканирование. Максимальная скорость печати: не менее 75 страниц в минуту (А4), не менее 37 страниц в минуту (А3)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10 пользователей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аппарата: печать, копирование, сканирование. Максимальная скорость печати: не менее 40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печати: не менее 20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50 или менее пользователей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 страниц в минуту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производственной необходимости предоставляется дополнительный сканер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(переключатель)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 удаленного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двух системных блоков</w:t>
            </w:r>
          </w:p>
        </w:tc>
      </w:tr>
    </w:tbl>
    <w:bookmarkStart w:name="z20" w:id="14"/>
    <w:p>
      <w:pPr>
        <w:spacing w:after="0"/>
        <w:ind w:left="0"/>
        <w:jc w:val="both"/>
      </w:pPr>
      <w:r>
        <w:rPr>
          <w:rFonts w:ascii="Times New Roman"/>
          <w:b w:val="false"/>
          <w:i w:val="false"/>
          <w:color w:val="000000"/>
          <w:sz w:val="28"/>
        </w:rPr>
        <w:t>
      Примечание: * – в зависимости от объема необходимой потребности;</w:t>
      </w:r>
    </w:p>
    <w:bookmarkEnd w:id="14"/>
    <w:p>
      <w:pPr>
        <w:spacing w:after="0"/>
        <w:ind w:left="0"/>
        <w:jc w:val="both"/>
      </w:pPr>
      <w:r>
        <w:rPr>
          <w:rFonts w:ascii="Times New Roman"/>
          <w:b w:val="false"/>
          <w:i w:val="false"/>
          <w:color w:val="000000"/>
          <w:sz w:val="28"/>
        </w:rPr>
        <w:t>
      ** – количество определяется от технической характеристики принтера.</w:t>
      </w:r>
    </w:p>
    <w:bookmarkStart w:name="z21" w:id="15"/>
    <w:p>
      <w:pPr>
        <w:spacing w:after="0"/>
        <w:ind w:left="0"/>
        <w:jc w:val="both"/>
      </w:pPr>
      <w:r>
        <w:rPr>
          <w:rFonts w:ascii="Times New Roman"/>
          <w:b w:val="false"/>
          <w:i w:val="false"/>
          <w:color w:val="000000"/>
          <w:sz w:val="28"/>
        </w:rPr>
        <w:t>
      Расшифровка аббревиатур: РК – Республика Казахстан; ЦА – центральный аппарат; ЛДСтП – ламинированная древесностружечная плита; МДФ – мелкодисперсная фракция дерева; ИБП – источник (агрегат) бесперебойного питания; МФУ – многофункциональное устройство; ТВ – терабайт; KVM – keyboard (клавиатура), video monitor (видеомонитор), mouse (мышь); г/м² - грамм на квадратный метр; СТ РК – национальный стандарт Республики Казахстан; м – метр; см – сантиметр; мм – миллиметр; мкм – микрометр; HB – твҰрдо-мягкий.</w:t>
      </w:r>
    </w:p>
    <w:bookmarkEnd w:id="15"/>
    <w:bookmarkStart w:name="z22" w:id="16"/>
    <w:p>
      <w:pPr>
        <w:spacing w:after="0"/>
        <w:ind w:left="0"/>
        <w:jc w:val="both"/>
      </w:pPr>
      <w:r>
        <w:rPr>
          <w:rFonts w:ascii="Times New Roman"/>
          <w:b w:val="false"/>
          <w:i w:val="false"/>
          <w:color w:val="000000"/>
          <w:sz w:val="28"/>
        </w:rPr>
        <w:t>
      Настоящие натуральные нормы не распространяются на Министерство обороны Республики Казахстан, Министерство внутренних дел Республики Казахстан, специальные государственные и правоохранительные органы.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