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0861" w14:textId="01b0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12 июля 2021 года № 8-НҚ. Зарегистрировано в Министерстве юстиции Республики Казахстан 13 июля 2021 года № 23483</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утвержденном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Счетного комитета, ответственным за проведение контроля качества.";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Процедура признания результатов государственного аудита эффективности, соответствия проводится на основе следующих критериев на предмет соблюдения стандартов государственного аудита и финансового контроля (далее – критерии):</w:t>
      </w:r>
    </w:p>
    <w:bookmarkEnd w:id="4"/>
    <w:bookmarkStart w:name="z11" w:id="5"/>
    <w:p>
      <w:pPr>
        <w:spacing w:after="0"/>
        <w:ind w:left="0"/>
        <w:jc w:val="both"/>
      </w:pPr>
      <w:r>
        <w:rPr>
          <w:rFonts w:ascii="Times New Roman"/>
          <w:b w:val="false"/>
          <w:i w:val="false"/>
          <w:color w:val="000000"/>
          <w:sz w:val="28"/>
        </w:rPr>
        <w:t>
      1) полнота охвата и раскрытия вопросов с учетом подвопросов, предусмотренных в Программе аудита (более тридцати процентов вопросов с учетом подвопросов);</w:t>
      </w:r>
    </w:p>
    <w:bookmarkEnd w:id="5"/>
    <w:bookmarkStart w:name="z12" w:id="6"/>
    <w:p>
      <w:pPr>
        <w:spacing w:after="0"/>
        <w:ind w:left="0"/>
        <w:jc w:val="both"/>
      </w:pPr>
      <w:r>
        <w:rPr>
          <w:rFonts w:ascii="Times New Roman"/>
          <w:b w:val="false"/>
          <w:i w:val="false"/>
          <w:color w:val="000000"/>
          <w:sz w:val="28"/>
        </w:rPr>
        <w:t>
      2) отсутствие обоснований и результатов аудиторской выборки;</w:t>
      </w:r>
    </w:p>
    <w:bookmarkEnd w:id="6"/>
    <w:bookmarkStart w:name="z13" w:id="7"/>
    <w:p>
      <w:pPr>
        <w:spacing w:after="0"/>
        <w:ind w:left="0"/>
        <w:jc w:val="both"/>
      </w:pPr>
      <w:r>
        <w:rPr>
          <w:rFonts w:ascii="Times New Roman"/>
          <w:b w:val="false"/>
          <w:i w:val="false"/>
          <w:color w:val="000000"/>
          <w:sz w:val="28"/>
        </w:rPr>
        <w:t>
      3) полнота и достоверность аудиторских доказательств (по двум и более фактам);</w:t>
      </w:r>
    </w:p>
    <w:bookmarkEnd w:id="7"/>
    <w:bookmarkStart w:name="z14" w:id="8"/>
    <w:p>
      <w:pPr>
        <w:spacing w:after="0"/>
        <w:ind w:left="0"/>
        <w:jc w:val="both"/>
      </w:pPr>
      <w:r>
        <w:rPr>
          <w:rFonts w:ascii="Times New Roman"/>
          <w:b w:val="false"/>
          <w:i w:val="false"/>
          <w:color w:val="000000"/>
          <w:sz w:val="28"/>
        </w:rPr>
        <w:t>
      4) установление фактов нарушений, не выявленных в ходе проведения государственного аудита и не отраженных в аудиторском отчете, несоблюдение требований по фиксированию нарушений (по двум и более фактам);</w:t>
      </w:r>
    </w:p>
    <w:bookmarkEnd w:id="8"/>
    <w:bookmarkStart w:name="z15" w:id="9"/>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9"/>
    <w:bookmarkStart w:name="z16" w:id="10"/>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 по трем и более критериям, предусмотренным настоящим пунктом.";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"8. Процедура признания результатов государственного аудита финансовой отчетности проводится на основе следующих критериев:</w:t>
      </w:r>
    </w:p>
    <w:bookmarkEnd w:id="11"/>
    <w:bookmarkStart w:name="z19" w:id="12"/>
    <w:p>
      <w:pPr>
        <w:spacing w:after="0"/>
        <w:ind w:left="0"/>
        <w:jc w:val="both"/>
      </w:pPr>
      <w:r>
        <w:rPr>
          <w:rFonts w:ascii="Times New Roman"/>
          <w:b w:val="false"/>
          <w:i w:val="false"/>
          <w:color w:val="000000"/>
          <w:sz w:val="28"/>
        </w:rPr>
        <w:t>
      1) достаточность охвата аудитом финансовой отчетности компонентов для обеспечения возможности выражения мнения по консолидированной финансовой отчетности;</w:t>
      </w:r>
    </w:p>
    <w:bookmarkEnd w:id="12"/>
    <w:bookmarkStart w:name="z20" w:id="13"/>
    <w:p>
      <w:pPr>
        <w:spacing w:after="0"/>
        <w:ind w:left="0"/>
        <w:jc w:val="both"/>
      </w:pPr>
      <w:r>
        <w:rPr>
          <w:rFonts w:ascii="Times New Roman"/>
          <w:b w:val="false"/>
          <w:i w:val="false"/>
          <w:color w:val="000000"/>
          <w:sz w:val="28"/>
        </w:rPr>
        <w:t>
      2) проведение оценки рисков существенных искажений на уровне утверждений для определенных классов операций, сальдо счетов и раскрытий;</w:t>
      </w:r>
    </w:p>
    <w:bookmarkEnd w:id="13"/>
    <w:bookmarkStart w:name="z21" w:id="14"/>
    <w:p>
      <w:pPr>
        <w:spacing w:after="0"/>
        <w:ind w:left="0"/>
        <w:jc w:val="both"/>
      </w:pPr>
      <w:r>
        <w:rPr>
          <w:rFonts w:ascii="Times New Roman"/>
          <w:b w:val="false"/>
          <w:i w:val="false"/>
          <w:color w:val="000000"/>
          <w:sz w:val="28"/>
        </w:rPr>
        <w:t>
      3) отсутствие обоснований и результатов аудиторской выборки;</w:t>
      </w:r>
    </w:p>
    <w:bookmarkEnd w:id="14"/>
    <w:bookmarkStart w:name="z22" w:id="15"/>
    <w:p>
      <w:pPr>
        <w:spacing w:after="0"/>
        <w:ind w:left="0"/>
        <w:jc w:val="both"/>
      </w:pPr>
      <w:r>
        <w:rPr>
          <w:rFonts w:ascii="Times New Roman"/>
          <w:b w:val="false"/>
          <w:i w:val="false"/>
          <w:color w:val="000000"/>
          <w:sz w:val="28"/>
        </w:rPr>
        <w:t>
      4) полнота и достоверность аудиторских доказательств (по двум и более фактам);</w:t>
      </w:r>
    </w:p>
    <w:bookmarkEnd w:id="15"/>
    <w:bookmarkStart w:name="z23" w:id="16"/>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16"/>
    <w:bookmarkStart w:name="z24" w:id="17"/>
    <w:p>
      <w:pPr>
        <w:spacing w:after="0"/>
        <w:ind w:left="0"/>
        <w:jc w:val="both"/>
      </w:pPr>
      <w:r>
        <w:rPr>
          <w:rFonts w:ascii="Times New Roman"/>
          <w:b w:val="false"/>
          <w:i w:val="false"/>
          <w:color w:val="000000"/>
          <w:sz w:val="28"/>
        </w:rPr>
        <w:t>
      6) обоснованность мнения, выраженного по финансовой отчетности.</w:t>
      </w:r>
    </w:p>
    <w:bookmarkEnd w:id="17"/>
    <w:bookmarkStart w:name="z25" w:id="18"/>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w:t>
      </w:r>
    </w:p>
    <w:bookmarkEnd w:id="18"/>
    <w:bookmarkStart w:name="z26" w:id="19"/>
    <w:p>
      <w:pPr>
        <w:spacing w:after="0"/>
        <w:ind w:left="0"/>
        <w:jc w:val="both"/>
      </w:pPr>
      <w:r>
        <w:rPr>
          <w:rFonts w:ascii="Times New Roman"/>
          <w:b w:val="false"/>
          <w:i w:val="false"/>
          <w:color w:val="000000"/>
          <w:sz w:val="28"/>
        </w:rPr>
        <w:t>
      1) по двум и более критериям, указанным в подпунктах 1) - 5) настоящего пункта;</w:t>
      </w:r>
    </w:p>
    <w:bookmarkEnd w:id="19"/>
    <w:bookmarkStart w:name="z27" w:id="20"/>
    <w:p>
      <w:pPr>
        <w:spacing w:after="0"/>
        <w:ind w:left="0"/>
        <w:jc w:val="both"/>
      </w:pPr>
      <w:r>
        <w:rPr>
          <w:rFonts w:ascii="Times New Roman"/>
          <w:b w:val="false"/>
          <w:i w:val="false"/>
          <w:color w:val="000000"/>
          <w:sz w:val="28"/>
        </w:rPr>
        <w:t>
      2) по критерию, указанному в подпункте 6) настоящего пункта.";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настоящему Процедурному стандарту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утвержденном указанным нормативным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 Стандарт содержит процедурные требования к осуществлению и оформлению контроля качества документов, составляемых государственными аудиторами и иными должностными лицами органов государственного аудита и финансового контроля по результатам государственного аудита и (или) экспертно-аналитических мероприятий в составе аудита эффективности (за исключением предварительной, текущей и последующей оценки), проводимых органами внешнего государственного аудита и финансового контроля (далее – органы ГАФК), заключений (материалов) привлеченных аудиторских организаций и (или) экспертов к проведению государственного аудита.";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xml:space="preserve">
      "3. Целью Стандарта является обеспечение соответствия деятельности органов внешнего ГАФК и деятельности государственных аудиторов и иных должностных лиц органов государственного аудита и финансового контроля, а также привлеченных аудиторских организаций и экспертов к проведению государственного аудита и (или) экспертно-аналитического мероприятия стандартам государственного аудита и финансового контроля, а также </w:t>
      </w:r>
      <w:r>
        <w:rPr>
          <w:rFonts w:ascii="Times New Roman"/>
          <w:b w:val="false"/>
          <w:i w:val="false"/>
          <w:color w:val="000000"/>
          <w:sz w:val="28"/>
        </w:rPr>
        <w:t>Правилам</w:t>
      </w:r>
      <w:r>
        <w:rPr>
          <w:rFonts w:ascii="Times New Roman"/>
          <w:b w:val="false"/>
          <w:i w:val="false"/>
          <w:color w:val="000000"/>
          <w:sz w:val="28"/>
        </w:rPr>
        <w:t xml:space="preserve"> проведения внешнего государственного аудита и финансового контроля, утвержденным нормативным постановлением Счетного комитета по контролю за исполнением республиканского бюджета от 30 июля 2020 года 6-НҚ (зарегистрирован в Реестре государственной регистрации нормативных правовых актов № 21070, далее – Правила ГАФК).";</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"4. Задачей Стандарта является установление единого подхода к процедурным требованиям по осуществлению контроля качества государственного аудита, экспертно-аналитических мероприятий, деятельности государственных аудиторов и иных должностных лиц органов государственного аудита и финансового контроля, заключений (материалов) привлеченных аудиторских организаций и экспертов к проведению государственного аудита и (или) экспертно-аналитическим мероприятиям.";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"5. В настоящем Стандарте используются следующие понятия:</w:t>
      </w:r>
    </w:p>
    <w:bookmarkEnd w:id="25"/>
    <w:bookmarkStart w:name="z39" w:id="26"/>
    <w:p>
      <w:pPr>
        <w:spacing w:after="0"/>
        <w:ind w:left="0"/>
        <w:jc w:val="both"/>
      </w:pPr>
      <w:r>
        <w:rPr>
          <w:rFonts w:ascii="Times New Roman"/>
          <w:b w:val="false"/>
          <w:i w:val="false"/>
          <w:color w:val="000000"/>
          <w:sz w:val="28"/>
        </w:rPr>
        <w:t>
      контроль качества – проверка и (или) анализ документов, составляемых государственными аудиторами и иными должностными лицами органов государственного аудита и финансового контроля, привлеченными аудиторскими организациями и (или) экспертами к проведению государственного аудита и (или) экспертно-аналитического мероприятия на предмет соблюдения требований, предусмотренных в Общих и процедурных стандартах органов ГАФК, а также Правилах ГАФК.";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"7. Руководители ГАФК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ГАФК, на основе системы управления рисками.";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"17. Контролю качества подвергаются подготовительный, основной и заключительный этапы аудиторской, экспертно-аналитической деятельности органов внешнего ГАФК, вся деятельность государственных аудиторов и иных должностных лиц органов государственного аудита и финансового контроля, заключения (материалы) привлеченных аудиторских организаций и экспертов к проведению государственного аудита на основании критериев, согласно Методологическому руководству по применению настоящего Стандарта.";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"30. Проекты Аудиторского заключения, Сводного реестра, Постановления и Предписания, подготовленные под руководством Члена Счетного комитета (Ревизионной комиссии), ответственного за аудиторское мероприятие, структурным подразделением, ответственным за проведение государственного аудита за десять рабочих дней до проведения заседания Счетного комитета (Ревизионной комиссии), одновременно направляются в структурные подразделения, ответственные за контроль качества и правовое обеспечение.";</w:t>
      </w:r>
    </w:p>
    <w:bookmarkEnd w:id="29"/>
    <w:bookmarkStart w:name="z4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 утвержденном указанным нормативным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8" w:id="31"/>
    <w:p>
      <w:pPr>
        <w:spacing w:after="0"/>
        <w:ind w:left="0"/>
        <w:jc w:val="both"/>
      </w:pPr>
      <w:r>
        <w:rPr>
          <w:rFonts w:ascii="Times New Roman"/>
          <w:b w:val="false"/>
          <w:i w:val="false"/>
          <w:color w:val="000000"/>
          <w:sz w:val="28"/>
        </w:rPr>
        <w:t xml:space="preserve">
      "6. Положения настоящего Стандарта не распространяются на проведение и подготовку заключений в рамках предварительной, текущей и последующей оценки, осуществление которых регламентировано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 Процедурным стандартом внешнего государственного аудита и финансового контроля по осуществлению текущей оценки исполнения республиканского и местных бюджетов и Процедурным стандартом внешнего государственного аудита и финансового контроля по осуществлению последующей оценки исполнения республиканского бюджета, утвержденных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(зарегистрировано в Реестре государственной регистрации нормативных правовых актов № 13647).";</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0" w:id="32"/>
    <w:p>
      <w:pPr>
        <w:spacing w:after="0"/>
        <w:ind w:left="0"/>
        <w:jc w:val="both"/>
      </w:pPr>
      <w:r>
        <w:rPr>
          <w:rFonts w:ascii="Times New Roman"/>
          <w:b w:val="false"/>
          <w:i w:val="false"/>
          <w:color w:val="000000"/>
          <w:sz w:val="28"/>
        </w:rPr>
        <w:t>
      "8. Экспертно-аналитическое мероприятие представляет собой форму реализации экспертно-аналитической деятельности органов внешнего государственного аудита и финансового контроля, направленную на анализ, оценку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w:t>
      </w:r>
    </w:p>
    <w:bookmarkEnd w:id="32"/>
    <w:bookmarkStart w:name="z51" w:id="33"/>
    <w:p>
      <w:pPr>
        <w:spacing w:after="0"/>
        <w:ind w:left="0"/>
        <w:jc w:val="both"/>
      </w:pPr>
      <w:r>
        <w:rPr>
          <w:rFonts w:ascii="Times New Roman"/>
          <w:b w:val="false"/>
          <w:i w:val="false"/>
          <w:color w:val="000000"/>
          <w:sz w:val="28"/>
        </w:rPr>
        <w:t xml:space="preserve">
       Экспертно-аналитическое мероприятие осуществляется органами внешнего государственного аудита и финансового контроля без выхода на объект экспертно-аналитического мероприятия, путем уведомления их не позднее, чем за два рабочих дня до начала экспертно-аналитического мероприятия.";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"31. По решению руководителя органа внешнего государственного аудита и финансового контроля результаты экспертно-аналитического мероприятия в срок в течение пяти рабочих дней после его завершения направляются уполномоченным органам (должностным лицам) и (или) объектам экспертно-аналитического мероприятия для изучения сделанных по его итогам выводов и рекомендаций в части, их касающейся.</w:t>
      </w:r>
    </w:p>
    <w:bookmarkEnd w:id="34"/>
    <w:bookmarkStart w:name="z54" w:id="35"/>
    <w:p>
      <w:pPr>
        <w:spacing w:after="0"/>
        <w:ind w:left="0"/>
        <w:jc w:val="both"/>
      </w:pPr>
      <w:r>
        <w:rPr>
          <w:rFonts w:ascii="Times New Roman"/>
          <w:b w:val="false"/>
          <w:i w:val="false"/>
          <w:color w:val="000000"/>
          <w:sz w:val="28"/>
        </w:rPr>
        <w:t>
       Органы внешнего государственного аудита и финансового контроля обсуждают с объектом экспертно-аналитического мероприятия его результаты, решение по которым носит рекомендательный характер.".</w:t>
      </w:r>
    </w:p>
    <w:bookmarkEnd w:id="35"/>
    <w:bookmarkStart w:name="z55" w:id="36"/>
    <w:p>
      <w:pPr>
        <w:spacing w:after="0"/>
        <w:ind w:left="0"/>
        <w:jc w:val="both"/>
      </w:pPr>
      <w:r>
        <w:rPr>
          <w:rFonts w:ascii="Times New Roman"/>
          <w:b w:val="false"/>
          <w:i w:val="false"/>
          <w:color w:val="000000"/>
          <w:sz w:val="28"/>
        </w:rPr>
        <w:t>
      2. Отделу контроля качества, методологии и аудита Счетного комитета в установленном законодательством порядке обеспечить:</w:t>
      </w:r>
    </w:p>
    <w:bookmarkEnd w:id="36"/>
    <w:bookmarkStart w:name="z56" w:id="37"/>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7"/>
    <w:bookmarkStart w:name="z57" w:id="38"/>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38"/>
    <w:bookmarkStart w:name="z58" w:id="39"/>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39"/>
    <w:bookmarkStart w:name="z59" w:id="40"/>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Председателя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республиканского бюджета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Бергенев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от 12 июля 2021 года № 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41"/>
    <w:p>
      <w:pPr>
        <w:spacing w:after="0"/>
        <w:ind w:left="0"/>
        <w:jc w:val="left"/>
      </w:pPr>
      <w:r>
        <w:rPr>
          <w:rFonts w:ascii="Times New Roman"/>
          <w:b/>
          <w:i w:val="false"/>
          <w:color w:val="000000"/>
        </w:rPr>
        <w:t xml:space="preserve"> Экспертное заключение по итогам непризнания результатов государственного аудита на соответствие стандартам государственного аудита и финансового контроля</w:t>
      </w:r>
    </w:p>
    <w:bookmarkEnd w:id="41"/>
    <w:bookmarkStart w:name="z65" w:id="4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 (наименование аудиторского отчета, его реквизиты)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5479"/>
        <w:gridCol w:w="4962"/>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на предмет соблюдения стандартов государственного аудита и финансового контроля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факты несоответствий стандартам государственного аудита и финансового контроля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3"/>
    <w:p>
      <w:pPr>
        <w:spacing w:after="0"/>
        <w:ind w:left="0"/>
        <w:jc w:val="both"/>
      </w:pPr>
      <w:r>
        <w:rPr>
          <w:rFonts w:ascii="Times New Roman"/>
          <w:b w:val="false"/>
          <w:i w:val="false"/>
          <w:color w:val="000000"/>
          <w:sz w:val="28"/>
        </w:rPr>
        <w:t>
      Вывод: ________________________________________________________________</w:t>
      </w:r>
      <w:r>
        <w:br/>
      </w:r>
      <w:r>
        <w:rPr>
          <w:rFonts w:ascii="Times New Roman"/>
          <w:b w:val="false"/>
          <w:i w:val="false"/>
          <w:color w:val="000000"/>
          <w:sz w:val="28"/>
        </w:rPr>
        <w:t>Государственные аудиторы, проводившие процедуру признания результатов</w:t>
      </w:r>
      <w:r>
        <w:br/>
      </w:r>
      <w:r>
        <w:rPr>
          <w:rFonts w:ascii="Times New Roman"/>
          <w:b w:val="false"/>
          <w:i w:val="false"/>
          <w:color w:val="000000"/>
          <w:sz w:val="28"/>
        </w:rPr>
        <w:t>государственного аудита и финансового контроля:</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(должность, фамилия, имя, отчество (при наличии), подпись)</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