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0233" w14:textId="c7d0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бенчмарков в регулируемых секторах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19 июля 2021 года № 260. Зарегистрирован в Министерстве юстиции Республики Казахстан 21 июля 2021 года № 23621.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Экологического кодекса Республики Казахстан, ПРИКАЗЫВАЮ: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бенчмарков в регулируемых секторах экономики.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260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бенчмарков в регулируемых секторах экономики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экологии и природных ресурсов РК от 30.05.2023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коэффициент выбросов парниковых газов на единицу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 (используемый вид топлива – уголь)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тСО2/Мвт-ч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 (используемый вид топлива – уголь)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тСО2/Гкал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 (другие виды топлива)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тСО2/Мвт-ч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 (другие виды топлива)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тСО2/Гкал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кокс*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техническая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 (транспортировка)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 (добыча)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(клинкер)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Триполифосфат натрий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чугун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Углеродистая сталь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Обожженный анод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Трикальцийфосфат кормовой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Монохромат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хрома-металлургическая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хрома-пигментная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хрома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цинка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Вельцвозгоны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ангидрид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 кальция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Гипсокартон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силикатный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рафинированный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Цинковый огарок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Золотосодержащая 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Металлургический кремний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спирт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окатыш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металл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стальной горячекатаный круглый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Арматурный прокат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Стальные шары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Железорудный окатыш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(добыча)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Обогащенный 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строительные смеси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 сухая активная для производства комбикормов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Газокальцинированный антрацит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(твердый)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 пигментная из гидроокиси хрома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продукт (шлам)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тСО2/тонн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*побочные продукты нефтепереработки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