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427a" w14:textId="e164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нормативов допустимого антропогенного воздействия на водные объекты</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16 июля 2021 года № 254. Зарегистрирован в Министерстве юстиции Республики Казахстан 23 июля 2021 года № 23672.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Введение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нормативов допустимого антропогенного воздействия на водные объекты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первого дня его официального опубликования и распространяется на правоотношения, возникшие с 1 июля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254</w:t>
            </w:r>
          </w:p>
        </w:tc>
      </w:tr>
    </w:tbl>
    <w:bookmarkStart w:name="z18" w:id="11"/>
    <w:p>
      <w:pPr>
        <w:spacing w:after="0"/>
        <w:ind w:left="0"/>
        <w:jc w:val="left"/>
      </w:pPr>
      <w:r>
        <w:rPr>
          <w:rFonts w:ascii="Times New Roman"/>
          <w:b/>
          <w:i w:val="false"/>
          <w:color w:val="000000"/>
        </w:rPr>
        <w:t xml:space="preserve"> Правила определения нормативов допустимого антропогенного воздействия на водные объекты</w:t>
      </w:r>
    </w:p>
    <w:bookmarkEnd w:id="11"/>
    <w:bookmarkStart w:name="z19" w:id="12"/>
    <w:p>
      <w:pPr>
        <w:spacing w:after="0"/>
        <w:ind w:left="0"/>
        <w:jc w:val="both"/>
      </w:pPr>
      <w:r>
        <w:rPr>
          <w:rFonts w:ascii="Times New Roman"/>
          <w:b w:val="false"/>
          <w:i w:val="false"/>
          <w:color w:val="000000"/>
          <w:sz w:val="28"/>
        </w:rPr>
        <w:t xml:space="preserve">
      1. Настоящие Правила определения нормативов допустимого антропогенного воздействия на водные объекты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Экологического кодекса Республики Казахстан (далее – Кодекс) и определяют порядок разработки и установления нормативов антропогенного воздействия на водные объекты.</w:t>
      </w:r>
    </w:p>
    <w:bookmarkEnd w:id="12"/>
    <w:bookmarkStart w:name="z20" w:id="13"/>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215 Кодекса устанавливаются следующие нормативы допустимого антропогенного воздействия на воды:</w:t>
      </w:r>
    </w:p>
    <w:bookmarkEnd w:id="13"/>
    <w:bookmarkStart w:name="z21" w:id="14"/>
    <w:p>
      <w:pPr>
        <w:spacing w:after="0"/>
        <w:ind w:left="0"/>
        <w:jc w:val="both"/>
      </w:pPr>
      <w:r>
        <w:rPr>
          <w:rFonts w:ascii="Times New Roman"/>
          <w:b w:val="false"/>
          <w:i w:val="false"/>
          <w:color w:val="000000"/>
          <w:sz w:val="28"/>
        </w:rPr>
        <w:t>
      1) нормативы допустимых сбросов;</w:t>
      </w:r>
    </w:p>
    <w:bookmarkEnd w:id="14"/>
    <w:bookmarkStart w:name="z22" w:id="15"/>
    <w:p>
      <w:pPr>
        <w:spacing w:after="0"/>
        <w:ind w:left="0"/>
        <w:jc w:val="both"/>
      </w:pPr>
      <w:r>
        <w:rPr>
          <w:rFonts w:ascii="Times New Roman"/>
          <w:b w:val="false"/>
          <w:i w:val="false"/>
          <w:color w:val="000000"/>
          <w:sz w:val="28"/>
        </w:rPr>
        <w:t>
      2) технологические нормативы сбросов;</w:t>
      </w:r>
    </w:p>
    <w:bookmarkEnd w:id="15"/>
    <w:bookmarkStart w:name="z23" w:id="16"/>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16"/>
    <w:bookmarkStart w:name="z24" w:id="17"/>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17"/>
    <w:bookmarkStart w:name="z25" w:id="18"/>
    <w:p>
      <w:pPr>
        <w:spacing w:after="0"/>
        <w:ind w:left="0"/>
        <w:jc w:val="left"/>
      </w:pPr>
      <w:r>
        <w:rPr>
          <w:rFonts w:ascii="Times New Roman"/>
          <w:b/>
          <w:i w:val="false"/>
          <w:color w:val="000000"/>
        </w:rPr>
        <w:t xml:space="preserve"> Глава 1. Нормативы допустимых сбросов</w:t>
      </w:r>
    </w:p>
    <w:bookmarkEnd w:id="18"/>
    <w:bookmarkStart w:name="z26" w:id="19"/>
    <w:p>
      <w:pPr>
        <w:spacing w:after="0"/>
        <w:ind w:left="0"/>
        <w:jc w:val="both"/>
      </w:pPr>
      <w:r>
        <w:rPr>
          <w:rFonts w:ascii="Times New Roman"/>
          <w:b w:val="false"/>
          <w:i w:val="false"/>
          <w:color w:val="000000"/>
          <w:sz w:val="28"/>
        </w:rPr>
        <w:t xml:space="preserve">
      3. Определение нормативов допустимых сбросов осуществляется расчетным путем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Методики</w:t>
      </w:r>
      <w:r>
        <w:rPr>
          <w:rFonts w:ascii="Times New Roman"/>
          <w:b w:val="false"/>
          <w:i w:val="false"/>
          <w:color w:val="000000"/>
          <w:sz w:val="28"/>
        </w:rPr>
        <w:t xml:space="preserve"> определения нормативов эмиссий в окружающую среду, утвержденной Приказом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за № 22317) (далее – Методика).</w:t>
      </w:r>
    </w:p>
    <w:bookmarkEnd w:id="19"/>
    <w:bookmarkStart w:name="z27" w:id="20"/>
    <w:p>
      <w:pPr>
        <w:spacing w:after="0"/>
        <w:ind w:left="0"/>
        <w:jc w:val="left"/>
      </w:pPr>
      <w:r>
        <w:rPr>
          <w:rFonts w:ascii="Times New Roman"/>
          <w:b/>
          <w:i w:val="false"/>
          <w:color w:val="000000"/>
        </w:rPr>
        <w:t xml:space="preserve"> Глава 2. Технологические нормативы сбросов</w:t>
      </w:r>
    </w:p>
    <w:bookmarkEnd w:id="20"/>
    <w:bookmarkStart w:name="z28" w:id="21"/>
    <w:p>
      <w:pPr>
        <w:spacing w:after="0"/>
        <w:ind w:left="0"/>
        <w:jc w:val="both"/>
      </w:pPr>
      <w:r>
        <w:rPr>
          <w:rFonts w:ascii="Times New Roman"/>
          <w:b w:val="false"/>
          <w:i w:val="false"/>
          <w:color w:val="000000"/>
          <w:sz w:val="28"/>
        </w:rPr>
        <w:t>
      4. Под технологическими нормативами сбросов в настоящих Правилах понимаются экологические нормативы сброса, устанавливаемые в комплексном экологическом разрешении для объектов I и II категории, в виде предельного количества (массы) сброса маркерных загрязняющих веществ на единицу объема сточных вод.</w:t>
      </w:r>
    </w:p>
    <w:bookmarkEnd w:id="21"/>
    <w:bookmarkStart w:name="z29" w:id="22"/>
    <w:p>
      <w:pPr>
        <w:spacing w:after="0"/>
        <w:ind w:left="0"/>
        <w:jc w:val="both"/>
      </w:pPr>
      <w:r>
        <w:rPr>
          <w:rFonts w:ascii="Times New Roman"/>
          <w:b w:val="false"/>
          <w:i w:val="false"/>
          <w:color w:val="000000"/>
          <w:sz w:val="28"/>
        </w:rPr>
        <w:t>
      5. Технологические нормативы сбросов устанавливаются в комплексном экологическом разрешении в пределах, не превышающих соответствующие технологические показатели (при их наличии), связанных с применением наилучших доступных техник по конкретным областям их применения, установленных в заключениях по наилучшим доступным техникам.</w:t>
      </w:r>
    </w:p>
    <w:bookmarkEnd w:id="22"/>
    <w:bookmarkStart w:name="z30" w:id="23"/>
    <w:p>
      <w:pPr>
        <w:spacing w:after="0"/>
        <w:ind w:left="0"/>
        <w:jc w:val="both"/>
      </w:pPr>
      <w:r>
        <w:rPr>
          <w:rFonts w:ascii="Times New Roman"/>
          <w:b w:val="false"/>
          <w:i w:val="false"/>
          <w:color w:val="000000"/>
          <w:sz w:val="28"/>
        </w:rPr>
        <w:t xml:space="preserve">
      6. Обоснование технологических нормативов сбросов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Кодекса.</w:t>
      </w:r>
    </w:p>
    <w:bookmarkEnd w:id="23"/>
    <w:bookmarkStart w:name="z31" w:id="24"/>
    <w:p>
      <w:pPr>
        <w:spacing w:after="0"/>
        <w:ind w:left="0"/>
        <w:jc w:val="both"/>
      </w:pPr>
      <w:r>
        <w:rPr>
          <w:rFonts w:ascii="Times New Roman"/>
          <w:b w:val="false"/>
          <w:i w:val="false"/>
          <w:color w:val="000000"/>
          <w:sz w:val="28"/>
        </w:rPr>
        <w:t>
      7. Проект технологических нормативов для объектов технологического нормирования содержит:</w:t>
      </w:r>
    </w:p>
    <w:bookmarkEnd w:id="24"/>
    <w:bookmarkStart w:name="z32" w:id="25"/>
    <w:p>
      <w:pPr>
        <w:spacing w:after="0"/>
        <w:ind w:left="0"/>
        <w:jc w:val="both"/>
      </w:pPr>
      <w:r>
        <w:rPr>
          <w:rFonts w:ascii="Times New Roman"/>
          <w:b w:val="false"/>
          <w:i w:val="false"/>
          <w:color w:val="000000"/>
          <w:sz w:val="28"/>
        </w:rPr>
        <w:t>
      раздел, в котором определяются объекты технологического нормирования и маркерные загрязняющие вещества;</w:t>
      </w:r>
    </w:p>
    <w:bookmarkEnd w:id="25"/>
    <w:bookmarkStart w:name="z33" w:id="26"/>
    <w:p>
      <w:pPr>
        <w:spacing w:after="0"/>
        <w:ind w:left="0"/>
        <w:jc w:val="both"/>
      </w:pPr>
      <w:r>
        <w:rPr>
          <w:rFonts w:ascii="Times New Roman"/>
          <w:b w:val="false"/>
          <w:i w:val="false"/>
          <w:color w:val="000000"/>
          <w:sz w:val="28"/>
        </w:rPr>
        <w:t>
      раздел, в котором проводится анализ объектов технологического нормирования;</w:t>
      </w:r>
    </w:p>
    <w:bookmarkEnd w:id="26"/>
    <w:bookmarkStart w:name="z34" w:id="27"/>
    <w:p>
      <w:pPr>
        <w:spacing w:after="0"/>
        <w:ind w:left="0"/>
        <w:jc w:val="both"/>
      </w:pPr>
      <w:r>
        <w:rPr>
          <w:rFonts w:ascii="Times New Roman"/>
          <w:b w:val="false"/>
          <w:i w:val="false"/>
          <w:color w:val="000000"/>
          <w:sz w:val="28"/>
        </w:rPr>
        <w:t>
      раздел, в котором определяются технологические нормативы сбросов.</w:t>
      </w:r>
    </w:p>
    <w:bookmarkEnd w:id="27"/>
    <w:bookmarkStart w:name="z35" w:id="28"/>
    <w:p>
      <w:pPr>
        <w:spacing w:after="0"/>
        <w:ind w:left="0"/>
        <w:jc w:val="both"/>
      </w:pPr>
      <w:r>
        <w:rPr>
          <w:rFonts w:ascii="Times New Roman"/>
          <w:b w:val="false"/>
          <w:i w:val="false"/>
          <w:color w:val="000000"/>
          <w:sz w:val="28"/>
        </w:rPr>
        <w:t>
      8. Определение объектов технологического нормирования и маркерных веществ осуществляется посредством анализа имеющейся технической документации, регламентирующей проведение технологических операций (проектная (конструкторская) документация, технологические регламенты, руководства (инструкции) по эксплуатации, схемы, технические условия и другая эксплуатационная документация) по производству продукции, выполнению работ, оказанию услуг, и ее сравнения с соответствующими справочниками и заключениями по наилучшим доступным техникам.</w:t>
      </w:r>
    </w:p>
    <w:bookmarkEnd w:id="28"/>
    <w:bookmarkStart w:name="z36" w:id="29"/>
    <w:p>
      <w:pPr>
        <w:spacing w:after="0"/>
        <w:ind w:left="0"/>
        <w:jc w:val="both"/>
      </w:pPr>
      <w:r>
        <w:rPr>
          <w:rFonts w:ascii="Times New Roman"/>
          <w:b w:val="false"/>
          <w:i w:val="false"/>
          <w:color w:val="000000"/>
          <w:sz w:val="28"/>
        </w:rPr>
        <w:t>
      9. Результатом определения объектов технологического нормирования и маркерных веществ являются:</w:t>
      </w:r>
    </w:p>
    <w:bookmarkEnd w:id="29"/>
    <w:bookmarkStart w:name="z37" w:id="30"/>
    <w:p>
      <w:pPr>
        <w:spacing w:after="0"/>
        <w:ind w:left="0"/>
        <w:jc w:val="both"/>
      </w:pPr>
      <w:r>
        <w:rPr>
          <w:rFonts w:ascii="Times New Roman"/>
          <w:b w:val="false"/>
          <w:i w:val="false"/>
          <w:color w:val="000000"/>
          <w:sz w:val="28"/>
        </w:rPr>
        <w:t>
      выявленные объекты технологического нормирования;</w:t>
      </w:r>
    </w:p>
    <w:bookmarkEnd w:id="30"/>
    <w:bookmarkStart w:name="z38" w:id="31"/>
    <w:p>
      <w:pPr>
        <w:spacing w:after="0"/>
        <w:ind w:left="0"/>
        <w:jc w:val="both"/>
      </w:pPr>
      <w:r>
        <w:rPr>
          <w:rFonts w:ascii="Times New Roman"/>
          <w:b w:val="false"/>
          <w:i w:val="false"/>
          <w:color w:val="000000"/>
          <w:sz w:val="28"/>
        </w:rPr>
        <w:t>
      маркерные загрязняющие вещества, образующиеся на объектах технологического нормирования;</w:t>
      </w:r>
    </w:p>
    <w:bookmarkEnd w:id="31"/>
    <w:bookmarkStart w:name="z39" w:id="32"/>
    <w:p>
      <w:pPr>
        <w:spacing w:after="0"/>
        <w:ind w:left="0"/>
        <w:jc w:val="both"/>
      </w:pPr>
      <w:r>
        <w:rPr>
          <w:rFonts w:ascii="Times New Roman"/>
          <w:b w:val="false"/>
          <w:i w:val="false"/>
          <w:color w:val="000000"/>
          <w:sz w:val="28"/>
        </w:rPr>
        <w:t>
      уровни эмиссий (сбросов) маркерных загрязняющих веществ для каждого объекта технологического нормирования и объекта в целом.</w:t>
      </w:r>
    </w:p>
    <w:bookmarkEnd w:id="32"/>
    <w:bookmarkStart w:name="z40" w:id="33"/>
    <w:p>
      <w:pPr>
        <w:spacing w:after="0"/>
        <w:ind w:left="0"/>
        <w:jc w:val="both"/>
      </w:pPr>
      <w:r>
        <w:rPr>
          <w:rFonts w:ascii="Times New Roman"/>
          <w:b w:val="false"/>
          <w:i w:val="false"/>
          <w:color w:val="000000"/>
          <w:sz w:val="28"/>
        </w:rPr>
        <w:t>
      10. Анализ объектов технологического нормирования включает определение применяемых на объекте техник, количественных и качественных характеристик сбросов.</w:t>
      </w:r>
    </w:p>
    <w:bookmarkEnd w:id="33"/>
    <w:bookmarkStart w:name="z41" w:id="34"/>
    <w:p>
      <w:pPr>
        <w:spacing w:after="0"/>
        <w:ind w:left="0"/>
        <w:jc w:val="both"/>
      </w:pPr>
      <w:r>
        <w:rPr>
          <w:rFonts w:ascii="Times New Roman"/>
          <w:b w:val="false"/>
          <w:i w:val="false"/>
          <w:color w:val="000000"/>
          <w:sz w:val="28"/>
        </w:rPr>
        <w:t>
      Для действующих объектов, оказывающих антропогенное воздействие на окружающую среду, анализ проводится с использованием технической документации, результатов производственного экологического контроля за несколько лет, но не более пяти лет, предшествующих году, в котором представляется заявление на получение комплексного экологического разрешения. При несоответствии существующих показателей сбросов технологическим показателям, связанным с применением наилучших доступных техник по конкретным областям их применения, установленным в заключениях по наилучшим доступным техникам, в рамках анализа дополнительно определяются планируемые показатели сбросов в соответствии с программой повышения экологической эффективности.</w:t>
      </w:r>
    </w:p>
    <w:bookmarkEnd w:id="34"/>
    <w:bookmarkStart w:name="z42" w:id="35"/>
    <w:p>
      <w:pPr>
        <w:spacing w:after="0"/>
        <w:ind w:left="0"/>
        <w:jc w:val="both"/>
      </w:pPr>
      <w:r>
        <w:rPr>
          <w:rFonts w:ascii="Times New Roman"/>
          <w:b w:val="false"/>
          <w:i w:val="false"/>
          <w:color w:val="000000"/>
          <w:sz w:val="28"/>
        </w:rPr>
        <w:t>
      Для планируемых к вводу в эксплуатацию объектов, оказывающих антропогенное воздействие на окружающую среду, анализ осуществляется с использованием данных проектной документации на строительство, реконструкцию и эксплуатацию объекта.</w:t>
      </w:r>
    </w:p>
    <w:bookmarkEnd w:id="35"/>
    <w:bookmarkStart w:name="z43" w:id="36"/>
    <w:p>
      <w:pPr>
        <w:spacing w:after="0"/>
        <w:ind w:left="0"/>
        <w:jc w:val="both"/>
      </w:pPr>
      <w:r>
        <w:rPr>
          <w:rFonts w:ascii="Times New Roman"/>
          <w:b w:val="false"/>
          <w:i w:val="false"/>
          <w:color w:val="000000"/>
          <w:sz w:val="28"/>
        </w:rPr>
        <w:t>
      11. Определение технологических нормативов сбросов включает соответствующие обоснования и расчеты. Обоснования приводятся в справочниках по наилучше доступным техникам, расчеты производятся исходя из количества выпуска предполагаемой продукции (товара), выполняемых работ, оказываемых услуг.</w:t>
      </w:r>
    </w:p>
    <w:bookmarkEnd w:id="36"/>
    <w:bookmarkStart w:name="z44" w:id="37"/>
    <w:p>
      <w:pPr>
        <w:spacing w:after="0"/>
        <w:ind w:left="0"/>
        <w:jc w:val="both"/>
      </w:pPr>
      <w:r>
        <w:rPr>
          <w:rFonts w:ascii="Times New Roman"/>
          <w:b w:val="false"/>
          <w:i w:val="false"/>
          <w:color w:val="000000"/>
          <w:sz w:val="28"/>
        </w:rPr>
        <w:t>
      12. В случае если сброс загрязняющих веществ осуществляется после сбора, рекуперации, очистки сточных вод от нескольких объектов технологического нормирования, расчет величины технологического норматива сбросов осуществляется отдельно для каждого такого объекта технологического нормирования.</w:t>
      </w:r>
    </w:p>
    <w:bookmarkEnd w:id="37"/>
    <w:bookmarkStart w:name="z45" w:id="38"/>
    <w:p>
      <w:pPr>
        <w:spacing w:after="0"/>
        <w:ind w:left="0"/>
        <w:jc w:val="both"/>
      </w:pPr>
      <w:r>
        <w:rPr>
          <w:rFonts w:ascii="Times New Roman"/>
          <w:b w:val="false"/>
          <w:i w:val="false"/>
          <w:color w:val="000000"/>
          <w:sz w:val="28"/>
        </w:rPr>
        <w:t xml:space="preserve">
      13. Для предупреждения истощения водных объектов при установлении нормативов допустимого антропогенного воздействия удельных нормативов водопотребления и водоотведения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декабря 2016 года № 545 "Об утверждении Методики по разработке удельных норм водопотребления и водоотведения" (зарегистрирован в Реестре государственной регистрации нормативных правовых актов за № 14827).</w:t>
      </w:r>
    </w:p>
    <w:bookmarkEnd w:id="38"/>
    <w:bookmarkStart w:name="z46" w:id="39"/>
    <w:p>
      <w:pPr>
        <w:spacing w:after="0"/>
        <w:ind w:left="0"/>
        <w:jc w:val="left"/>
      </w:pPr>
      <w:r>
        <w:rPr>
          <w:rFonts w:ascii="Times New Roman"/>
          <w:b/>
          <w:i w:val="false"/>
          <w:color w:val="000000"/>
        </w:rPr>
        <w:t xml:space="preserve"> Глава 3. Нормативы допустимых физических воздействий на поверхностные воды</w:t>
      </w:r>
    </w:p>
    <w:bookmarkEnd w:id="39"/>
    <w:bookmarkStart w:name="z47" w:id="40"/>
    <w:p>
      <w:pPr>
        <w:spacing w:after="0"/>
        <w:ind w:left="0"/>
        <w:jc w:val="both"/>
      </w:pPr>
      <w:r>
        <w:rPr>
          <w:rFonts w:ascii="Times New Roman"/>
          <w:b w:val="false"/>
          <w:i w:val="false"/>
          <w:color w:val="000000"/>
          <w:sz w:val="28"/>
        </w:rPr>
        <w:t>
      14. Нормативами допустимых физических воздействий на поверхностные воды являются экологические нормативы, устанавливаемые для каждого источника в виде допустимого уровня воздействия тепла и иных физических воздействий на поверхностные воды,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воды.</w:t>
      </w:r>
    </w:p>
    <w:bookmarkEnd w:id="40"/>
    <w:bookmarkStart w:name="z48" w:id="41"/>
    <w:p>
      <w:pPr>
        <w:spacing w:after="0"/>
        <w:ind w:left="0"/>
        <w:jc w:val="both"/>
      </w:pPr>
      <w:r>
        <w:rPr>
          <w:rFonts w:ascii="Times New Roman"/>
          <w:b w:val="false"/>
          <w:i w:val="false"/>
          <w:color w:val="000000"/>
          <w:sz w:val="28"/>
        </w:rPr>
        <w:t>
      15. Под предельно допустимым уровнем негативного физического воздействия на поверхностные воды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41"/>
    <w:bookmarkStart w:name="z49" w:id="42"/>
    <w:p>
      <w:pPr>
        <w:spacing w:after="0"/>
        <w:ind w:left="0"/>
        <w:jc w:val="both"/>
      </w:pPr>
      <w:r>
        <w:rPr>
          <w:rFonts w:ascii="Times New Roman"/>
          <w:b w:val="false"/>
          <w:i w:val="false"/>
          <w:color w:val="000000"/>
          <w:sz w:val="28"/>
        </w:rPr>
        <w:t>
      16. При установлении нормативов допустимых физических воздействий на поверхностные воды уровень соответствующих физических факторов в поверхностном водном объекте устанавливается исходя из требований соблюдения безопасного уровня воздействия на окружающую среду.</w:t>
      </w:r>
    </w:p>
    <w:bookmarkEnd w:id="42"/>
    <w:bookmarkStart w:name="z50" w:id="43"/>
    <w:p>
      <w:pPr>
        <w:spacing w:after="0"/>
        <w:ind w:left="0"/>
        <w:jc w:val="both"/>
      </w:pPr>
      <w:r>
        <w:rPr>
          <w:rFonts w:ascii="Times New Roman"/>
          <w:b w:val="false"/>
          <w:i w:val="false"/>
          <w:color w:val="000000"/>
          <w:sz w:val="28"/>
        </w:rPr>
        <w:t>
      17. Нормативы допустимых физических воздействий на поверхностные воды устанавливаются для объектов I и II категорий, на уровнях, не превышающих:</w:t>
      </w:r>
    </w:p>
    <w:bookmarkEnd w:id="43"/>
    <w:bookmarkStart w:name="z51" w:id="44"/>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76 Кодекса;</w:t>
      </w:r>
    </w:p>
    <w:bookmarkEnd w:id="44"/>
    <w:bookmarkStart w:name="z52" w:id="45"/>
    <w:p>
      <w:pPr>
        <w:spacing w:after="0"/>
        <w:ind w:left="0"/>
        <w:jc w:val="both"/>
      </w:pPr>
      <w:r>
        <w:rPr>
          <w:rFonts w:ascii="Times New Roman"/>
          <w:b w:val="false"/>
          <w:i w:val="false"/>
          <w:color w:val="000000"/>
          <w:sz w:val="28"/>
        </w:rPr>
        <w:t xml:space="preserve">
      2) в случае проведения в соответствии с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68 Кодекса.</w:t>
      </w:r>
    </w:p>
    <w:bookmarkEnd w:id="45"/>
    <w:bookmarkStart w:name="z53" w:id="46"/>
    <w:p>
      <w:pPr>
        <w:spacing w:after="0"/>
        <w:ind w:left="0"/>
        <w:jc w:val="both"/>
      </w:pPr>
      <w:r>
        <w:rPr>
          <w:rFonts w:ascii="Times New Roman"/>
          <w:b w:val="false"/>
          <w:i w:val="false"/>
          <w:color w:val="000000"/>
          <w:sz w:val="28"/>
        </w:rPr>
        <w:t>
      Для действующих объектов нормативы допустимых физических воздействий устанавливаются на уровнях, установленных в заявлении на получение комплексного экологического разрешения.</w:t>
      </w:r>
    </w:p>
    <w:bookmarkEnd w:id="46"/>
    <w:bookmarkStart w:name="z54" w:id="47"/>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допустимых физических воздействий устанавливаются на уровнях, не превышающих соответствующих технологических показателей, приведенных в заключениях по наилучшим доступным техникам (при их наличии).</w:t>
      </w:r>
    </w:p>
    <w:bookmarkEnd w:id="47"/>
    <w:bookmarkStart w:name="z55" w:id="48"/>
    <w:p>
      <w:pPr>
        <w:spacing w:after="0"/>
        <w:ind w:left="0"/>
        <w:jc w:val="both"/>
      </w:pPr>
      <w:r>
        <w:rPr>
          <w:rFonts w:ascii="Times New Roman"/>
          <w:b w:val="false"/>
          <w:i w:val="false"/>
          <w:color w:val="000000"/>
          <w:sz w:val="28"/>
        </w:rPr>
        <w:t>
      18. Нормативы допустимых физических воздействий определяются оператором самостоятельно либо с привлечением специализированных организаций (аккредитованных лабораторий).</w:t>
      </w:r>
    </w:p>
    <w:bookmarkEnd w:id="48"/>
    <w:bookmarkStart w:name="z56" w:id="49"/>
    <w:p>
      <w:pPr>
        <w:spacing w:after="0"/>
        <w:ind w:left="0"/>
        <w:jc w:val="both"/>
      </w:pPr>
      <w:r>
        <w:rPr>
          <w:rFonts w:ascii="Times New Roman"/>
          <w:b w:val="false"/>
          <w:i w:val="false"/>
          <w:color w:val="000000"/>
          <w:sz w:val="28"/>
        </w:rPr>
        <w:t>
      19. Тепловое воздействие является результатом рассеивания в окружающей природной среде теплоты, выделяющейся в многообразных тепловых процессах, прежде всего связанных со сжиганием топлива.</w:t>
      </w:r>
    </w:p>
    <w:bookmarkEnd w:id="49"/>
    <w:bookmarkStart w:name="z57" w:id="50"/>
    <w:p>
      <w:pPr>
        <w:spacing w:after="0"/>
        <w:ind w:left="0"/>
        <w:jc w:val="both"/>
      </w:pPr>
      <w:r>
        <w:rPr>
          <w:rFonts w:ascii="Times New Roman"/>
          <w:b w:val="false"/>
          <w:i w:val="false"/>
          <w:color w:val="000000"/>
          <w:sz w:val="28"/>
        </w:rPr>
        <w:t>
      20. При определении нормативов допустимых физических воздействий в части теплового воздействия учитывается влияние локального повышения температуры поверхностных вод на:</w:t>
      </w:r>
    </w:p>
    <w:bookmarkEnd w:id="50"/>
    <w:bookmarkStart w:name="z58" w:id="51"/>
    <w:p>
      <w:pPr>
        <w:spacing w:after="0"/>
        <w:ind w:left="0"/>
        <w:jc w:val="both"/>
      </w:pPr>
      <w:r>
        <w:rPr>
          <w:rFonts w:ascii="Times New Roman"/>
          <w:b w:val="false"/>
          <w:i w:val="false"/>
          <w:color w:val="000000"/>
          <w:sz w:val="28"/>
        </w:rPr>
        <w:t>
      превышение критических значений для стадий жизненных циклов "стенотермных" водных организмов;</w:t>
      </w:r>
    </w:p>
    <w:bookmarkEnd w:id="51"/>
    <w:bookmarkStart w:name="z59" w:id="52"/>
    <w:p>
      <w:pPr>
        <w:spacing w:after="0"/>
        <w:ind w:left="0"/>
        <w:jc w:val="both"/>
      </w:pPr>
      <w:r>
        <w:rPr>
          <w:rFonts w:ascii="Times New Roman"/>
          <w:b w:val="false"/>
          <w:i w:val="false"/>
          <w:color w:val="000000"/>
          <w:sz w:val="28"/>
        </w:rPr>
        <w:t>
      усиление восприимчивости организмов к токсическим веществам (присутствующим в поверхностных водах);</w:t>
      </w:r>
    </w:p>
    <w:bookmarkEnd w:id="52"/>
    <w:bookmarkStart w:name="z60" w:id="53"/>
    <w:p>
      <w:pPr>
        <w:spacing w:after="0"/>
        <w:ind w:left="0"/>
        <w:jc w:val="both"/>
      </w:pPr>
      <w:r>
        <w:rPr>
          <w:rFonts w:ascii="Times New Roman"/>
          <w:b w:val="false"/>
          <w:i w:val="false"/>
          <w:color w:val="000000"/>
          <w:sz w:val="28"/>
        </w:rPr>
        <w:t>
      замену таксонов местной альгофлоры менее желательными;</w:t>
      </w:r>
    </w:p>
    <w:bookmarkEnd w:id="53"/>
    <w:bookmarkStart w:name="z61" w:id="54"/>
    <w:p>
      <w:pPr>
        <w:spacing w:after="0"/>
        <w:ind w:left="0"/>
        <w:jc w:val="both"/>
      </w:pPr>
      <w:r>
        <w:rPr>
          <w:rFonts w:ascii="Times New Roman"/>
          <w:b w:val="false"/>
          <w:i w:val="false"/>
          <w:color w:val="000000"/>
          <w:sz w:val="28"/>
        </w:rPr>
        <w:t>
      снижение количества кислорода в воде.</w:t>
      </w:r>
    </w:p>
    <w:bookmarkEnd w:id="54"/>
    <w:bookmarkStart w:name="z62" w:id="55"/>
    <w:p>
      <w:pPr>
        <w:spacing w:after="0"/>
        <w:ind w:left="0"/>
        <w:jc w:val="both"/>
      </w:pPr>
      <w:r>
        <w:rPr>
          <w:rFonts w:ascii="Times New Roman"/>
          <w:b w:val="false"/>
          <w:i w:val="false"/>
          <w:color w:val="000000"/>
          <w:sz w:val="28"/>
        </w:rPr>
        <w:t>
      21. Для гидроизолированных искусственных водных объектов и гидротехнических сооружений, предназначенных для использования с целью испарения и (или) естественной фильтрации воды, нормативы допустимых физических воздействий не устанавливаются.</w:t>
      </w:r>
    </w:p>
    <w:bookmarkEnd w:id="55"/>
    <w:bookmarkStart w:name="z63" w:id="56"/>
    <w:p>
      <w:pPr>
        <w:spacing w:after="0"/>
        <w:ind w:left="0"/>
        <w:jc w:val="left"/>
      </w:pPr>
      <w:r>
        <w:rPr>
          <w:rFonts w:ascii="Times New Roman"/>
          <w:b/>
          <w:i w:val="false"/>
          <w:color w:val="000000"/>
        </w:rPr>
        <w:t xml:space="preserve"> Глава 4. Нормативы предельно допустимого негативного воздействия на водные объекты</w:t>
      </w:r>
    </w:p>
    <w:bookmarkEnd w:id="56"/>
    <w:bookmarkStart w:name="z64" w:id="57"/>
    <w:p>
      <w:pPr>
        <w:spacing w:after="0"/>
        <w:ind w:left="0"/>
        <w:jc w:val="both"/>
      </w:pPr>
      <w:r>
        <w:rPr>
          <w:rFonts w:ascii="Times New Roman"/>
          <w:b w:val="false"/>
          <w:i w:val="false"/>
          <w:color w:val="000000"/>
          <w:sz w:val="28"/>
        </w:rPr>
        <w:t>
      22. Нормативы предельно допустимого негативного воздействия на водные объекты устанавливаются совокупно, исходя из требований по достижению экологических нормативов качества и/или целевых показателей качества окружающей среды, рационального использования водных объектов, а также внедрения наилучших доступных техник.</w:t>
      </w:r>
    </w:p>
    <w:bookmarkEnd w:id="57"/>
    <w:bookmarkStart w:name="z65" w:id="58"/>
    <w:p>
      <w:pPr>
        <w:spacing w:after="0"/>
        <w:ind w:left="0"/>
        <w:jc w:val="both"/>
      </w:pPr>
      <w:r>
        <w:rPr>
          <w:rFonts w:ascii="Times New Roman"/>
          <w:b w:val="false"/>
          <w:i w:val="false"/>
          <w:color w:val="000000"/>
          <w:sz w:val="28"/>
        </w:rPr>
        <w:t xml:space="preserve">
      Нормативы предельно допустимого негативного воздействия на водные объекты устанавливаются по химическим и биологическим показателям, физическим факторам с учетом условий целевого использования водных объектов, в соответствии с требованиями Кодекса и </w:t>
      </w:r>
      <w:r>
        <w:rPr>
          <w:rFonts w:ascii="Times New Roman"/>
          <w:b w:val="false"/>
          <w:i w:val="false"/>
          <w:color w:val="000000"/>
          <w:sz w:val="28"/>
        </w:rPr>
        <w:t>пункта 47</w:t>
      </w:r>
      <w:r>
        <w:rPr>
          <w:rFonts w:ascii="Times New Roman"/>
          <w:b w:val="false"/>
          <w:i w:val="false"/>
          <w:color w:val="000000"/>
          <w:sz w:val="28"/>
        </w:rPr>
        <w:t xml:space="preserve"> Методики.</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